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7383125"/>
        <w:docPartObj>
          <w:docPartGallery w:val="Cover Pages"/>
          <w:docPartUnique/>
        </w:docPartObj>
      </w:sdtPr>
      <w:sdtEndPr>
        <w:rPr>
          <w:rFonts w:ascii="Times New Roman" w:hAnsi="Times New Roman" w:cs="Times New Roman"/>
          <w:b/>
          <w:bCs/>
        </w:rPr>
      </w:sdtEndPr>
      <w:sdtContent>
        <w:p w14:paraId="4A2231A7" w14:textId="06B09D91" w:rsidR="00522E93" w:rsidRDefault="00522E93"/>
        <w:p w14:paraId="7CA5D469" w14:textId="29FB9EBA" w:rsidR="00522E93" w:rsidRDefault="00522E93">
          <w:pPr>
            <w:rPr>
              <w:rFonts w:ascii="Times New Roman" w:hAnsi="Times New Roman" w:cs="Times New Roman"/>
              <w:b/>
              <w:bCs/>
            </w:rPr>
          </w:pPr>
          <w:r>
            <w:rPr>
              <w:noProof/>
            </w:rPr>
            <mc:AlternateContent>
              <mc:Choice Requires="wps">
                <w:drawing>
                  <wp:anchor distT="0" distB="0" distL="182880" distR="182880" simplePos="0" relativeHeight="251660288" behindDoc="0" locked="0" layoutInCell="1" allowOverlap="1" wp14:anchorId="1708DE58" wp14:editId="1DC3242B">
                    <wp:simplePos x="0" y="0"/>
                    <wp:positionH relativeFrom="margin">
                      <wp:align>center</wp:align>
                    </wp:positionH>
                    <wp:positionV relativeFrom="page">
                      <wp:posOffset>4023360</wp:posOffset>
                    </wp:positionV>
                    <wp:extent cx="5823585" cy="2137410"/>
                    <wp:effectExtent l="0" t="0" r="5715" b="15240"/>
                    <wp:wrapSquare wrapText="bothSides"/>
                    <wp:docPr id="131" name="Text Box 131"/>
                    <wp:cNvGraphicFramePr/>
                    <a:graphic xmlns:a="http://schemas.openxmlformats.org/drawingml/2006/main">
                      <a:graphicData uri="http://schemas.microsoft.com/office/word/2010/wordprocessingShape">
                        <wps:wsp>
                          <wps:cNvSpPr txBox="1"/>
                          <wps:spPr>
                            <a:xfrm>
                              <a:off x="0" y="0"/>
                              <a:ext cx="5823585" cy="2137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7AD22" w14:textId="5234F34F" w:rsidR="00522E93" w:rsidRPr="00522E93" w:rsidRDefault="00522E93" w:rsidP="00522E93">
                                <w:pPr>
                                  <w:pStyle w:val="NoSpacing"/>
                                  <w:spacing w:before="40" w:after="560" w:line="216" w:lineRule="auto"/>
                                  <w:jc w:val="center"/>
                                  <w:rPr>
                                    <w:rFonts w:ascii="Times New Roman" w:hAnsi="Times New Roman" w:cs="Times New Roman"/>
                                    <w:b/>
                                    <w:bCs/>
                                    <w:color w:val="000000" w:themeColor="text1"/>
                                    <w:sz w:val="96"/>
                                    <w:szCs w:val="96"/>
                                  </w:rPr>
                                </w:pPr>
                                <w:sdt>
                                  <w:sdtPr>
                                    <w:rPr>
                                      <w:rFonts w:ascii="Times New Roman" w:hAnsi="Times New Roman" w:cs="Times New Roman"/>
                                      <w:b/>
                                      <w:bCs/>
                                      <w:color w:val="000000" w:themeColor="tex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22E93">
                                      <w:rPr>
                                        <w:rFonts w:ascii="Times New Roman" w:hAnsi="Times New Roman" w:cs="Times New Roman"/>
                                        <w:b/>
                                        <w:bCs/>
                                        <w:color w:val="000000" w:themeColor="text1"/>
                                        <w:sz w:val="96"/>
                                        <w:szCs w:val="96"/>
                                      </w:rPr>
                                      <w:t>Financial Ratio Analysis of Apple Inc. (2024 vs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708DE58" id="_x0000_t202" coordsize="21600,21600" o:spt="202" path="m,l,21600r21600,l21600,xe">
                    <v:stroke joinstyle="miter"/>
                    <v:path gradientshapeok="t" o:connecttype="rect"/>
                  </v:shapetype>
                  <v:shape id="Text Box 131" o:spid="_x0000_s1026" type="#_x0000_t202" style="position:absolute;margin-left:0;margin-top:316.8pt;width:458.55pt;height:168.3pt;z-index:251660288;visibility:visible;mso-wrap-style:square;mso-width-percent:0;mso-height-percent:0;mso-wrap-distance-left:14.4pt;mso-wrap-distance-top:0;mso-wrap-distance-right:14.4pt;mso-wrap-distance-bottom:0;mso-position-horizontal:center;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" filled="f" stroked="f" strokeweight=".5pt">
                    <v:textbox inset="0,0,0,0">
                      <w:txbxContent>
                        <w:p w14:paraId="6CE7AD22" w14:textId="5234F34F" w:rsidR="00522E93" w:rsidRPr="00522E93" w:rsidRDefault="00522E93" w:rsidP="00522E93">
                          <w:pPr>
                            <w:pStyle w:val="NoSpacing"/>
                            <w:spacing w:before="40" w:after="560" w:line="216" w:lineRule="auto"/>
                            <w:jc w:val="center"/>
                            <w:rPr>
                              <w:rFonts w:ascii="Times New Roman" w:hAnsi="Times New Roman" w:cs="Times New Roman"/>
                              <w:b/>
                              <w:bCs/>
                              <w:color w:val="000000" w:themeColor="text1"/>
                              <w:sz w:val="96"/>
                              <w:szCs w:val="96"/>
                            </w:rPr>
                          </w:pPr>
                          <w:sdt>
                            <w:sdtPr>
                              <w:rPr>
                                <w:rFonts w:ascii="Times New Roman" w:hAnsi="Times New Roman" w:cs="Times New Roman"/>
                                <w:b/>
                                <w:bCs/>
                                <w:color w:val="000000" w:themeColor="tex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22E93">
                                <w:rPr>
                                  <w:rFonts w:ascii="Times New Roman" w:hAnsi="Times New Roman" w:cs="Times New Roman"/>
                                  <w:b/>
                                  <w:bCs/>
                                  <w:color w:val="000000" w:themeColor="text1"/>
                                  <w:sz w:val="96"/>
                                  <w:szCs w:val="96"/>
                                </w:rPr>
                                <w:t>Financial Ratio Analysis of Apple Inc. (2024 vs 2023)</w:t>
                              </w:r>
                            </w:sdtContent>
                          </w:sdt>
                        </w:p>
                      </w:txbxContent>
                    </v:textbox>
                    <w10:wrap type="square" anchorx="margin" anchory="page"/>
                  </v:shape>
                </w:pict>
              </mc:Fallback>
            </mc:AlternateContent>
          </w:r>
          <w:r>
            <w:rPr>
              <w:rFonts w:ascii="Times New Roman" w:hAnsi="Times New Roman" w:cs="Times New Roman"/>
              <w:b/>
              <w:bCs/>
            </w:rPr>
            <w:br w:type="page"/>
          </w:r>
        </w:p>
      </w:sdtContent>
    </w:sdt>
    <w:p w14:paraId="40A8AA43" w14:textId="4E004D64" w:rsidR="001642A8" w:rsidRPr="001642A8" w:rsidRDefault="001642A8" w:rsidP="001642A8">
      <w:pPr>
        <w:spacing w:line="480" w:lineRule="auto"/>
        <w:rPr>
          <w:rFonts w:ascii="Times New Roman" w:hAnsi="Times New Roman" w:cs="Times New Roman"/>
          <w:b/>
          <w:bCs/>
        </w:rPr>
      </w:pPr>
      <w:r w:rsidRPr="001642A8">
        <w:rPr>
          <w:rFonts w:ascii="Times New Roman" w:hAnsi="Times New Roman" w:cs="Times New Roman"/>
          <w:b/>
          <w:bCs/>
        </w:rPr>
        <w:lastRenderedPageBreak/>
        <w:t>Introduction</w:t>
      </w:r>
    </w:p>
    <w:p w14:paraId="7A53EB8D" w14:textId="2EC44083"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This r</w:t>
      </w:r>
      <w:r>
        <w:rPr>
          <w:rFonts w:ascii="Times New Roman" w:hAnsi="Times New Roman" w:cs="Times New Roman"/>
        </w:rPr>
        <w:t>eport</w:t>
      </w:r>
      <w:r w:rsidRPr="001642A8">
        <w:rPr>
          <w:rFonts w:ascii="Times New Roman" w:hAnsi="Times New Roman" w:cs="Times New Roman"/>
        </w:rPr>
        <w:t xml:space="preserve"> will </w:t>
      </w:r>
      <w:r>
        <w:rPr>
          <w:rFonts w:ascii="Times New Roman" w:hAnsi="Times New Roman" w:cs="Times New Roman"/>
        </w:rPr>
        <w:t>analyse</w:t>
      </w:r>
      <w:r w:rsidRPr="001642A8">
        <w:rPr>
          <w:rFonts w:ascii="Times New Roman" w:hAnsi="Times New Roman" w:cs="Times New Roman"/>
        </w:rPr>
        <w:t xml:space="preserve"> the financial performance (net sales, net income, total assets and shareholders’ equity) at Apple Inc., as reported in their 2024 and 2023 annual financial statements (Form 10-K), which have been filed with the US SEC. Apple is a suitable company for this analysis due to its comprehensive and regularly published audited financial reports, as well as the consistency of their reporting over multiple years. For the year ended 2024, Apple reported net sales of $391.0 billion, up from $383.3 billion in 2023</w:t>
      </w:r>
      <w:r>
        <w:rPr>
          <w:rFonts w:ascii="Times New Roman" w:hAnsi="Times New Roman" w:cs="Times New Roman"/>
        </w:rPr>
        <w:t>. Net</w:t>
      </w:r>
      <w:r w:rsidRPr="001642A8">
        <w:rPr>
          <w:rFonts w:ascii="Times New Roman" w:hAnsi="Times New Roman" w:cs="Times New Roman"/>
        </w:rPr>
        <w:t xml:space="preserve"> income declined to $93.7 billion from $97.0 billion. In addition to declining income</w:t>
      </w:r>
      <w:r>
        <w:rPr>
          <w:rFonts w:ascii="Times New Roman" w:hAnsi="Times New Roman" w:cs="Times New Roman"/>
        </w:rPr>
        <w:t>,</w:t>
      </w:r>
      <w:r w:rsidRPr="001642A8">
        <w:rPr>
          <w:rFonts w:ascii="Times New Roman" w:hAnsi="Times New Roman" w:cs="Times New Roman"/>
        </w:rPr>
        <w:t xml:space="preserve"> Apple showed increases in total assets ($365.0 billion from $352.6 billion) and declines in Shareholders’ Equity ($57.0 billion from $62.1 billion).</w:t>
      </w:r>
    </w:p>
    <w:p w14:paraId="59229181" w14:textId="77777777"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Ratio analysis (i.e., the conversion of financial statement figures into various performance indicators which can be used for comparison purposes) is very useful for determining the financial performance (profitability, liquidity, efficiency and financial risk) of a company, and can provide excellent indications of company performance when multiple ratio analyses are evaluated (Heikal et al, 2014; Yousaf &amp; Dey, 2022; Lubis, 2023).</w:t>
      </w:r>
    </w:p>
    <w:p w14:paraId="6DF438FB" w14:textId="542ECEC6" w:rsidR="001642A8" w:rsidRPr="001642A8" w:rsidRDefault="001642A8" w:rsidP="001642A8">
      <w:pPr>
        <w:spacing w:line="480" w:lineRule="auto"/>
        <w:rPr>
          <w:rFonts w:ascii="Times New Roman" w:hAnsi="Times New Roman" w:cs="Times New Roman"/>
          <w:b/>
          <w:bCs/>
        </w:rPr>
      </w:pPr>
      <w:r w:rsidRPr="001642A8">
        <w:rPr>
          <w:rFonts w:ascii="Times New Roman" w:hAnsi="Times New Roman" w:cs="Times New Roman"/>
          <w:b/>
          <w:bCs/>
        </w:rPr>
        <w:t xml:space="preserve">Procured Financial Data from </w:t>
      </w:r>
      <w:r>
        <w:rPr>
          <w:rFonts w:ascii="Times New Roman" w:hAnsi="Times New Roman" w:cs="Times New Roman"/>
          <w:b/>
          <w:bCs/>
        </w:rPr>
        <w:t>Apple's</w:t>
      </w:r>
      <w:r w:rsidRPr="001642A8">
        <w:rPr>
          <w:rFonts w:ascii="Times New Roman" w:hAnsi="Times New Roman" w:cs="Times New Roman"/>
          <w:b/>
          <w:bCs/>
        </w:rPr>
        <w:t xml:space="preserve"> 2024 and 2023 Form 10-K</w:t>
      </w:r>
    </w:p>
    <w:p w14:paraId="6635D321" w14:textId="77777777"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2024: Revenue = $391,035 million; Gross Profit = $180,683 million; Net Income = $93,736 million; Current Assets = $152,987 million; Current Liabilities = $176,392 million; Total Assets = $364,980 million; Total Liabilities = $308,030 million; Equity = $56,950 million.</w:t>
      </w:r>
    </w:p>
    <w:p w14:paraId="012205EC" w14:textId="77777777"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2023: Revenue = $383,285 million; Gross Profit = $169,148 million; Net Income = $96,995 million; Current Assets = $143,566 million; Current Liabilities = $145,308 million; Total Assets = $352,583 million; Total Liabilities = $290,437 million; Equity = $62,146 million.</w:t>
      </w:r>
    </w:p>
    <w:p w14:paraId="1149D8B3" w14:textId="77777777" w:rsidR="001642A8" w:rsidRPr="001642A8" w:rsidRDefault="001642A8" w:rsidP="001642A8">
      <w:pPr>
        <w:spacing w:line="480" w:lineRule="auto"/>
        <w:rPr>
          <w:rFonts w:ascii="Times New Roman" w:hAnsi="Times New Roman" w:cs="Times New Roman"/>
        </w:rPr>
      </w:pPr>
    </w:p>
    <w:p w14:paraId="09E70755" w14:textId="5A1A938A" w:rsidR="001642A8" w:rsidRPr="001642A8" w:rsidRDefault="001642A8" w:rsidP="001642A8">
      <w:pPr>
        <w:spacing w:line="480" w:lineRule="auto"/>
        <w:rPr>
          <w:rFonts w:ascii="Times New Roman" w:hAnsi="Times New Roman" w:cs="Times New Roman"/>
          <w:b/>
          <w:bCs/>
        </w:rPr>
      </w:pPr>
      <w:r w:rsidRPr="001642A8">
        <w:rPr>
          <w:rFonts w:ascii="Times New Roman" w:hAnsi="Times New Roman" w:cs="Times New Roman"/>
          <w:b/>
          <w:bCs/>
        </w:rPr>
        <w:lastRenderedPageBreak/>
        <w:t>Ratio Calculations</w:t>
      </w:r>
    </w:p>
    <w:tbl>
      <w:tblPr>
        <w:tblStyle w:val="GridTable1Light"/>
        <w:tblW w:w="11134" w:type="dxa"/>
        <w:tblInd w:w="-995" w:type="dxa"/>
        <w:tblLook w:val="04A0" w:firstRow="1" w:lastRow="0" w:firstColumn="1" w:lastColumn="0" w:noHBand="0" w:noVBand="1"/>
      </w:tblPr>
      <w:tblGrid>
        <w:gridCol w:w="1751"/>
        <w:gridCol w:w="2685"/>
        <w:gridCol w:w="3349"/>
        <w:gridCol w:w="3349"/>
      </w:tblGrid>
      <w:tr w:rsidR="001642A8" w:rsidRPr="001642A8" w14:paraId="39F98375" w14:textId="77777777" w:rsidTr="001642A8">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0" w:type="auto"/>
            <w:hideMark/>
          </w:tcPr>
          <w:p w14:paraId="05B2FBA3" w14:textId="77777777" w:rsidR="001642A8" w:rsidRPr="001642A8" w:rsidRDefault="001642A8" w:rsidP="001642A8">
            <w:pPr>
              <w:jc w:val="center"/>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Ratio</w:t>
            </w:r>
          </w:p>
        </w:tc>
        <w:tc>
          <w:tcPr>
            <w:tcW w:w="0" w:type="auto"/>
            <w:hideMark/>
          </w:tcPr>
          <w:p w14:paraId="3E6C4A4C" w14:textId="77777777" w:rsidR="001642A8" w:rsidRPr="001642A8" w:rsidRDefault="001642A8" w:rsidP="001642A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Formula</w:t>
            </w:r>
          </w:p>
        </w:tc>
        <w:tc>
          <w:tcPr>
            <w:tcW w:w="0" w:type="auto"/>
            <w:hideMark/>
          </w:tcPr>
          <w:p w14:paraId="5B6B1448" w14:textId="77777777" w:rsidR="001642A8" w:rsidRPr="001642A8" w:rsidRDefault="001642A8" w:rsidP="001642A8">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2024</w:t>
            </w:r>
          </w:p>
        </w:tc>
        <w:tc>
          <w:tcPr>
            <w:tcW w:w="0" w:type="auto"/>
            <w:hideMark/>
          </w:tcPr>
          <w:p w14:paraId="35F603B8" w14:textId="77777777" w:rsidR="001642A8" w:rsidRPr="001642A8" w:rsidRDefault="001642A8" w:rsidP="001642A8">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2023</w:t>
            </w:r>
          </w:p>
        </w:tc>
      </w:tr>
      <w:tr w:rsidR="001642A8" w:rsidRPr="001642A8" w14:paraId="5CD1792B" w14:textId="77777777" w:rsidTr="001642A8">
        <w:trPr>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343502A3" w14:textId="77777777" w:rsidR="001642A8" w:rsidRPr="001642A8" w:rsidRDefault="001642A8" w:rsidP="001642A8">
            <w:pPr>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Current Ratio</w:t>
            </w:r>
          </w:p>
        </w:tc>
        <w:tc>
          <w:tcPr>
            <w:tcW w:w="0" w:type="auto"/>
            <w:hideMark/>
          </w:tcPr>
          <w:p w14:paraId="70B2E69A" w14:textId="77777777" w:rsidR="001642A8" w:rsidRPr="001642A8" w:rsidRDefault="001642A8" w:rsidP="001642A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Current Assets / Current Liabilities</w:t>
            </w:r>
          </w:p>
        </w:tc>
        <w:tc>
          <w:tcPr>
            <w:tcW w:w="0" w:type="auto"/>
            <w:hideMark/>
          </w:tcPr>
          <w:p w14:paraId="1A45956A"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152,987 / 176,392 = </w:t>
            </w:r>
            <w:r w:rsidRPr="001642A8">
              <w:rPr>
                <w:rFonts w:ascii="Times New Roman" w:eastAsia="Times New Roman" w:hAnsi="Times New Roman" w:cs="Times New Roman"/>
                <w:b/>
                <w:bCs/>
                <w:kern w:val="0"/>
                <w:lang w:eastAsia="en-GB"/>
                <w14:ligatures w14:val="none"/>
              </w:rPr>
              <w:t>0.87</w:t>
            </w:r>
          </w:p>
        </w:tc>
        <w:tc>
          <w:tcPr>
            <w:tcW w:w="0" w:type="auto"/>
            <w:hideMark/>
          </w:tcPr>
          <w:p w14:paraId="7A81B389"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143,566 / 145,308 = </w:t>
            </w:r>
            <w:r w:rsidRPr="001642A8">
              <w:rPr>
                <w:rFonts w:ascii="Times New Roman" w:eastAsia="Times New Roman" w:hAnsi="Times New Roman" w:cs="Times New Roman"/>
                <w:b/>
                <w:bCs/>
                <w:kern w:val="0"/>
                <w:lang w:eastAsia="en-GB"/>
                <w14:ligatures w14:val="none"/>
              </w:rPr>
              <w:t>0.99</w:t>
            </w:r>
          </w:p>
        </w:tc>
      </w:tr>
      <w:tr w:rsidR="001642A8" w:rsidRPr="001642A8" w14:paraId="26E8F388" w14:textId="77777777" w:rsidTr="001642A8">
        <w:trPr>
          <w:trHeight w:val="584"/>
        </w:trPr>
        <w:tc>
          <w:tcPr>
            <w:cnfStyle w:val="001000000000" w:firstRow="0" w:lastRow="0" w:firstColumn="1" w:lastColumn="0" w:oddVBand="0" w:evenVBand="0" w:oddHBand="0" w:evenHBand="0" w:firstRowFirstColumn="0" w:firstRowLastColumn="0" w:lastRowFirstColumn="0" w:lastRowLastColumn="0"/>
            <w:tcW w:w="0" w:type="auto"/>
            <w:hideMark/>
          </w:tcPr>
          <w:p w14:paraId="6B223DC3" w14:textId="77777777" w:rsidR="001642A8" w:rsidRPr="001642A8" w:rsidRDefault="001642A8" w:rsidP="001642A8">
            <w:pPr>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Gross Profit Margin</w:t>
            </w:r>
          </w:p>
        </w:tc>
        <w:tc>
          <w:tcPr>
            <w:tcW w:w="0" w:type="auto"/>
            <w:hideMark/>
          </w:tcPr>
          <w:p w14:paraId="1BA84533" w14:textId="77777777" w:rsidR="001642A8" w:rsidRPr="001642A8" w:rsidRDefault="001642A8" w:rsidP="001642A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Gross Profit / Revenue × 100</w:t>
            </w:r>
          </w:p>
        </w:tc>
        <w:tc>
          <w:tcPr>
            <w:tcW w:w="0" w:type="auto"/>
            <w:hideMark/>
          </w:tcPr>
          <w:p w14:paraId="2173639C"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180,683 / 391,035 = </w:t>
            </w:r>
            <w:r w:rsidRPr="001642A8">
              <w:rPr>
                <w:rFonts w:ascii="Times New Roman" w:eastAsia="Times New Roman" w:hAnsi="Times New Roman" w:cs="Times New Roman"/>
                <w:b/>
                <w:bCs/>
                <w:kern w:val="0"/>
                <w:lang w:eastAsia="en-GB"/>
                <w14:ligatures w14:val="none"/>
              </w:rPr>
              <w:t>46.21%</w:t>
            </w:r>
          </w:p>
        </w:tc>
        <w:tc>
          <w:tcPr>
            <w:tcW w:w="0" w:type="auto"/>
            <w:hideMark/>
          </w:tcPr>
          <w:p w14:paraId="62C12658"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169,148 / 383,285 = </w:t>
            </w:r>
            <w:r w:rsidRPr="001642A8">
              <w:rPr>
                <w:rFonts w:ascii="Times New Roman" w:eastAsia="Times New Roman" w:hAnsi="Times New Roman" w:cs="Times New Roman"/>
                <w:b/>
                <w:bCs/>
                <w:kern w:val="0"/>
                <w:lang w:eastAsia="en-GB"/>
                <w14:ligatures w14:val="none"/>
              </w:rPr>
              <w:t>44.13%</w:t>
            </w:r>
          </w:p>
        </w:tc>
      </w:tr>
      <w:tr w:rsidR="001642A8" w:rsidRPr="001642A8" w14:paraId="42E67706" w14:textId="77777777" w:rsidTr="001642A8">
        <w:trPr>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51D38205" w14:textId="77777777" w:rsidR="001642A8" w:rsidRPr="001642A8" w:rsidRDefault="001642A8" w:rsidP="001642A8">
            <w:pPr>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Net Profit Margin</w:t>
            </w:r>
          </w:p>
        </w:tc>
        <w:tc>
          <w:tcPr>
            <w:tcW w:w="0" w:type="auto"/>
            <w:hideMark/>
          </w:tcPr>
          <w:p w14:paraId="3A2FDCF2" w14:textId="77777777" w:rsidR="001642A8" w:rsidRPr="001642A8" w:rsidRDefault="001642A8" w:rsidP="001642A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Net Income / Revenue × 100</w:t>
            </w:r>
          </w:p>
        </w:tc>
        <w:tc>
          <w:tcPr>
            <w:tcW w:w="0" w:type="auto"/>
            <w:hideMark/>
          </w:tcPr>
          <w:p w14:paraId="593C15AA"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93,736 / 391,035 = </w:t>
            </w:r>
            <w:r w:rsidRPr="001642A8">
              <w:rPr>
                <w:rFonts w:ascii="Times New Roman" w:eastAsia="Times New Roman" w:hAnsi="Times New Roman" w:cs="Times New Roman"/>
                <w:b/>
                <w:bCs/>
                <w:kern w:val="0"/>
                <w:lang w:eastAsia="en-GB"/>
                <w14:ligatures w14:val="none"/>
              </w:rPr>
              <w:t>23.97%</w:t>
            </w:r>
          </w:p>
        </w:tc>
        <w:tc>
          <w:tcPr>
            <w:tcW w:w="0" w:type="auto"/>
            <w:hideMark/>
          </w:tcPr>
          <w:p w14:paraId="71180E38"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96,995 / 383,285 = </w:t>
            </w:r>
            <w:r w:rsidRPr="001642A8">
              <w:rPr>
                <w:rFonts w:ascii="Times New Roman" w:eastAsia="Times New Roman" w:hAnsi="Times New Roman" w:cs="Times New Roman"/>
                <w:b/>
                <w:bCs/>
                <w:kern w:val="0"/>
                <w:lang w:eastAsia="en-GB"/>
                <w14:ligatures w14:val="none"/>
              </w:rPr>
              <w:t>25.31%</w:t>
            </w:r>
          </w:p>
        </w:tc>
      </w:tr>
      <w:tr w:rsidR="001642A8" w:rsidRPr="001642A8" w14:paraId="1B1ECFE2" w14:textId="77777777" w:rsidTr="001642A8">
        <w:trPr>
          <w:trHeight w:val="867"/>
        </w:trPr>
        <w:tc>
          <w:tcPr>
            <w:cnfStyle w:val="001000000000" w:firstRow="0" w:lastRow="0" w:firstColumn="1" w:lastColumn="0" w:oddVBand="0" w:evenVBand="0" w:oddHBand="0" w:evenHBand="0" w:firstRowFirstColumn="0" w:firstRowLastColumn="0" w:lastRowFirstColumn="0" w:lastRowLastColumn="0"/>
            <w:tcW w:w="0" w:type="auto"/>
            <w:hideMark/>
          </w:tcPr>
          <w:p w14:paraId="1E71049D" w14:textId="77777777" w:rsidR="001642A8" w:rsidRPr="001642A8" w:rsidRDefault="001642A8" w:rsidP="001642A8">
            <w:pPr>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ROA</w:t>
            </w:r>
          </w:p>
        </w:tc>
        <w:tc>
          <w:tcPr>
            <w:tcW w:w="0" w:type="auto"/>
            <w:hideMark/>
          </w:tcPr>
          <w:p w14:paraId="70CAAFEF" w14:textId="77777777" w:rsidR="001642A8" w:rsidRPr="001642A8" w:rsidRDefault="001642A8" w:rsidP="001642A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Net Income / Average Total Assets × 100</w:t>
            </w:r>
          </w:p>
        </w:tc>
        <w:tc>
          <w:tcPr>
            <w:tcW w:w="0" w:type="auto"/>
            <w:hideMark/>
          </w:tcPr>
          <w:p w14:paraId="2ACC46CE"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93,736 / ((364,980+352,583)/2) = </w:t>
            </w:r>
            <w:r w:rsidRPr="001642A8">
              <w:rPr>
                <w:rFonts w:ascii="Times New Roman" w:eastAsia="Times New Roman" w:hAnsi="Times New Roman" w:cs="Times New Roman"/>
                <w:b/>
                <w:bCs/>
                <w:kern w:val="0"/>
                <w:lang w:eastAsia="en-GB"/>
                <w14:ligatures w14:val="none"/>
              </w:rPr>
              <w:t>26.13%</w:t>
            </w:r>
          </w:p>
        </w:tc>
        <w:tc>
          <w:tcPr>
            <w:tcW w:w="0" w:type="auto"/>
            <w:hideMark/>
          </w:tcPr>
          <w:p w14:paraId="79C524B9"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96,995 / ((352,583+352,755)/2) = </w:t>
            </w:r>
            <w:r w:rsidRPr="001642A8">
              <w:rPr>
                <w:rFonts w:ascii="Times New Roman" w:eastAsia="Times New Roman" w:hAnsi="Times New Roman" w:cs="Times New Roman"/>
                <w:b/>
                <w:bCs/>
                <w:kern w:val="0"/>
                <w:lang w:eastAsia="en-GB"/>
                <w14:ligatures w14:val="none"/>
              </w:rPr>
              <w:t>27.50%</w:t>
            </w:r>
          </w:p>
        </w:tc>
      </w:tr>
      <w:tr w:rsidR="001642A8" w:rsidRPr="001642A8" w14:paraId="3345DB20" w14:textId="77777777" w:rsidTr="001642A8">
        <w:trPr>
          <w:trHeight w:val="877"/>
        </w:trPr>
        <w:tc>
          <w:tcPr>
            <w:cnfStyle w:val="001000000000" w:firstRow="0" w:lastRow="0" w:firstColumn="1" w:lastColumn="0" w:oddVBand="0" w:evenVBand="0" w:oddHBand="0" w:evenHBand="0" w:firstRowFirstColumn="0" w:firstRowLastColumn="0" w:lastRowFirstColumn="0" w:lastRowLastColumn="0"/>
            <w:tcW w:w="0" w:type="auto"/>
            <w:hideMark/>
          </w:tcPr>
          <w:p w14:paraId="0819E28D" w14:textId="77777777" w:rsidR="001642A8" w:rsidRPr="001642A8" w:rsidRDefault="001642A8" w:rsidP="001642A8">
            <w:pPr>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ROE</w:t>
            </w:r>
          </w:p>
        </w:tc>
        <w:tc>
          <w:tcPr>
            <w:tcW w:w="0" w:type="auto"/>
            <w:hideMark/>
          </w:tcPr>
          <w:p w14:paraId="6414FFB5" w14:textId="77777777" w:rsidR="001642A8" w:rsidRPr="001642A8" w:rsidRDefault="001642A8" w:rsidP="001642A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Net Income / Average Equity × 100</w:t>
            </w:r>
          </w:p>
        </w:tc>
        <w:tc>
          <w:tcPr>
            <w:tcW w:w="0" w:type="auto"/>
            <w:hideMark/>
          </w:tcPr>
          <w:p w14:paraId="14A29D58"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93,736 / ((56,950+62,146)/2) = </w:t>
            </w:r>
            <w:r w:rsidRPr="001642A8">
              <w:rPr>
                <w:rFonts w:ascii="Times New Roman" w:eastAsia="Times New Roman" w:hAnsi="Times New Roman" w:cs="Times New Roman"/>
                <w:b/>
                <w:bCs/>
                <w:kern w:val="0"/>
                <w:lang w:eastAsia="en-GB"/>
                <w14:ligatures w14:val="none"/>
              </w:rPr>
              <w:t>157.41%</w:t>
            </w:r>
          </w:p>
        </w:tc>
        <w:tc>
          <w:tcPr>
            <w:tcW w:w="0" w:type="auto"/>
            <w:hideMark/>
          </w:tcPr>
          <w:p w14:paraId="3D7B0399"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96,995 / ((62,146+50,672)/2) = </w:t>
            </w:r>
            <w:r w:rsidRPr="001642A8">
              <w:rPr>
                <w:rFonts w:ascii="Times New Roman" w:eastAsia="Times New Roman" w:hAnsi="Times New Roman" w:cs="Times New Roman"/>
                <w:b/>
                <w:bCs/>
                <w:kern w:val="0"/>
                <w:lang w:eastAsia="en-GB"/>
                <w14:ligatures w14:val="none"/>
              </w:rPr>
              <w:t>171.95%</w:t>
            </w:r>
          </w:p>
        </w:tc>
      </w:tr>
      <w:tr w:rsidR="001642A8" w:rsidRPr="001642A8" w14:paraId="4C36AF1B" w14:textId="77777777" w:rsidTr="001642A8">
        <w:trPr>
          <w:trHeight w:val="867"/>
        </w:trPr>
        <w:tc>
          <w:tcPr>
            <w:cnfStyle w:val="001000000000" w:firstRow="0" w:lastRow="0" w:firstColumn="1" w:lastColumn="0" w:oddVBand="0" w:evenVBand="0" w:oddHBand="0" w:evenHBand="0" w:firstRowFirstColumn="0" w:firstRowLastColumn="0" w:lastRowFirstColumn="0" w:lastRowLastColumn="0"/>
            <w:tcW w:w="0" w:type="auto"/>
            <w:hideMark/>
          </w:tcPr>
          <w:p w14:paraId="19F42C99" w14:textId="77777777" w:rsidR="001642A8" w:rsidRPr="001642A8" w:rsidRDefault="001642A8" w:rsidP="001642A8">
            <w:pPr>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Asset Turnover</w:t>
            </w:r>
          </w:p>
        </w:tc>
        <w:tc>
          <w:tcPr>
            <w:tcW w:w="0" w:type="auto"/>
            <w:hideMark/>
          </w:tcPr>
          <w:p w14:paraId="475FB87B" w14:textId="77777777" w:rsidR="001642A8" w:rsidRPr="001642A8" w:rsidRDefault="001642A8" w:rsidP="001642A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Revenue / Average Total Assets</w:t>
            </w:r>
          </w:p>
        </w:tc>
        <w:tc>
          <w:tcPr>
            <w:tcW w:w="0" w:type="auto"/>
            <w:hideMark/>
          </w:tcPr>
          <w:p w14:paraId="3E352ACA"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391,035 / ((364,980+352,583)/2) = </w:t>
            </w:r>
            <w:r w:rsidRPr="001642A8">
              <w:rPr>
                <w:rFonts w:ascii="Times New Roman" w:eastAsia="Times New Roman" w:hAnsi="Times New Roman" w:cs="Times New Roman"/>
                <w:b/>
                <w:bCs/>
                <w:kern w:val="0"/>
                <w:lang w:eastAsia="en-GB"/>
                <w14:ligatures w14:val="none"/>
              </w:rPr>
              <w:t>1.09</w:t>
            </w:r>
          </w:p>
        </w:tc>
        <w:tc>
          <w:tcPr>
            <w:tcW w:w="0" w:type="auto"/>
            <w:hideMark/>
          </w:tcPr>
          <w:p w14:paraId="18B754A3"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383,285 / ((352,583+352,755)/2) = </w:t>
            </w:r>
            <w:r w:rsidRPr="001642A8">
              <w:rPr>
                <w:rFonts w:ascii="Times New Roman" w:eastAsia="Times New Roman" w:hAnsi="Times New Roman" w:cs="Times New Roman"/>
                <w:b/>
                <w:bCs/>
                <w:kern w:val="0"/>
                <w:lang w:eastAsia="en-GB"/>
                <w14:ligatures w14:val="none"/>
              </w:rPr>
              <w:t>1.09</w:t>
            </w:r>
          </w:p>
        </w:tc>
      </w:tr>
      <w:tr w:rsidR="001642A8" w:rsidRPr="001642A8" w14:paraId="3DB8BCDD" w14:textId="77777777" w:rsidTr="001642A8">
        <w:trPr>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68E879FF" w14:textId="77777777" w:rsidR="001642A8" w:rsidRPr="001642A8" w:rsidRDefault="001642A8" w:rsidP="001642A8">
            <w:pPr>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Debt-to-Equity</w:t>
            </w:r>
          </w:p>
        </w:tc>
        <w:tc>
          <w:tcPr>
            <w:tcW w:w="0" w:type="auto"/>
            <w:hideMark/>
          </w:tcPr>
          <w:p w14:paraId="399D07A6" w14:textId="77777777" w:rsidR="001642A8" w:rsidRPr="001642A8" w:rsidRDefault="001642A8" w:rsidP="001642A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Total Liabilities / Equity</w:t>
            </w:r>
          </w:p>
        </w:tc>
        <w:tc>
          <w:tcPr>
            <w:tcW w:w="0" w:type="auto"/>
            <w:hideMark/>
          </w:tcPr>
          <w:p w14:paraId="583B473E"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308,030 / 56,950 = </w:t>
            </w:r>
            <w:r w:rsidRPr="001642A8">
              <w:rPr>
                <w:rFonts w:ascii="Times New Roman" w:eastAsia="Times New Roman" w:hAnsi="Times New Roman" w:cs="Times New Roman"/>
                <w:b/>
                <w:bCs/>
                <w:kern w:val="0"/>
                <w:lang w:eastAsia="en-GB"/>
                <w14:ligatures w14:val="none"/>
              </w:rPr>
              <w:t>5.41</w:t>
            </w:r>
          </w:p>
        </w:tc>
        <w:tc>
          <w:tcPr>
            <w:tcW w:w="0" w:type="auto"/>
            <w:hideMark/>
          </w:tcPr>
          <w:p w14:paraId="7528EA7D" w14:textId="77777777" w:rsidR="001642A8" w:rsidRPr="001642A8" w:rsidRDefault="001642A8" w:rsidP="001642A8">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642A8">
              <w:rPr>
                <w:rFonts w:ascii="Times New Roman" w:eastAsia="Times New Roman" w:hAnsi="Times New Roman" w:cs="Times New Roman"/>
                <w:kern w:val="0"/>
                <w:lang w:eastAsia="en-GB"/>
                <w14:ligatures w14:val="none"/>
              </w:rPr>
              <w:t xml:space="preserve">290,437 / 62,146 = </w:t>
            </w:r>
            <w:r w:rsidRPr="001642A8">
              <w:rPr>
                <w:rFonts w:ascii="Times New Roman" w:eastAsia="Times New Roman" w:hAnsi="Times New Roman" w:cs="Times New Roman"/>
                <w:b/>
                <w:bCs/>
                <w:kern w:val="0"/>
                <w:lang w:eastAsia="en-GB"/>
                <w14:ligatures w14:val="none"/>
              </w:rPr>
              <w:t>4.67</w:t>
            </w:r>
          </w:p>
        </w:tc>
      </w:tr>
    </w:tbl>
    <w:p w14:paraId="035509E6" w14:textId="77777777" w:rsidR="001642A8" w:rsidRDefault="001642A8" w:rsidP="001642A8">
      <w:pPr>
        <w:spacing w:line="480" w:lineRule="auto"/>
        <w:rPr>
          <w:rFonts w:ascii="Times New Roman" w:hAnsi="Times New Roman" w:cs="Times New Roman"/>
        </w:rPr>
      </w:pPr>
    </w:p>
    <w:p w14:paraId="590AF3B7" w14:textId="6EC615B0" w:rsidR="001642A8" w:rsidRPr="001642A8" w:rsidRDefault="001642A8" w:rsidP="001642A8">
      <w:pPr>
        <w:spacing w:line="480" w:lineRule="auto"/>
        <w:rPr>
          <w:rFonts w:ascii="Times New Roman" w:hAnsi="Times New Roman" w:cs="Times New Roman"/>
          <w:b/>
          <w:bCs/>
        </w:rPr>
      </w:pPr>
      <w:r w:rsidRPr="001642A8">
        <w:rPr>
          <w:rFonts w:ascii="Times New Roman" w:hAnsi="Times New Roman" w:cs="Times New Roman"/>
          <w:b/>
          <w:bCs/>
        </w:rPr>
        <w:t>Performance Indicators</w:t>
      </w:r>
      <w:r w:rsidRPr="001642A8">
        <w:rPr>
          <w:rFonts w:ascii="Times New Roman" w:hAnsi="Times New Roman" w:cs="Times New Roman"/>
          <w:b/>
          <w:bCs/>
        </w:rPr>
        <w:t xml:space="preserve">: </w:t>
      </w:r>
      <w:r w:rsidRPr="001642A8">
        <w:rPr>
          <w:rFonts w:ascii="Times New Roman" w:hAnsi="Times New Roman" w:cs="Times New Roman"/>
          <w:b/>
          <w:bCs/>
        </w:rPr>
        <w:t>Profitability</w:t>
      </w:r>
    </w:p>
    <w:p w14:paraId="3EB84904" w14:textId="0A6F3F0D"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Apple’s gross profit margin (GPM) increased from 44.13% in 2023 to 46.21% in 2024</w:t>
      </w:r>
      <w:r>
        <w:rPr>
          <w:rFonts w:ascii="Times New Roman" w:hAnsi="Times New Roman" w:cs="Times New Roman"/>
        </w:rPr>
        <w:t>,</w:t>
      </w:r>
      <w:r w:rsidRPr="001642A8">
        <w:rPr>
          <w:rFonts w:ascii="Times New Roman" w:hAnsi="Times New Roman" w:cs="Times New Roman"/>
        </w:rPr>
        <w:t xml:space="preserve"> indicating that they have increased their ability to control the cost of the products and services they provide, and/or that they sold a higher proportion of more expensive items, thereby improving their </w:t>
      </w:r>
      <w:r w:rsidRPr="001642A8">
        <w:rPr>
          <w:rFonts w:ascii="Times New Roman" w:hAnsi="Times New Roman" w:cs="Times New Roman"/>
        </w:rPr>
        <w:t>profitability. The</w:t>
      </w:r>
      <w:r w:rsidRPr="001642A8">
        <w:rPr>
          <w:rFonts w:ascii="Times New Roman" w:hAnsi="Times New Roman" w:cs="Times New Roman"/>
        </w:rPr>
        <w:t xml:space="preserve"> primary factor behind this trend appears to be continued service sales growing from $85.2bn in FY123/4CY2023 to $96.2bn in FY124/4CY2024, while total sales have increased only slightly (approximately +1%). Since services typically have higher margins than hardware, a higher proportion of service revenue supports an increase in gross margin. Apple reported that iPhone sales were relatively flat year-on-year compared to 13% growth in service sales.</w:t>
      </w:r>
    </w:p>
    <w:p w14:paraId="2FF9BA0F" w14:textId="2D2629F7"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Although net profit margin decreased from 25.31% to 23.97%</w:t>
      </w:r>
      <w:r>
        <w:rPr>
          <w:rFonts w:ascii="Times New Roman" w:hAnsi="Times New Roman" w:cs="Times New Roman"/>
        </w:rPr>
        <w:t>,</w:t>
      </w:r>
      <w:r w:rsidRPr="001642A8">
        <w:rPr>
          <w:rFonts w:ascii="Times New Roman" w:hAnsi="Times New Roman" w:cs="Times New Roman"/>
        </w:rPr>
        <w:t xml:space="preserve"> return on assets (ROA) &amp; return on equity (ROE) also declined. Therefore, relative to 2023</w:t>
      </w:r>
      <w:r>
        <w:rPr>
          <w:rFonts w:ascii="Times New Roman" w:hAnsi="Times New Roman" w:cs="Times New Roman"/>
        </w:rPr>
        <w:t>,</w:t>
      </w:r>
      <w:r w:rsidRPr="001642A8">
        <w:rPr>
          <w:rFonts w:ascii="Times New Roman" w:hAnsi="Times New Roman" w:cs="Times New Roman"/>
        </w:rPr>
        <w:t xml:space="preserve"> Apple was less efficient at </w:t>
      </w:r>
      <w:r w:rsidRPr="001642A8">
        <w:rPr>
          <w:rFonts w:ascii="Times New Roman" w:hAnsi="Times New Roman" w:cs="Times New Roman"/>
        </w:rPr>
        <w:lastRenderedPageBreak/>
        <w:t xml:space="preserve">converting sales &amp; assets into net income during FY124/4CY2024. One major reason was Apple’s one-off income tax expense recorded in Q4FY124/4CY2024, </w:t>
      </w:r>
      <w:r>
        <w:rPr>
          <w:rFonts w:ascii="Times New Roman" w:hAnsi="Times New Roman" w:cs="Times New Roman"/>
        </w:rPr>
        <w:t>recognised</w:t>
      </w:r>
      <w:r w:rsidRPr="001642A8">
        <w:rPr>
          <w:rFonts w:ascii="Times New Roman" w:hAnsi="Times New Roman" w:cs="Times New Roman"/>
        </w:rPr>
        <w:t xml:space="preserve"> due to </w:t>
      </w:r>
      <w:r>
        <w:rPr>
          <w:rFonts w:ascii="Times New Roman" w:hAnsi="Times New Roman" w:cs="Times New Roman"/>
        </w:rPr>
        <w:t xml:space="preserve">a </w:t>
      </w:r>
      <w:r w:rsidRPr="001642A8">
        <w:rPr>
          <w:rFonts w:ascii="Times New Roman" w:hAnsi="Times New Roman" w:cs="Times New Roman"/>
        </w:rPr>
        <w:t>reversed European Court of Justice, State Aid subsidy condition decision, which Apple’s UK newsroom released, indicating this one-off item materially affected quarterly earnings, even though underlying or core business performance continued to be strong.</w:t>
      </w:r>
    </w:p>
    <w:p w14:paraId="7C084F0D" w14:textId="3371662C"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These results support Lu (2024) and indicate that although Apple remains financially healthy</w:t>
      </w:r>
      <w:r>
        <w:rPr>
          <w:rFonts w:ascii="Times New Roman" w:hAnsi="Times New Roman" w:cs="Times New Roman"/>
        </w:rPr>
        <w:t>,</w:t>
      </w:r>
      <w:r w:rsidRPr="001642A8">
        <w:rPr>
          <w:rFonts w:ascii="Times New Roman" w:hAnsi="Times New Roman" w:cs="Times New Roman"/>
        </w:rPr>
        <w:t xml:space="preserve"> Apple should be assessed beyond total revenue growth, as one-off, other non-operating items and income tax impacts will materially affect final earnings. These results are also consistent with Simic &amp; Jovicic (2023) in that Apple has strong operating fundamentals, but the use of trend analysis will help determine what part of Apple’s recent financial performance is attributed to operating strength as opposed to non-operating, externally reported factors.</w:t>
      </w:r>
    </w:p>
    <w:p w14:paraId="1EA5385D" w14:textId="77777777" w:rsidR="001642A8" w:rsidRPr="001642A8" w:rsidRDefault="001642A8" w:rsidP="001642A8">
      <w:pPr>
        <w:spacing w:line="480" w:lineRule="auto"/>
        <w:rPr>
          <w:rFonts w:ascii="Times New Roman" w:hAnsi="Times New Roman" w:cs="Times New Roman"/>
          <w:b/>
          <w:bCs/>
        </w:rPr>
      </w:pPr>
      <w:r w:rsidRPr="001642A8">
        <w:rPr>
          <w:rFonts w:ascii="Times New Roman" w:hAnsi="Times New Roman" w:cs="Times New Roman"/>
          <w:b/>
          <w:bCs/>
        </w:rPr>
        <w:t>Liquidity</w:t>
      </w:r>
    </w:p>
    <w:p w14:paraId="3AD321D5" w14:textId="6209E810"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Apple’s current ratio fell from 0.99 to 0.87</w:t>
      </w:r>
      <w:r>
        <w:rPr>
          <w:rFonts w:ascii="Times New Roman" w:hAnsi="Times New Roman" w:cs="Times New Roman"/>
        </w:rPr>
        <w:t>,</w:t>
      </w:r>
      <w:r w:rsidRPr="001642A8">
        <w:rPr>
          <w:rFonts w:ascii="Times New Roman" w:hAnsi="Times New Roman" w:cs="Times New Roman"/>
        </w:rPr>
        <w:t xml:space="preserve"> indicating the company had greater short-term liabilities than short-term assets in FY124/4CY2024.</w:t>
      </w:r>
      <w:r>
        <w:rPr>
          <w:rFonts w:ascii="Times New Roman" w:hAnsi="Times New Roman" w:cs="Times New Roman"/>
        </w:rPr>
        <w:t xml:space="preserve"> </w:t>
      </w:r>
      <w:r w:rsidRPr="001642A8">
        <w:rPr>
          <w:rFonts w:ascii="Times New Roman" w:hAnsi="Times New Roman" w:cs="Times New Roman"/>
        </w:rPr>
        <w:t xml:space="preserve">Companies need to take caution when interpreting Apple's liquidity position because, in many cases, they will perceive it as weak. However, because Apple has incredible operating cash flow generation and a significant </w:t>
      </w:r>
      <w:r w:rsidRPr="001642A8">
        <w:rPr>
          <w:rFonts w:ascii="Times New Roman" w:hAnsi="Times New Roman" w:cs="Times New Roman"/>
        </w:rPr>
        <w:t>number</w:t>
      </w:r>
      <w:r w:rsidRPr="001642A8">
        <w:rPr>
          <w:rFonts w:ascii="Times New Roman" w:hAnsi="Times New Roman" w:cs="Times New Roman"/>
        </w:rPr>
        <w:t xml:space="preserve"> of marketable securities available, along with strong business relationships with suppliers, </w:t>
      </w:r>
      <w:r>
        <w:rPr>
          <w:rFonts w:ascii="Times New Roman" w:hAnsi="Times New Roman" w:cs="Times New Roman"/>
        </w:rPr>
        <w:t>its</w:t>
      </w:r>
      <w:r w:rsidRPr="001642A8">
        <w:rPr>
          <w:rFonts w:ascii="Times New Roman" w:hAnsi="Times New Roman" w:cs="Times New Roman"/>
        </w:rPr>
        <w:t xml:space="preserve"> liquidity position is very solid. In addition, the most recent decline in Apple’s liquidity position demonstrates tighter short-term coverage for the company, which increases its exposure to pressure if market conditions continue to worsen. Furthermore, Apple also acknowledges that macroeconomic weakness, inflation, high-interest rates, and global uncertainty could impact demand and operations.</w:t>
      </w:r>
    </w:p>
    <w:p w14:paraId="4A0CBA4E" w14:textId="17EB4B67"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 xml:space="preserve">Apple had $2.82 trillion in total assets and generated an asset turnover ratio of approximately 1.09. This is consistent with Apple’s ability to generate revenue with its asset base and </w:t>
      </w:r>
      <w:r w:rsidRPr="001642A8">
        <w:rPr>
          <w:rFonts w:ascii="Times New Roman" w:hAnsi="Times New Roman" w:cs="Times New Roman"/>
        </w:rPr>
        <w:lastRenderedPageBreak/>
        <w:t>demonstrate the effectiveness of its operating model; therefore, Apple’s asset turnover ratio was stable. Several authors (Zhang, 2022</w:t>
      </w:r>
      <w:r>
        <w:rPr>
          <w:rFonts w:ascii="Times New Roman" w:hAnsi="Times New Roman" w:cs="Times New Roman"/>
        </w:rPr>
        <w:t>;</w:t>
      </w:r>
      <w:r w:rsidRPr="001642A8">
        <w:rPr>
          <w:rFonts w:ascii="Times New Roman" w:hAnsi="Times New Roman" w:cs="Times New Roman"/>
        </w:rPr>
        <w:t xml:space="preserve"> Doan &amp; Nguyen, 2022) support the importance of Apple’s business model, including its high-end branding strategy, the creation of an ecosystem, and its dominance in pricing power as contributing factors to maintain the efficiency of asset use.</w:t>
      </w:r>
    </w:p>
    <w:p w14:paraId="67735463" w14:textId="5EF78E9F"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 xml:space="preserve">Apple’s debt-to-equity ratio has declined from 4.67 to 5.41. This does not indicate that Apple has incurred significant debt </w:t>
      </w:r>
      <w:r w:rsidRPr="001642A8">
        <w:rPr>
          <w:rFonts w:ascii="Times New Roman" w:hAnsi="Times New Roman" w:cs="Times New Roman"/>
        </w:rPr>
        <w:t>because of</w:t>
      </w:r>
      <w:r w:rsidRPr="001642A8">
        <w:rPr>
          <w:rFonts w:ascii="Times New Roman" w:hAnsi="Times New Roman" w:cs="Times New Roman"/>
        </w:rPr>
        <w:t xml:space="preserve"> aggressive borrowing; rather, this occurred due to a significant decline in equity </w:t>
      </w:r>
      <w:proofErr w:type="gramStart"/>
      <w:r w:rsidRPr="001642A8">
        <w:rPr>
          <w:rFonts w:ascii="Times New Roman" w:hAnsi="Times New Roman" w:cs="Times New Roman"/>
        </w:rPr>
        <w:t>as a result of</w:t>
      </w:r>
      <w:proofErr w:type="gramEnd"/>
      <w:r w:rsidRPr="001642A8">
        <w:rPr>
          <w:rFonts w:ascii="Times New Roman" w:hAnsi="Times New Roman" w:cs="Times New Roman"/>
        </w:rPr>
        <w:t xml:space="preserve"> large share repurchases. Apple repurchased $95 billion of stock in 2024 compared to $77 billion in 2023, resulting in equity being reduced and, mechanically, the increase of leverage. This also helps explain why Apple’s return on equity is so high; namely, the amount of equity on Apple’s balance sheet is small relative to their earnings. Heikal et al. (2014) noted that leverage ratios impact how fast a company </w:t>
      </w:r>
      <w:r>
        <w:rPr>
          <w:rFonts w:ascii="Times New Roman" w:hAnsi="Times New Roman" w:cs="Times New Roman"/>
        </w:rPr>
        <w:t>can grow</w:t>
      </w:r>
      <w:r w:rsidRPr="001642A8">
        <w:rPr>
          <w:rFonts w:ascii="Times New Roman" w:hAnsi="Times New Roman" w:cs="Times New Roman"/>
        </w:rPr>
        <w:t xml:space="preserve"> and therefore </w:t>
      </w:r>
      <w:r>
        <w:rPr>
          <w:rFonts w:ascii="Times New Roman" w:hAnsi="Times New Roman" w:cs="Times New Roman"/>
        </w:rPr>
        <w:t>receive</w:t>
      </w:r>
      <w:r w:rsidRPr="001642A8">
        <w:rPr>
          <w:rFonts w:ascii="Times New Roman" w:hAnsi="Times New Roman" w:cs="Times New Roman"/>
        </w:rPr>
        <w:t xml:space="preserve"> magnified </w:t>
      </w:r>
      <w:r w:rsidRPr="001642A8">
        <w:rPr>
          <w:rFonts w:ascii="Times New Roman" w:hAnsi="Times New Roman" w:cs="Times New Roman"/>
        </w:rPr>
        <w:t>returns</w:t>
      </w:r>
      <w:r>
        <w:rPr>
          <w:rFonts w:ascii="Times New Roman" w:hAnsi="Times New Roman" w:cs="Times New Roman"/>
        </w:rPr>
        <w:t xml:space="preserve"> but</w:t>
      </w:r>
      <w:r w:rsidRPr="001642A8">
        <w:rPr>
          <w:rFonts w:ascii="Times New Roman" w:hAnsi="Times New Roman" w:cs="Times New Roman"/>
        </w:rPr>
        <w:t xml:space="preserve"> also increased financial risk.</w:t>
      </w:r>
    </w:p>
    <w:p w14:paraId="1E826C72" w14:textId="16D285AE" w:rsidR="001642A8" w:rsidRPr="001642A8" w:rsidRDefault="001642A8" w:rsidP="001642A8">
      <w:pPr>
        <w:spacing w:line="480" w:lineRule="auto"/>
        <w:rPr>
          <w:rFonts w:ascii="Times New Roman" w:hAnsi="Times New Roman" w:cs="Times New Roman"/>
          <w:b/>
          <w:bCs/>
        </w:rPr>
      </w:pPr>
      <w:r w:rsidRPr="001642A8">
        <w:rPr>
          <w:rFonts w:ascii="Times New Roman" w:hAnsi="Times New Roman" w:cs="Times New Roman"/>
          <w:b/>
          <w:bCs/>
        </w:rPr>
        <w:t>Better or Worse than Last Year</w:t>
      </w:r>
    </w:p>
    <w:p w14:paraId="34128225" w14:textId="5A275FC6"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 xml:space="preserve">Regardless of operational performance, Apple had better operational results during the year than its net profits. Apple's operations were helped by higher revenues, higher gross margins, a large increase in services, and a constant level of asset efficiency. Numerous studies indicate </w:t>
      </w:r>
      <w:r>
        <w:rPr>
          <w:rFonts w:ascii="Times New Roman" w:hAnsi="Times New Roman" w:cs="Times New Roman"/>
        </w:rPr>
        <w:t xml:space="preserve">that </w:t>
      </w:r>
      <w:r w:rsidRPr="001642A8">
        <w:rPr>
          <w:rFonts w:ascii="Times New Roman" w:hAnsi="Times New Roman" w:cs="Times New Roman"/>
        </w:rPr>
        <w:t>Apple's strong capacity for innovation, ecosystem lock-in, and brand strength are competitive advantages (Tian et al., 2022; Yin, 2023; Li, 2023).</w:t>
      </w:r>
    </w:p>
    <w:p w14:paraId="36A53A90" w14:textId="77777777"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 xml:space="preserve">Despite the operational improvements, Apple's ratios were worse off due to three major influences. First, a one-time tax penalty reduced total reported earnings. Second, liquidity decreased as current liabilities were increasing at a faster rate than current assets. Finally, the leverage ratio increased because the large buybacks reduced the company's equity balance. Lu et al. (2023) state that long-term profitability is now more linked to the engagement of </w:t>
      </w:r>
      <w:r w:rsidRPr="001642A8">
        <w:rPr>
          <w:rFonts w:ascii="Times New Roman" w:hAnsi="Times New Roman" w:cs="Times New Roman"/>
        </w:rPr>
        <w:lastRenderedPageBreak/>
        <w:t>company stakeholders and the degree of sustainability based on ESG (environmental, social, and governance) theories as opposed to just short-term shareholder return.</w:t>
      </w:r>
    </w:p>
    <w:p w14:paraId="3941EEB3" w14:textId="0C38E766" w:rsidR="001642A8" w:rsidRPr="001642A8" w:rsidRDefault="001642A8" w:rsidP="001642A8">
      <w:pPr>
        <w:spacing w:line="480" w:lineRule="auto"/>
        <w:rPr>
          <w:rFonts w:ascii="Times New Roman" w:hAnsi="Times New Roman" w:cs="Times New Roman"/>
          <w:b/>
          <w:bCs/>
        </w:rPr>
      </w:pPr>
      <w:r w:rsidRPr="001642A8">
        <w:rPr>
          <w:rFonts w:ascii="Times New Roman" w:hAnsi="Times New Roman" w:cs="Times New Roman"/>
          <w:b/>
          <w:bCs/>
        </w:rPr>
        <w:t>Improvements Apple Should Make in the Future</w:t>
      </w:r>
    </w:p>
    <w:p w14:paraId="764E16C0" w14:textId="77777777" w:rsidR="001642A8" w:rsidRDefault="001642A8" w:rsidP="001642A8">
      <w:pPr>
        <w:spacing w:line="480" w:lineRule="auto"/>
        <w:rPr>
          <w:rFonts w:ascii="Times New Roman" w:hAnsi="Times New Roman" w:cs="Times New Roman"/>
        </w:rPr>
      </w:pPr>
      <w:r w:rsidRPr="001642A8">
        <w:rPr>
          <w:rFonts w:ascii="Times New Roman" w:hAnsi="Times New Roman" w:cs="Times New Roman"/>
        </w:rPr>
        <w:t xml:space="preserve">Apple should make four enhancements to its operations. To maintain a higher level of equity, Apple should reduce the pace of its share buybacks. This would help improve the debt-to-equity ratio while also reducing financial risk. Apple should improve its liquidity management systems to maintain higher levels of cash vs. short-term liability levels. Apple should continue expanding high-margin services, as this has a clear impact on gross profitability. Lastly, Apple should invest more in sustainability </w:t>
      </w:r>
      <w:r w:rsidRPr="001642A8">
        <w:rPr>
          <w:rFonts w:ascii="Times New Roman" w:hAnsi="Times New Roman" w:cs="Times New Roman"/>
        </w:rPr>
        <w:t>using</w:t>
      </w:r>
      <w:r w:rsidRPr="001642A8">
        <w:rPr>
          <w:rFonts w:ascii="Times New Roman" w:hAnsi="Times New Roman" w:cs="Times New Roman"/>
        </w:rPr>
        <w:t xml:space="preserve"> low-carbon-generated electricity, recycled </w:t>
      </w:r>
      <w:r>
        <w:rPr>
          <w:rFonts w:ascii="Times New Roman" w:hAnsi="Times New Roman" w:cs="Times New Roman"/>
        </w:rPr>
        <w:t>materials</w:t>
      </w:r>
      <w:r w:rsidRPr="001642A8">
        <w:rPr>
          <w:rFonts w:ascii="Times New Roman" w:hAnsi="Times New Roman" w:cs="Times New Roman"/>
        </w:rPr>
        <w:t>, and cost-efficient packaging</w:t>
      </w:r>
      <w:r>
        <w:rPr>
          <w:rFonts w:ascii="Times New Roman" w:hAnsi="Times New Roman" w:cs="Times New Roman"/>
        </w:rPr>
        <w:t>,</w:t>
      </w:r>
      <w:r w:rsidRPr="001642A8">
        <w:rPr>
          <w:rFonts w:ascii="Times New Roman" w:hAnsi="Times New Roman" w:cs="Times New Roman"/>
        </w:rPr>
        <w:t xml:space="preserve"> as the more </w:t>
      </w:r>
      <w:r>
        <w:rPr>
          <w:rFonts w:ascii="Times New Roman" w:hAnsi="Times New Roman" w:cs="Times New Roman"/>
        </w:rPr>
        <w:t>sustainable</w:t>
      </w:r>
      <w:r w:rsidRPr="001642A8">
        <w:rPr>
          <w:rFonts w:ascii="Times New Roman" w:hAnsi="Times New Roman" w:cs="Times New Roman"/>
        </w:rPr>
        <w:t xml:space="preserve"> an operation </w:t>
      </w:r>
      <w:r>
        <w:rPr>
          <w:rFonts w:ascii="Times New Roman" w:hAnsi="Times New Roman" w:cs="Times New Roman"/>
        </w:rPr>
        <w:t>is</w:t>
      </w:r>
      <w:r w:rsidRPr="001642A8">
        <w:rPr>
          <w:rFonts w:ascii="Times New Roman" w:hAnsi="Times New Roman" w:cs="Times New Roman"/>
        </w:rPr>
        <w:t xml:space="preserve">, the more opportunities for cost savings, business resilience, and stakeholder value can be created over time (Lu et al., 2023). Apple is already working on providing its suppliers with clean energy, recycled materials, and </w:t>
      </w:r>
      <w:r>
        <w:rPr>
          <w:rFonts w:ascii="Times New Roman" w:hAnsi="Times New Roman" w:cs="Times New Roman"/>
        </w:rPr>
        <w:t>fibre-based</w:t>
      </w:r>
      <w:r w:rsidRPr="001642A8">
        <w:rPr>
          <w:rFonts w:ascii="Times New Roman" w:hAnsi="Times New Roman" w:cs="Times New Roman"/>
        </w:rPr>
        <w:t xml:space="preserve"> packaging, which they should continue to do.</w:t>
      </w:r>
    </w:p>
    <w:p w14:paraId="2B5910FB" w14:textId="488A222E" w:rsidR="001642A8" w:rsidRPr="001642A8" w:rsidRDefault="001642A8" w:rsidP="001642A8">
      <w:pPr>
        <w:spacing w:line="480" w:lineRule="auto"/>
        <w:rPr>
          <w:rFonts w:ascii="Times New Roman" w:hAnsi="Times New Roman" w:cs="Times New Roman"/>
        </w:rPr>
      </w:pPr>
      <w:r w:rsidRPr="001642A8">
        <w:rPr>
          <w:rFonts w:ascii="Times New Roman" w:hAnsi="Times New Roman" w:cs="Times New Roman"/>
        </w:rPr>
        <w:t>AI-supported accounting analytics would also benefit Apple with improved forecasting and decision-making quality through enhanced planning, identifying anomalies in data, and providing forward-looking technical financial controls (</w:t>
      </w:r>
      <w:proofErr w:type="spellStart"/>
      <w:r w:rsidRPr="001642A8">
        <w:rPr>
          <w:rFonts w:ascii="Times New Roman" w:hAnsi="Times New Roman" w:cs="Times New Roman"/>
        </w:rPr>
        <w:t>Kureljusic</w:t>
      </w:r>
      <w:proofErr w:type="spellEnd"/>
      <w:r w:rsidRPr="001642A8">
        <w:rPr>
          <w:rFonts w:ascii="Times New Roman" w:hAnsi="Times New Roman" w:cs="Times New Roman"/>
        </w:rPr>
        <w:t xml:space="preserve"> &amp; Karger, 2024).</w:t>
      </w:r>
    </w:p>
    <w:p w14:paraId="32F830BA" w14:textId="231180C8" w:rsidR="001642A8" w:rsidRPr="001642A8" w:rsidRDefault="001642A8" w:rsidP="001642A8">
      <w:pPr>
        <w:spacing w:line="480" w:lineRule="auto"/>
        <w:rPr>
          <w:rFonts w:ascii="Times New Roman" w:hAnsi="Times New Roman" w:cs="Times New Roman"/>
          <w:b/>
          <w:bCs/>
        </w:rPr>
      </w:pPr>
      <w:r w:rsidRPr="001642A8">
        <w:rPr>
          <w:rFonts w:ascii="Times New Roman" w:hAnsi="Times New Roman" w:cs="Times New Roman"/>
          <w:b/>
          <w:bCs/>
        </w:rPr>
        <w:t xml:space="preserve">Conclusion </w:t>
      </w:r>
    </w:p>
    <w:p w14:paraId="60EFDDA6" w14:textId="2D909A34" w:rsidR="001642A8" w:rsidRDefault="001642A8" w:rsidP="001642A8">
      <w:pPr>
        <w:spacing w:line="480" w:lineRule="auto"/>
        <w:rPr>
          <w:rFonts w:ascii="Times New Roman" w:hAnsi="Times New Roman" w:cs="Times New Roman"/>
        </w:rPr>
      </w:pPr>
      <w:r w:rsidRPr="001642A8">
        <w:rPr>
          <w:rFonts w:ascii="Times New Roman" w:hAnsi="Times New Roman" w:cs="Times New Roman"/>
        </w:rPr>
        <w:t xml:space="preserve">The ratio analyses indicate that while Apple was still a very strong enterprise in 2024, </w:t>
      </w:r>
      <w:r>
        <w:rPr>
          <w:rFonts w:ascii="Times New Roman" w:hAnsi="Times New Roman" w:cs="Times New Roman"/>
        </w:rPr>
        <w:t>its</w:t>
      </w:r>
      <w:r w:rsidRPr="001642A8">
        <w:rPr>
          <w:rFonts w:ascii="Times New Roman" w:hAnsi="Times New Roman" w:cs="Times New Roman"/>
        </w:rPr>
        <w:t xml:space="preserve"> performance on a year-over-year basis is very mixed. Apple had improved revenues and gross profit ratios; however, their efficiencies were still very solid, while they also experienced a decline in liquidity, increased leverage, and decreased profitability from operations. The biggest reason Apple has improved </w:t>
      </w:r>
      <w:r>
        <w:rPr>
          <w:rFonts w:ascii="Times New Roman" w:hAnsi="Times New Roman" w:cs="Times New Roman"/>
        </w:rPr>
        <w:t xml:space="preserve">its </w:t>
      </w:r>
      <w:r w:rsidRPr="001642A8">
        <w:rPr>
          <w:rFonts w:ascii="Times New Roman" w:hAnsi="Times New Roman" w:cs="Times New Roman"/>
        </w:rPr>
        <w:t xml:space="preserve">operations </w:t>
      </w:r>
      <w:r>
        <w:rPr>
          <w:rFonts w:ascii="Times New Roman" w:hAnsi="Times New Roman" w:cs="Times New Roman"/>
        </w:rPr>
        <w:t>is</w:t>
      </w:r>
      <w:r w:rsidRPr="001642A8">
        <w:rPr>
          <w:rFonts w:ascii="Times New Roman" w:hAnsi="Times New Roman" w:cs="Times New Roman"/>
        </w:rPr>
        <w:t xml:space="preserve"> that the strength of operations accounted for the decrease in reported earnings; however, the one-time tax expense and its aggressive </w:t>
      </w:r>
      <w:r w:rsidRPr="001642A8">
        <w:rPr>
          <w:rFonts w:ascii="Times New Roman" w:hAnsi="Times New Roman" w:cs="Times New Roman"/>
        </w:rPr>
        <w:lastRenderedPageBreak/>
        <w:t>distribution of capital dollars negatively affected the earnings reported. While revenue-driven results from the ratio analysis provided many of these answers, it also identified changes that may not have been attributable to total revenue alone. Using the ratio analysis helps in separating new operational strength vs. overall financial risk from operational results otherwise reported. Results from the ratio analysis are still helpful in determining how we can help improve Apple's long-term performance through the continued balance of overall profitability, liquidity, capital structure, and sustainability</w:t>
      </w:r>
    </w:p>
    <w:p w14:paraId="3FB80900" w14:textId="77777777" w:rsidR="001642A8" w:rsidRDefault="001642A8" w:rsidP="001642A8">
      <w:pPr>
        <w:spacing w:line="480" w:lineRule="auto"/>
        <w:rPr>
          <w:rFonts w:ascii="Times New Roman" w:hAnsi="Times New Roman" w:cs="Times New Roman"/>
        </w:rPr>
      </w:pPr>
    </w:p>
    <w:p w14:paraId="73601937" w14:textId="77777777" w:rsidR="001642A8" w:rsidRDefault="001642A8" w:rsidP="001642A8">
      <w:pPr>
        <w:spacing w:line="480" w:lineRule="auto"/>
        <w:rPr>
          <w:rFonts w:ascii="Times New Roman" w:hAnsi="Times New Roman" w:cs="Times New Roman"/>
        </w:rPr>
      </w:pPr>
    </w:p>
    <w:p w14:paraId="47EDEEFF" w14:textId="77777777" w:rsidR="001642A8" w:rsidRDefault="001642A8" w:rsidP="001642A8">
      <w:pPr>
        <w:spacing w:line="480" w:lineRule="auto"/>
        <w:rPr>
          <w:rFonts w:ascii="Times New Roman" w:hAnsi="Times New Roman" w:cs="Times New Roman"/>
        </w:rPr>
      </w:pPr>
    </w:p>
    <w:p w14:paraId="477D51E1" w14:textId="77777777" w:rsidR="001642A8" w:rsidRDefault="001642A8" w:rsidP="001642A8">
      <w:pPr>
        <w:spacing w:line="480" w:lineRule="auto"/>
        <w:rPr>
          <w:rFonts w:ascii="Times New Roman" w:hAnsi="Times New Roman" w:cs="Times New Roman"/>
        </w:rPr>
      </w:pPr>
    </w:p>
    <w:p w14:paraId="7794BEA7" w14:textId="77777777" w:rsidR="001642A8" w:rsidRDefault="001642A8" w:rsidP="001642A8">
      <w:pPr>
        <w:spacing w:line="480" w:lineRule="auto"/>
        <w:rPr>
          <w:rFonts w:ascii="Times New Roman" w:hAnsi="Times New Roman" w:cs="Times New Roman"/>
        </w:rPr>
      </w:pPr>
    </w:p>
    <w:p w14:paraId="1292BD1B" w14:textId="77777777" w:rsidR="001642A8" w:rsidRDefault="001642A8" w:rsidP="001642A8">
      <w:pPr>
        <w:spacing w:line="480" w:lineRule="auto"/>
        <w:rPr>
          <w:rFonts w:ascii="Times New Roman" w:hAnsi="Times New Roman" w:cs="Times New Roman"/>
        </w:rPr>
      </w:pPr>
    </w:p>
    <w:p w14:paraId="59AE310B" w14:textId="77777777" w:rsidR="001642A8" w:rsidRDefault="001642A8" w:rsidP="001642A8">
      <w:pPr>
        <w:spacing w:line="480" w:lineRule="auto"/>
        <w:rPr>
          <w:rFonts w:ascii="Times New Roman" w:hAnsi="Times New Roman" w:cs="Times New Roman"/>
        </w:rPr>
      </w:pPr>
    </w:p>
    <w:p w14:paraId="2D27B248" w14:textId="77777777" w:rsidR="001642A8" w:rsidRDefault="001642A8" w:rsidP="001642A8">
      <w:pPr>
        <w:spacing w:line="480" w:lineRule="auto"/>
        <w:rPr>
          <w:rFonts w:ascii="Times New Roman" w:hAnsi="Times New Roman" w:cs="Times New Roman"/>
        </w:rPr>
      </w:pPr>
    </w:p>
    <w:p w14:paraId="02AD428D" w14:textId="77777777" w:rsidR="001642A8" w:rsidRDefault="001642A8" w:rsidP="001642A8">
      <w:pPr>
        <w:spacing w:line="480" w:lineRule="auto"/>
        <w:rPr>
          <w:rFonts w:ascii="Times New Roman" w:hAnsi="Times New Roman" w:cs="Times New Roman"/>
        </w:rPr>
      </w:pPr>
    </w:p>
    <w:p w14:paraId="3B597579" w14:textId="77777777" w:rsidR="001642A8" w:rsidRDefault="001642A8" w:rsidP="001642A8">
      <w:pPr>
        <w:spacing w:line="480" w:lineRule="auto"/>
        <w:rPr>
          <w:rFonts w:ascii="Times New Roman" w:hAnsi="Times New Roman" w:cs="Times New Roman"/>
        </w:rPr>
      </w:pPr>
    </w:p>
    <w:p w14:paraId="7D49BB6B" w14:textId="77777777" w:rsidR="001642A8" w:rsidRDefault="001642A8" w:rsidP="001642A8">
      <w:pPr>
        <w:spacing w:line="480" w:lineRule="auto"/>
        <w:rPr>
          <w:rFonts w:ascii="Times New Roman" w:hAnsi="Times New Roman" w:cs="Times New Roman"/>
        </w:rPr>
      </w:pPr>
    </w:p>
    <w:p w14:paraId="14EAD96A" w14:textId="77777777" w:rsidR="001642A8" w:rsidRDefault="001642A8" w:rsidP="001642A8">
      <w:pPr>
        <w:spacing w:line="480" w:lineRule="auto"/>
        <w:rPr>
          <w:rFonts w:ascii="Times New Roman" w:hAnsi="Times New Roman" w:cs="Times New Roman"/>
        </w:rPr>
      </w:pPr>
    </w:p>
    <w:p w14:paraId="68BC322C" w14:textId="77777777" w:rsidR="001642A8" w:rsidRDefault="001642A8" w:rsidP="001642A8">
      <w:pPr>
        <w:spacing w:line="480" w:lineRule="auto"/>
        <w:rPr>
          <w:rFonts w:ascii="Times New Roman" w:hAnsi="Times New Roman" w:cs="Times New Roman"/>
        </w:rPr>
      </w:pPr>
    </w:p>
    <w:p w14:paraId="53476A6E" w14:textId="77777777" w:rsidR="001642A8" w:rsidRDefault="001642A8" w:rsidP="001642A8">
      <w:pPr>
        <w:spacing w:line="480" w:lineRule="auto"/>
        <w:rPr>
          <w:rFonts w:ascii="Times New Roman" w:hAnsi="Times New Roman" w:cs="Times New Roman"/>
        </w:rPr>
      </w:pPr>
    </w:p>
    <w:p w14:paraId="021341A8" w14:textId="3FC41738" w:rsidR="001642A8" w:rsidRPr="00522E93" w:rsidRDefault="001642A8" w:rsidP="001642A8">
      <w:pPr>
        <w:spacing w:line="480" w:lineRule="auto"/>
        <w:rPr>
          <w:rFonts w:ascii="Times New Roman" w:hAnsi="Times New Roman" w:cs="Times New Roman"/>
          <w:b/>
          <w:bCs/>
        </w:rPr>
      </w:pPr>
      <w:r w:rsidRPr="00522E93">
        <w:rPr>
          <w:rFonts w:ascii="Times New Roman" w:hAnsi="Times New Roman" w:cs="Times New Roman"/>
          <w:b/>
          <w:bCs/>
        </w:rPr>
        <w:lastRenderedPageBreak/>
        <w:t xml:space="preserve">References </w:t>
      </w:r>
    </w:p>
    <w:p w14:paraId="0BF5D3B4" w14:textId="77777777" w:rsidR="00522E93" w:rsidRPr="00522E93" w:rsidRDefault="00522E93" w:rsidP="00522E93">
      <w:pPr>
        <w:spacing w:line="480" w:lineRule="auto"/>
        <w:rPr>
          <w:rFonts w:ascii="Times New Roman" w:hAnsi="Times New Roman" w:cs="Times New Roman"/>
          <w:i/>
          <w:iCs/>
        </w:rPr>
      </w:pPr>
      <w:r w:rsidRPr="00522E93">
        <w:rPr>
          <w:rFonts w:ascii="Times New Roman" w:hAnsi="Times New Roman" w:cs="Times New Roman"/>
        </w:rPr>
        <w:t xml:space="preserve">Doan, T., &amp; Nguyen, H. H. (2022). Value creation and value capture: Analysis of Apple Company. </w:t>
      </w:r>
      <w:r w:rsidRPr="00522E93">
        <w:rPr>
          <w:rFonts w:ascii="Times New Roman" w:hAnsi="Times New Roman" w:cs="Times New Roman"/>
          <w:i/>
          <w:iCs/>
        </w:rPr>
        <w:t>International Journal of Current Science Research and Review.</w:t>
      </w:r>
    </w:p>
    <w:p w14:paraId="2A819678" w14:textId="09BEE6D7"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Heikal, M., Khaddafi, M., &amp; Ummah, A. (2014). Influence analysis of return on assets (ROA), return on equity (ROE), net profit margin (NPM), debt to equity ratio (DER), and current ratio (CR) against corporate profit growth in </w:t>
      </w:r>
      <w:r>
        <w:rPr>
          <w:rFonts w:ascii="Times New Roman" w:hAnsi="Times New Roman" w:cs="Times New Roman"/>
        </w:rPr>
        <w:t xml:space="preserve">the </w:t>
      </w:r>
      <w:r w:rsidRPr="00522E93">
        <w:rPr>
          <w:rFonts w:ascii="Times New Roman" w:hAnsi="Times New Roman" w:cs="Times New Roman"/>
        </w:rPr>
        <w:t xml:space="preserve">automotive </w:t>
      </w:r>
      <w:r>
        <w:rPr>
          <w:rFonts w:ascii="Times New Roman" w:hAnsi="Times New Roman" w:cs="Times New Roman"/>
        </w:rPr>
        <w:t xml:space="preserve">industry </w:t>
      </w:r>
      <w:r w:rsidRPr="00522E93">
        <w:rPr>
          <w:rFonts w:ascii="Times New Roman" w:hAnsi="Times New Roman" w:cs="Times New Roman"/>
        </w:rPr>
        <w:t xml:space="preserve">in Indonesia Stock Exchange. </w:t>
      </w:r>
      <w:r w:rsidRPr="00522E93">
        <w:rPr>
          <w:rFonts w:ascii="Times New Roman" w:hAnsi="Times New Roman" w:cs="Times New Roman"/>
          <w:i/>
          <w:iCs/>
        </w:rPr>
        <w:t>International Journal of Academic Research in Business and Social Sciences, 4</w:t>
      </w:r>
      <w:r w:rsidRPr="00522E93">
        <w:rPr>
          <w:rFonts w:ascii="Times New Roman" w:hAnsi="Times New Roman" w:cs="Times New Roman"/>
        </w:rPr>
        <w:t>(12), 101–114.</w:t>
      </w:r>
    </w:p>
    <w:p w14:paraId="7A60C98D" w14:textId="77777777" w:rsidR="00522E93" w:rsidRPr="00522E93" w:rsidRDefault="00522E93" w:rsidP="00522E93">
      <w:pPr>
        <w:spacing w:line="480" w:lineRule="auto"/>
        <w:rPr>
          <w:rFonts w:ascii="Times New Roman" w:hAnsi="Times New Roman" w:cs="Times New Roman"/>
        </w:rPr>
      </w:pPr>
      <w:proofErr w:type="spellStart"/>
      <w:r w:rsidRPr="00522E93">
        <w:rPr>
          <w:rFonts w:ascii="Times New Roman" w:hAnsi="Times New Roman" w:cs="Times New Roman"/>
        </w:rPr>
        <w:t>Kureljusic</w:t>
      </w:r>
      <w:proofErr w:type="spellEnd"/>
      <w:r w:rsidRPr="00522E93">
        <w:rPr>
          <w:rFonts w:ascii="Times New Roman" w:hAnsi="Times New Roman" w:cs="Times New Roman"/>
        </w:rPr>
        <w:t xml:space="preserve">, M., &amp; Karger, E. (2024). Forecasting in financial accounting with artificial intelligence: A systematic literature review and future research agenda. </w:t>
      </w:r>
      <w:r w:rsidRPr="00522E93">
        <w:rPr>
          <w:rFonts w:ascii="Times New Roman" w:hAnsi="Times New Roman" w:cs="Times New Roman"/>
          <w:i/>
          <w:iCs/>
        </w:rPr>
        <w:t>Journal of Applied Accounting Research, 25</w:t>
      </w:r>
      <w:r w:rsidRPr="00522E93">
        <w:rPr>
          <w:rFonts w:ascii="Times New Roman" w:hAnsi="Times New Roman" w:cs="Times New Roman"/>
        </w:rPr>
        <w:t>(1), 81–104.</w:t>
      </w:r>
    </w:p>
    <w:p w14:paraId="06D7CBDA" w14:textId="4D107D5C"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Li, L. (2023). Analysis </w:t>
      </w:r>
      <w:r>
        <w:rPr>
          <w:rFonts w:ascii="Times New Roman" w:hAnsi="Times New Roman" w:cs="Times New Roman"/>
        </w:rPr>
        <w:t>of</w:t>
      </w:r>
      <w:r w:rsidRPr="00522E93">
        <w:rPr>
          <w:rFonts w:ascii="Times New Roman" w:hAnsi="Times New Roman" w:cs="Times New Roman"/>
        </w:rPr>
        <w:t xml:space="preserve"> the stock valuation of Apple Inc. </w:t>
      </w:r>
      <w:r w:rsidRPr="00522E93">
        <w:rPr>
          <w:rFonts w:ascii="Times New Roman" w:hAnsi="Times New Roman" w:cs="Times New Roman"/>
          <w:i/>
          <w:iCs/>
        </w:rPr>
        <w:t>Advances in Economics, Management and Political Sciences, 27</w:t>
      </w:r>
      <w:r w:rsidRPr="00522E93">
        <w:rPr>
          <w:rFonts w:ascii="Times New Roman" w:hAnsi="Times New Roman" w:cs="Times New Roman"/>
        </w:rPr>
        <w:t>, 51–56.</w:t>
      </w:r>
    </w:p>
    <w:p w14:paraId="5B19EA35" w14:textId="77777777"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Lu, W. M., </w:t>
      </w:r>
      <w:proofErr w:type="spellStart"/>
      <w:r w:rsidRPr="00522E93">
        <w:rPr>
          <w:rFonts w:ascii="Times New Roman" w:hAnsi="Times New Roman" w:cs="Times New Roman"/>
        </w:rPr>
        <w:t>Kweh</w:t>
      </w:r>
      <w:proofErr w:type="spellEnd"/>
      <w:r w:rsidRPr="00522E93">
        <w:rPr>
          <w:rFonts w:ascii="Times New Roman" w:hAnsi="Times New Roman" w:cs="Times New Roman"/>
        </w:rPr>
        <w:t xml:space="preserve">, Q. L., Ting, I. W. K., &amp; Ren, C. (2023). How does stakeholder engagement through environmental, social, and governance affect eco-efficiency and profitability efficiency? Zooming into Apple Inc.'s counterparts. </w:t>
      </w:r>
      <w:r w:rsidRPr="00522E93">
        <w:rPr>
          <w:rFonts w:ascii="Times New Roman" w:hAnsi="Times New Roman" w:cs="Times New Roman"/>
          <w:i/>
          <w:iCs/>
        </w:rPr>
        <w:t>Business Strategy and the Environment, 32</w:t>
      </w:r>
      <w:r w:rsidRPr="00522E93">
        <w:rPr>
          <w:rFonts w:ascii="Times New Roman" w:hAnsi="Times New Roman" w:cs="Times New Roman"/>
        </w:rPr>
        <w:t>(1), 587–601.</w:t>
      </w:r>
    </w:p>
    <w:p w14:paraId="49C641C4" w14:textId="77777777"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Lu, Y. (2024). Financial statement analysis and revenue forecast for Apple Inc. In </w:t>
      </w:r>
      <w:r w:rsidRPr="00522E93">
        <w:rPr>
          <w:rFonts w:ascii="Times New Roman" w:hAnsi="Times New Roman" w:cs="Times New Roman"/>
          <w:i/>
          <w:iCs/>
        </w:rPr>
        <w:t>SHS Web of Conferences (Vol. 181, p. 02020).</w:t>
      </w:r>
      <w:r w:rsidRPr="00522E93">
        <w:rPr>
          <w:rFonts w:ascii="Times New Roman" w:hAnsi="Times New Roman" w:cs="Times New Roman"/>
        </w:rPr>
        <w:t xml:space="preserve"> EDP Sciences.</w:t>
      </w:r>
    </w:p>
    <w:p w14:paraId="1E6F2273" w14:textId="77777777" w:rsid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Lubis, S. S. (2023). Identify financial ratios to measure the company's financial performance. </w:t>
      </w:r>
      <w:r w:rsidRPr="00522E93">
        <w:rPr>
          <w:rFonts w:ascii="Times New Roman" w:hAnsi="Times New Roman" w:cs="Times New Roman"/>
          <w:i/>
          <w:iCs/>
        </w:rPr>
        <w:t>Journal of Economics Business Industry, 1</w:t>
      </w:r>
      <w:r w:rsidRPr="00522E93">
        <w:rPr>
          <w:rFonts w:ascii="Times New Roman" w:hAnsi="Times New Roman" w:cs="Times New Roman"/>
        </w:rPr>
        <w:t>(1), 1–9.</w:t>
      </w:r>
    </w:p>
    <w:p w14:paraId="649567E5" w14:textId="1DA70437"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lastRenderedPageBreak/>
        <w:t xml:space="preserve">RUM, M., Arsal, M., Khalid, A., &amp; </w:t>
      </w:r>
      <w:proofErr w:type="spellStart"/>
      <w:r w:rsidRPr="00522E93">
        <w:rPr>
          <w:rFonts w:ascii="Times New Roman" w:hAnsi="Times New Roman" w:cs="Times New Roman"/>
        </w:rPr>
        <w:t>Awaluddin</w:t>
      </w:r>
      <w:proofErr w:type="spellEnd"/>
      <w:r w:rsidRPr="00522E93">
        <w:rPr>
          <w:rFonts w:ascii="Times New Roman" w:hAnsi="Times New Roman" w:cs="Times New Roman"/>
        </w:rPr>
        <w:t xml:space="preserve">, M. (2023). The distribution of tax collectability, </w:t>
      </w:r>
      <w:r>
        <w:rPr>
          <w:rFonts w:ascii="Times New Roman" w:hAnsi="Times New Roman" w:cs="Times New Roman"/>
        </w:rPr>
        <w:t xml:space="preserve">the </w:t>
      </w:r>
      <w:r w:rsidRPr="00522E93">
        <w:rPr>
          <w:rFonts w:ascii="Times New Roman" w:hAnsi="Times New Roman" w:cs="Times New Roman"/>
        </w:rPr>
        <w:t>quality of tax services</w:t>
      </w:r>
      <w:r>
        <w:rPr>
          <w:rFonts w:ascii="Times New Roman" w:hAnsi="Times New Roman" w:cs="Times New Roman"/>
        </w:rPr>
        <w:t>, and</w:t>
      </w:r>
      <w:r w:rsidRPr="00522E93">
        <w:rPr>
          <w:rFonts w:ascii="Times New Roman" w:hAnsi="Times New Roman" w:cs="Times New Roman"/>
        </w:rPr>
        <w:t xml:space="preserve"> efforts to tax coverage ratio. </w:t>
      </w:r>
      <w:r w:rsidRPr="00522E93">
        <w:rPr>
          <w:rFonts w:ascii="Times New Roman" w:hAnsi="Times New Roman" w:cs="Times New Roman"/>
          <w:i/>
          <w:iCs/>
        </w:rPr>
        <w:t>Journal of Distribution Science, 21</w:t>
      </w:r>
      <w:r w:rsidRPr="00522E93">
        <w:rPr>
          <w:rFonts w:ascii="Times New Roman" w:hAnsi="Times New Roman" w:cs="Times New Roman"/>
        </w:rPr>
        <w:t>(6), 107–117.</w:t>
      </w:r>
    </w:p>
    <w:p w14:paraId="1FFEC820" w14:textId="77777777"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Simic, N., &amp; Jovicic, T. (2023). Fundamental analysis of the Apple Company. In </w:t>
      </w:r>
      <w:r w:rsidRPr="00522E93">
        <w:rPr>
          <w:rFonts w:ascii="Times New Roman" w:hAnsi="Times New Roman" w:cs="Times New Roman"/>
          <w:i/>
          <w:iCs/>
        </w:rPr>
        <w:t>Economic and Social Development: Book of Proceedings (pp. 97–106)</w:t>
      </w:r>
      <w:r w:rsidRPr="00522E93">
        <w:rPr>
          <w:rFonts w:ascii="Times New Roman" w:hAnsi="Times New Roman" w:cs="Times New Roman"/>
        </w:rPr>
        <w:t>.</w:t>
      </w:r>
    </w:p>
    <w:p w14:paraId="7C770567" w14:textId="5EDB10C2"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Tian, W., Wang, M., &amp; Wang, Q. (2022). The core </w:t>
      </w:r>
      <w:r>
        <w:rPr>
          <w:rFonts w:ascii="Times New Roman" w:hAnsi="Times New Roman" w:cs="Times New Roman"/>
        </w:rPr>
        <w:t>competence</w:t>
      </w:r>
      <w:r w:rsidRPr="00522E93">
        <w:rPr>
          <w:rFonts w:ascii="Times New Roman" w:hAnsi="Times New Roman" w:cs="Times New Roman"/>
        </w:rPr>
        <w:t xml:space="preserve"> of Apple Inc. In </w:t>
      </w:r>
      <w:r w:rsidRPr="00522E93">
        <w:rPr>
          <w:rFonts w:ascii="Times New Roman" w:hAnsi="Times New Roman" w:cs="Times New Roman"/>
          <w:i/>
          <w:iCs/>
        </w:rPr>
        <w:t>Proceedings of the 7th International Conference on Financial Innovation and Economic Development (ICFIED 2022) (pp. 718–725)</w:t>
      </w:r>
      <w:r w:rsidRPr="00522E93">
        <w:rPr>
          <w:rFonts w:ascii="Times New Roman" w:hAnsi="Times New Roman" w:cs="Times New Roman"/>
        </w:rPr>
        <w:t>. Atlantis Press.</w:t>
      </w:r>
    </w:p>
    <w:p w14:paraId="00E5DC34" w14:textId="77777777"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Wu, Y. (2025). Investment recommendation on Apple Inc. through ratio analysis. In </w:t>
      </w:r>
      <w:r w:rsidRPr="00522E93">
        <w:rPr>
          <w:rFonts w:ascii="Times New Roman" w:hAnsi="Times New Roman" w:cs="Times New Roman"/>
          <w:i/>
          <w:iCs/>
        </w:rPr>
        <w:t>Proceedings of the 2025 3rd International Academic Conference on Management Innovation and Economic Development (MIED 2025) (p. 320).</w:t>
      </w:r>
      <w:r w:rsidRPr="00522E93">
        <w:rPr>
          <w:rFonts w:ascii="Times New Roman" w:hAnsi="Times New Roman" w:cs="Times New Roman"/>
        </w:rPr>
        <w:t xml:space="preserve"> Springer Nature.</w:t>
      </w:r>
    </w:p>
    <w:p w14:paraId="04EA8F12" w14:textId="01355849"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Yin, R. (2023). Research on </w:t>
      </w:r>
      <w:r>
        <w:rPr>
          <w:rFonts w:ascii="Times New Roman" w:hAnsi="Times New Roman" w:cs="Times New Roman"/>
        </w:rPr>
        <w:t xml:space="preserve">the </w:t>
      </w:r>
      <w:r w:rsidRPr="00522E93">
        <w:rPr>
          <w:rFonts w:ascii="Times New Roman" w:hAnsi="Times New Roman" w:cs="Times New Roman"/>
        </w:rPr>
        <w:t xml:space="preserve">financial position of Apple. </w:t>
      </w:r>
      <w:r w:rsidRPr="00522E93">
        <w:rPr>
          <w:rFonts w:ascii="Times New Roman" w:hAnsi="Times New Roman" w:cs="Times New Roman"/>
          <w:i/>
          <w:iCs/>
        </w:rPr>
        <w:t>Advances in Economics, Management and Political Sciences, 10</w:t>
      </w:r>
      <w:r w:rsidRPr="00522E93">
        <w:rPr>
          <w:rFonts w:ascii="Times New Roman" w:hAnsi="Times New Roman" w:cs="Times New Roman"/>
        </w:rPr>
        <w:t>, 137–143.</w:t>
      </w:r>
    </w:p>
    <w:p w14:paraId="72D2C12F" w14:textId="77777777"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Yousaf, M., &amp; Dey, S. K. (2022). Best proxy to determine firm performance using financial ratios: A CHAID approach. </w:t>
      </w:r>
      <w:r w:rsidRPr="00522E93">
        <w:rPr>
          <w:rFonts w:ascii="Times New Roman" w:hAnsi="Times New Roman" w:cs="Times New Roman"/>
          <w:i/>
          <w:iCs/>
        </w:rPr>
        <w:t>Review of Economic Perspectives</w:t>
      </w:r>
      <w:r w:rsidRPr="00522E93">
        <w:rPr>
          <w:rFonts w:ascii="Times New Roman" w:hAnsi="Times New Roman" w:cs="Times New Roman"/>
        </w:rPr>
        <w:t>.</w:t>
      </w:r>
    </w:p>
    <w:p w14:paraId="2A6DD82A" w14:textId="3051B6DB" w:rsidR="00522E93" w:rsidRPr="00522E93"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Yusoff, M., &amp; </w:t>
      </w:r>
      <w:proofErr w:type="spellStart"/>
      <w:r w:rsidRPr="00522E93">
        <w:rPr>
          <w:rFonts w:ascii="Times New Roman" w:hAnsi="Times New Roman" w:cs="Times New Roman"/>
        </w:rPr>
        <w:t>Husnina</w:t>
      </w:r>
      <w:proofErr w:type="spellEnd"/>
      <w:r w:rsidRPr="00522E93">
        <w:rPr>
          <w:rFonts w:ascii="Times New Roman" w:hAnsi="Times New Roman" w:cs="Times New Roman"/>
        </w:rPr>
        <w:t xml:space="preserve">, N. (2018). Determinants of risks and performance in Apple Inc. Retrieved from </w:t>
      </w:r>
      <w:hyperlink r:id="rId6" w:history="1">
        <w:r w:rsidRPr="00080DA4">
          <w:rPr>
            <w:rStyle w:val="Hyperlink"/>
            <w:rFonts w:ascii="Times New Roman" w:hAnsi="Times New Roman" w:cs="Times New Roman"/>
          </w:rPr>
          <w:t>https://ssrn.com/abstract=3181705</w:t>
        </w:r>
      </w:hyperlink>
      <w:r>
        <w:rPr>
          <w:rFonts w:ascii="Times New Roman" w:hAnsi="Times New Roman" w:cs="Times New Roman"/>
        </w:rPr>
        <w:t xml:space="preserve"> </w:t>
      </w:r>
    </w:p>
    <w:p w14:paraId="1840EE21" w14:textId="56D5554D" w:rsidR="001642A8" w:rsidRPr="001642A8" w:rsidRDefault="00522E93" w:rsidP="00522E93">
      <w:pPr>
        <w:spacing w:line="480" w:lineRule="auto"/>
        <w:rPr>
          <w:rFonts w:ascii="Times New Roman" w:hAnsi="Times New Roman" w:cs="Times New Roman"/>
        </w:rPr>
      </w:pPr>
      <w:r w:rsidRPr="00522E93">
        <w:rPr>
          <w:rFonts w:ascii="Times New Roman" w:hAnsi="Times New Roman" w:cs="Times New Roman"/>
        </w:rPr>
        <w:t xml:space="preserve">Zhang, X. (2022). Analysis of business model and financial operation: Evidence from Apple. In </w:t>
      </w:r>
      <w:r w:rsidRPr="00522E93">
        <w:rPr>
          <w:rFonts w:ascii="Times New Roman" w:hAnsi="Times New Roman" w:cs="Times New Roman"/>
          <w:i/>
          <w:iCs/>
        </w:rPr>
        <w:t>Proceedings of the 2nd International Conference on Enterprise Management and Economic Development (ICEMED 2022) (pp. 455–459).</w:t>
      </w:r>
      <w:r w:rsidRPr="00522E93">
        <w:rPr>
          <w:rFonts w:ascii="Times New Roman" w:hAnsi="Times New Roman" w:cs="Times New Roman"/>
        </w:rPr>
        <w:t xml:space="preserve"> Atlantis Press.</w:t>
      </w:r>
    </w:p>
    <w:sectPr w:rsidR="001642A8" w:rsidRPr="001642A8" w:rsidSect="00522E93">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0857D" w14:textId="77777777" w:rsidR="00425520" w:rsidRDefault="00425520" w:rsidP="00522E93">
      <w:pPr>
        <w:spacing w:after="0" w:line="240" w:lineRule="auto"/>
      </w:pPr>
      <w:r>
        <w:separator/>
      </w:r>
    </w:p>
  </w:endnote>
  <w:endnote w:type="continuationSeparator" w:id="0">
    <w:p w14:paraId="1C9C9775" w14:textId="77777777" w:rsidR="00425520" w:rsidRDefault="00425520" w:rsidP="00522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565828"/>
      <w:docPartObj>
        <w:docPartGallery w:val="Page Numbers (Bottom of Page)"/>
        <w:docPartUnique/>
      </w:docPartObj>
    </w:sdtPr>
    <w:sdtEndPr>
      <w:rPr>
        <w:noProof/>
      </w:rPr>
    </w:sdtEndPr>
    <w:sdtContent>
      <w:p w14:paraId="3E8F6174" w14:textId="4AD51EB5" w:rsidR="00522E93" w:rsidRDefault="00522E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104FDA" w14:textId="77777777" w:rsidR="00522E93" w:rsidRDefault="00522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16CEF" w14:textId="77777777" w:rsidR="00425520" w:rsidRDefault="00425520" w:rsidP="00522E93">
      <w:pPr>
        <w:spacing w:after="0" w:line="240" w:lineRule="auto"/>
      </w:pPr>
      <w:r>
        <w:separator/>
      </w:r>
    </w:p>
  </w:footnote>
  <w:footnote w:type="continuationSeparator" w:id="0">
    <w:p w14:paraId="19152754" w14:textId="77777777" w:rsidR="00425520" w:rsidRDefault="00425520" w:rsidP="00522E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A8"/>
    <w:rsid w:val="001642A8"/>
    <w:rsid w:val="00425520"/>
    <w:rsid w:val="00500570"/>
    <w:rsid w:val="00522E93"/>
    <w:rsid w:val="00972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23BA"/>
  <w15:chartTrackingRefBased/>
  <w15:docId w15:val="{D688C54E-235A-4483-A0D5-8AC2FFF94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2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2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2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2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2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2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2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2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2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2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2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2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2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2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2A8"/>
    <w:rPr>
      <w:rFonts w:eastAsiaTheme="majorEastAsia" w:cstheme="majorBidi"/>
      <w:color w:val="272727" w:themeColor="text1" w:themeTint="D8"/>
    </w:rPr>
  </w:style>
  <w:style w:type="paragraph" w:styleId="Title">
    <w:name w:val="Title"/>
    <w:basedOn w:val="Normal"/>
    <w:next w:val="Normal"/>
    <w:link w:val="TitleChar"/>
    <w:uiPriority w:val="10"/>
    <w:qFormat/>
    <w:rsid w:val="001642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2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2A8"/>
    <w:pPr>
      <w:spacing w:before="160"/>
      <w:jc w:val="center"/>
    </w:pPr>
    <w:rPr>
      <w:i/>
      <w:iCs/>
      <w:color w:val="404040" w:themeColor="text1" w:themeTint="BF"/>
    </w:rPr>
  </w:style>
  <w:style w:type="character" w:customStyle="1" w:styleId="QuoteChar">
    <w:name w:val="Quote Char"/>
    <w:basedOn w:val="DefaultParagraphFont"/>
    <w:link w:val="Quote"/>
    <w:uiPriority w:val="29"/>
    <w:rsid w:val="001642A8"/>
    <w:rPr>
      <w:i/>
      <w:iCs/>
      <w:color w:val="404040" w:themeColor="text1" w:themeTint="BF"/>
    </w:rPr>
  </w:style>
  <w:style w:type="paragraph" w:styleId="ListParagraph">
    <w:name w:val="List Paragraph"/>
    <w:basedOn w:val="Normal"/>
    <w:uiPriority w:val="34"/>
    <w:qFormat/>
    <w:rsid w:val="001642A8"/>
    <w:pPr>
      <w:ind w:left="720"/>
      <w:contextualSpacing/>
    </w:pPr>
  </w:style>
  <w:style w:type="character" w:styleId="IntenseEmphasis">
    <w:name w:val="Intense Emphasis"/>
    <w:basedOn w:val="DefaultParagraphFont"/>
    <w:uiPriority w:val="21"/>
    <w:qFormat/>
    <w:rsid w:val="001642A8"/>
    <w:rPr>
      <w:i/>
      <w:iCs/>
      <w:color w:val="0F4761" w:themeColor="accent1" w:themeShade="BF"/>
    </w:rPr>
  </w:style>
  <w:style w:type="paragraph" w:styleId="IntenseQuote">
    <w:name w:val="Intense Quote"/>
    <w:basedOn w:val="Normal"/>
    <w:next w:val="Normal"/>
    <w:link w:val="IntenseQuoteChar"/>
    <w:uiPriority w:val="30"/>
    <w:qFormat/>
    <w:rsid w:val="001642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2A8"/>
    <w:rPr>
      <w:i/>
      <w:iCs/>
      <w:color w:val="0F4761" w:themeColor="accent1" w:themeShade="BF"/>
    </w:rPr>
  </w:style>
  <w:style w:type="character" w:styleId="IntenseReference">
    <w:name w:val="Intense Reference"/>
    <w:basedOn w:val="DefaultParagraphFont"/>
    <w:uiPriority w:val="32"/>
    <w:qFormat/>
    <w:rsid w:val="001642A8"/>
    <w:rPr>
      <w:b/>
      <w:bCs/>
      <w:smallCaps/>
      <w:color w:val="0F4761" w:themeColor="accent1" w:themeShade="BF"/>
      <w:spacing w:val="5"/>
    </w:rPr>
  </w:style>
  <w:style w:type="table" w:styleId="GridTable1Light">
    <w:name w:val="Grid Table 1 Light"/>
    <w:basedOn w:val="TableNormal"/>
    <w:uiPriority w:val="46"/>
    <w:rsid w:val="001642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522E93"/>
    <w:rPr>
      <w:color w:val="467886" w:themeColor="hyperlink"/>
      <w:u w:val="single"/>
    </w:rPr>
  </w:style>
  <w:style w:type="character" w:styleId="UnresolvedMention">
    <w:name w:val="Unresolved Mention"/>
    <w:basedOn w:val="DefaultParagraphFont"/>
    <w:uiPriority w:val="99"/>
    <w:semiHidden/>
    <w:unhideWhenUsed/>
    <w:rsid w:val="00522E93"/>
    <w:rPr>
      <w:color w:val="605E5C"/>
      <w:shd w:val="clear" w:color="auto" w:fill="E1DFDD"/>
    </w:rPr>
  </w:style>
  <w:style w:type="paragraph" w:styleId="NoSpacing">
    <w:name w:val="No Spacing"/>
    <w:link w:val="NoSpacingChar"/>
    <w:uiPriority w:val="1"/>
    <w:qFormat/>
    <w:rsid w:val="00522E9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22E93"/>
    <w:rPr>
      <w:rFonts w:eastAsiaTheme="minorEastAsia"/>
      <w:kern w:val="0"/>
      <w:sz w:val="22"/>
      <w:szCs w:val="22"/>
      <w:lang w:val="en-US"/>
      <w14:ligatures w14:val="none"/>
    </w:rPr>
  </w:style>
  <w:style w:type="paragraph" w:styleId="Header">
    <w:name w:val="header"/>
    <w:basedOn w:val="Normal"/>
    <w:link w:val="HeaderChar"/>
    <w:uiPriority w:val="99"/>
    <w:unhideWhenUsed/>
    <w:rsid w:val="00522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E93"/>
  </w:style>
  <w:style w:type="paragraph" w:styleId="Footer">
    <w:name w:val="footer"/>
    <w:basedOn w:val="Normal"/>
    <w:link w:val="FooterChar"/>
    <w:uiPriority w:val="99"/>
    <w:unhideWhenUsed/>
    <w:rsid w:val="00522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srn.com/abstract=318170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1975</Words>
  <Characters>11264</Characters>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Ratio Analysis of Apple Inc. (2024 vs 2023)</dc:title>
  <dc:subject/>
  <cp:keywords/>
  <dc:description/>
  <dcterms:created xsi:type="dcterms:W3CDTF">2026-04-22T17:04:00Z</dcterms:created>
  <dcterms:modified xsi:type="dcterms:W3CDTF">2026-04-22T17:21:00Z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a9314950-8379-4c00-b8b6-15d51a6dedaa</vt:lpwstr>
  </property>
</Properties>
</file>