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6D54051C" w14:textId="3DC84241" w:rsidR="00C27167" w:rsidRPr="00777AD2" w:rsidRDefault="00C27167" w:rsidP="002B30B2">
      <w:pPr>
        <w:pStyle w:val="NoSpacing"/>
        <w:spacing w:line="480" w:lineRule="auto"/>
        <w:rPr>
          <w:sz w:val="28"/>
          <w:u w:val="single"/>
        </w:rPr>
      </w:pPr>
      <w:r w:rsidRPr="00777AD2">
        <w:rPr>
          <w:sz w:val="28"/>
          <w:u w:val="single"/>
        </w:rPr>
        <w:t xml:space="preserve">Object Analysis – </w:t>
      </w:r>
      <w:r w:rsidR="00D369DB" w:rsidRPr="00777AD2">
        <w:rPr>
          <w:sz w:val="28"/>
          <w:u w:val="single"/>
        </w:rPr>
        <w:t>el-</w:t>
      </w:r>
      <w:proofErr w:type="spellStart"/>
      <w:r w:rsidR="00D369DB" w:rsidRPr="00777AD2">
        <w:rPr>
          <w:sz w:val="28"/>
          <w:u w:val="single"/>
        </w:rPr>
        <w:t>Moghraqa</w:t>
      </w:r>
      <w:proofErr w:type="spellEnd"/>
      <w:r w:rsidRPr="00777AD2">
        <w:rPr>
          <w:sz w:val="28"/>
          <w:u w:val="single"/>
        </w:rPr>
        <w:t xml:space="preserve"> ‘funerary cone</w:t>
      </w:r>
      <w:r w:rsidR="006D38D6" w:rsidRPr="00777AD2">
        <w:rPr>
          <w:sz w:val="28"/>
          <w:u w:val="single"/>
        </w:rPr>
        <w:t>s</w:t>
      </w:r>
      <w:r w:rsidRPr="00777AD2">
        <w:rPr>
          <w:sz w:val="28"/>
          <w:u w:val="single"/>
        </w:rPr>
        <w:t>’</w:t>
      </w:r>
    </w:p>
    <w:p w14:paraId="68C89306" w14:textId="1EE7DEB4" w:rsidR="007A4EAD" w:rsidRPr="00777AD2" w:rsidRDefault="00A83A66" w:rsidP="002B30B2">
      <w:pPr>
        <w:pStyle w:val="NoSpacing"/>
        <w:spacing w:line="480" w:lineRule="auto"/>
      </w:pPr>
      <w:r w:rsidRPr="00777AD2">
        <w:rPr>
          <w:noProof/>
        </w:rPr>
        <w:drawing>
          <wp:anchor distT="0" distB="0" distL="114300" distR="114300" simplePos="0" relativeHeight="251693056" behindDoc="1" locked="0" layoutInCell="1" allowOverlap="1" wp14:anchorId="49A5A5AA" wp14:editId="7991B218">
            <wp:simplePos x="0" y="0"/>
            <wp:positionH relativeFrom="margin">
              <wp:posOffset>4340860</wp:posOffset>
            </wp:positionH>
            <wp:positionV relativeFrom="paragraph">
              <wp:posOffset>3452495</wp:posOffset>
            </wp:positionV>
            <wp:extent cx="1382395" cy="3108325"/>
            <wp:effectExtent l="0" t="0" r="8255" b="0"/>
            <wp:wrapTight wrapText="bothSides">
              <wp:wrapPolygon edited="0">
                <wp:start x="0" y="0"/>
                <wp:lineTo x="0" y="21446"/>
                <wp:lineTo x="21431" y="21446"/>
                <wp:lineTo x="21431" y="0"/>
                <wp:lineTo x="0" y="0"/>
              </wp:wrapPolygon>
            </wp:wrapTight>
            <wp:docPr id="11" name="Picture 11" descr="https://html1-f.scribdassets.com/6arvk442kg2p9bnc/images/5-1060c09a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tml1-f.scribdassets.com/6arvk442kg2p9bnc/images/5-1060c09a9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82395" cy="3108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38D6" w:rsidRPr="00777AD2">
        <w:t>The ‘funerary cones’ were found in the el-</w:t>
      </w:r>
      <w:proofErr w:type="spellStart"/>
      <w:r w:rsidR="006D38D6" w:rsidRPr="00777AD2">
        <w:t>Moghraqa</w:t>
      </w:r>
      <w:proofErr w:type="spellEnd"/>
      <w:r w:rsidR="006D38D6" w:rsidRPr="00777AD2">
        <w:t xml:space="preserve"> archaeological excavation site at Gaza, Israel, in 1996 and 2000</w:t>
      </w:r>
      <w:r w:rsidR="00060BCA" w:rsidRPr="00777AD2">
        <w:t xml:space="preserve"> (Steel et al, 2004: 323, 326)</w:t>
      </w:r>
      <w:r w:rsidR="006D38D6" w:rsidRPr="00777AD2">
        <w:t xml:space="preserve">. There </w:t>
      </w:r>
      <w:r w:rsidR="001D205B" w:rsidRPr="00777AD2">
        <w:t>were</w:t>
      </w:r>
      <w:r w:rsidR="006D38D6" w:rsidRPr="00777AD2">
        <w:t xml:space="preserve"> fifteen larger cone fragments found in 1996, with </w:t>
      </w:r>
      <w:r w:rsidR="007A4EAD" w:rsidRPr="00777AD2">
        <w:t xml:space="preserve">two </w:t>
      </w:r>
      <w:r w:rsidR="006D38D6" w:rsidRPr="00777AD2">
        <w:t>more in 2000, alon</w:t>
      </w:r>
      <w:r w:rsidR="001D205B" w:rsidRPr="00777AD2">
        <w:t>gside many small fragments; the cones</w:t>
      </w:r>
      <w:r w:rsidR="006D38D6" w:rsidRPr="00777AD2">
        <w:t xml:space="preserve"> were dated from </w:t>
      </w:r>
      <w:r w:rsidR="00060BCA" w:rsidRPr="00777AD2">
        <w:t>M</w:t>
      </w:r>
      <w:r w:rsidR="006D38D6" w:rsidRPr="00777AD2">
        <w:t xml:space="preserve">iddle to </w:t>
      </w:r>
      <w:r w:rsidR="00060BCA" w:rsidRPr="00777AD2">
        <w:t>L</w:t>
      </w:r>
      <w:r w:rsidR="006D38D6" w:rsidRPr="00777AD2">
        <w:t>ate Bronze</w:t>
      </w:r>
      <w:r w:rsidR="00060BCA" w:rsidRPr="00777AD2">
        <w:t xml:space="preserve"> </w:t>
      </w:r>
      <w:r w:rsidR="006D38D6" w:rsidRPr="00777AD2">
        <w:t>Age</w:t>
      </w:r>
      <w:r w:rsidR="00060BCA" w:rsidRPr="00777AD2">
        <w:t xml:space="preserve"> (Steel et al, 2004: 326)</w:t>
      </w:r>
      <w:r w:rsidR="006D38D6" w:rsidRPr="00777AD2">
        <w:t xml:space="preserve">. </w:t>
      </w:r>
      <w:r w:rsidR="000B7BBC" w:rsidRPr="00777AD2">
        <w:t xml:space="preserve">They </w:t>
      </w:r>
      <w:r w:rsidR="001D205B" w:rsidRPr="00777AD2">
        <w:t>are</w:t>
      </w:r>
      <w:r w:rsidR="000B7BBC" w:rsidRPr="00777AD2">
        <w:t xml:space="preserve"> entitled ‘funerary cones’ due to their similarity in construction and design to those found in funerary sites in the Theban area of Egypt</w:t>
      </w:r>
      <w:r w:rsidR="00197031" w:rsidRPr="00777AD2">
        <w:t xml:space="preserve"> (</w:t>
      </w:r>
      <w:r w:rsidRPr="00777AD2">
        <w:t xml:space="preserve">see </w:t>
      </w:r>
      <w:r w:rsidR="00197031" w:rsidRPr="00777AD2">
        <w:t>figure</w:t>
      </w:r>
      <w:r w:rsidRPr="00777AD2">
        <w:t>s</w:t>
      </w:r>
      <w:r w:rsidR="00197031" w:rsidRPr="00777AD2">
        <w:t xml:space="preserve"> 1</w:t>
      </w:r>
      <w:r w:rsidRPr="00777AD2">
        <w:t xml:space="preserve"> and 2</w:t>
      </w:r>
      <w:r w:rsidR="00197031" w:rsidRPr="00777AD2">
        <w:t>)</w:t>
      </w:r>
      <w:r w:rsidR="000B7BBC" w:rsidRPr="00777AD2">
        <w:t>. Trade occurred between Egypt and the Levant</w:t>
      </w:r>
      <w:r w:rsidR="00853E46" w:rsidRPr="00777AD2">
        <w:t xml:space="preserve"> (</w:t>
      </w:r>
      <w:proofErr w:type="spellStart"/>
      <w:r w:rsidR="00853E46" w:rsidRPr="00777AD2">
        <w:t>Ownby</w:t>
      </w:r>
      <w:proofErr w:type="spellEnd"/>
      <w:r w:rsidR="00853E46" w:rsidRPr="00777AD2">
        <w:t>, 2010: 1</w:t>
      </w:r>
      <w:r w:rsidR="00325A55" w:rsidRPr="00777AD2">
        <w:t>; see Map 1</w:t>
      </w:r>
      <w:r w:rsidR="00853E46" w:rsidRPr="00777AD2">
        <w:t>)</w:t>
      </w:r>
      <w:r w:rsidR="000B7BBC" w:rsidRPr="00777AD2">
        <w:t>, so cultural hybridity</w:t>
      </w:r>
      <w:r w:rsidR="001D205B" w:rsidRPr="00777AD2">
        <w:t xml:space="preserve"> is likely, and therefore</w:t>
      </w:r>
      <w:r w:rsidR="000B7BBC" w:rsidRPr="00777AD2">
        <w:t xml:space="preserve"> could have been </w:t>
      </w:r>
      <w:r w:rsidR="000B7BBC" w:rsidRPr="000B4B05">
        <w:rPr>
          <w:noProof/>
        </w:rPr>
        <w:t>adapted</w:t>
      </w:r>
      <w:r w:rsidR="000B7BBC" w:rsidRPr="00777AD2">
        <w:t xml:space="preserve"> by people from Gaza for their own purposes.</w:t>
      </w:r>
      <w:r w:rsidR="007A4EAD" w:rsidRPr="00777AD2">
        <w:t xml:space="preserve"> </w:t>
      </w:r>
      <w:r w:rsidR="00325A55" w:rsidRPr="00777AD2">
        <w:t xml:space="preserve">Trade could have equally brought these objects into the area ready-made or travelling craftsmen could have made them in situ. </w:t>
      </w:r>
    </w:p>
    <w:p w14:paraId="2734FB2C" w14:textId="7379040C" w:rsidR="007A4EAD" w:rsidRPr="00777AD2" w:rsidRDefault="002B30B2" w:rsidP="002B30B2">
      <w:pPr>
        <w:pStyle w:val="NoSpacing"/>
        <w:spacing w:line="480" w:lineRule="auto"/>
      </w:pPr>
      <w:r w:rsidRPr="00777AD2">
        <w:rPr>
          <w:noProof/>
          <w:lang w:eastAsia="zh-CN"/>
        </w:rPr>
        <w:drawing>
          <wp:anchor distT="0" distB="0" distL="114300" distR="114300" simplePos="0" relativeHeight="251701248" behindDoc="1" locked="0" layoutInCell="1" allowOverlap="1" wp14:anchorId="0C41F07B" wp14:editId="140554F7">
            <wp:simplePos x="0" y="0"/>
            <wp:positionH relativeFrom="column">
              <wp:posOffset>-635</wp:posOffset>
            </wp:positionH>
            <wp:positionV relativeFrom="paragraph">
              <wp:posOffset>277495</wp:posOffset>
            </wp:positionV>
            <wp:extent cx="2325370" cy="1543050"/>
            <wp:effectExtent l="0" t="0" r="0" b="0"/>
            <wp:wrapTight wrapText="bothSides">
              <wp:wrapPolygon edited="0">
                <wp:start x="0" y="0"/>
                <wp:lineTo x="0" y="21333"/>
                <wp:lineTo x="21411" y="21333"/>
                <wp:lineTo x="21411" y="0"/>
                <wp:lineTo x="0" y="0"/>
              </wp:wrapPolygon>
            </wp:wrapTight>
            <wp:docPr id="5" name="Picture 5" descr="Image result for egyptian funerary c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gyptian funerary con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25370" cy="1543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7AD2">
        <w:rPr>
          <w:noProof/>
          <w:lang w:eastAsia="zh-CN"/>
        </w:rPr>
        <mc:AlternateContent>
          <mc:Choice Requires="wps">
            <w:drawing>
              <wp:anchor distT="0" distB="0" distL="114300" distR="114300" simplePos="0" relativeHeight="251637760" behindDoc="0" locked="0" layoutInCell="1" allowOverlap="1" wp14:anchorId="1A4F90F0" wp14:editId="0744CE82">
                <wp:simplePos x="0" y="0"/>
                <wp:positionH relativeFrom="column">
                  <wp:posOffset>2371725</wp:posOffset>
                </wp:positionH>
                <wp:positionV relativeFrom="paragraph">
                  <wp:posOffset>96520</wp:posOffset>
                </wp:positionV>
                <wp:extent cx="1924050" cy="25527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1924050" cy="2552700"/>
                        </a:xfrm>
                        <a:prstGeom prst="rect">
                          <a:avLst/>
                        </a:prstGeom>
                        <a:noFill/>
                        <a:ln w="6350">
                          <a:solidFill>
                            <a:prstClr val="black"/>
                          </a:solidFill>
                        </a:ln>
                      </wps:spPr>
                      <wps:txbx>
                        <w:txbxContent>
                          <w:p w14:paraId="0FB8EDC3" w14:textId="5F48EBAB" w:rsidR="001909DA" w:rsidRDefault="001909DA" w:rsidP="002B30B2">
                            <w:pPr>
                              <w:spacing w:line="360" w:lineRule="auto"/>
                              <w:rPr>
                                <w:sz w:val="22"/>
                                <w:highlight w:val="yellow"/>
                              </w:rPr>
                            </w:pPr>
                            <w:r w:rsidRPr="00A83A66">
                              <w:rPr>
                                <w:sz w:val="22"/>
                              </w:rPr>
                              <w:t xml:space="preserve">Figure </w:t>
                            </w:r>
                            <w:r w:rsidR="002B30B2">
                              <w:rPr>
                                <w:sz w:val="22"/>
                              </w:rPr>
                              <w:t>1</w:t>
                            </w:r>
                            <w:r w:rsidR="00A83A66" w:rsidRPr="00A83A66">
                              <w:rPr>
                                <w:sz w:val="22"/>
                              </w:rPr>
                              <w:t xml:space="preserve"> (left)</w:t>
                            </w:r>
                            <w:r w:rsidRPr="00A83A66">
                              <w:rPr>
                                <w:sz w:val="22"/>
                              </w:rPr>
                              <w:t xml:space="preserve">: Egyptian funerary </w:t>
                            </w:r>
                            <w:r w:rsidRPr="004A41B5">
                              <w:rPr>
                                <w:sz w:val="22"/>
                              </w:rPr>
                              <w:t>cones</w:t>
                            </w:r>
                            <w:r w:rsidR="00AB5C0C" w:rsidRPr="00A83A66">
                              <w:rPr>
                                <w:sz w:val="22"/>
                              </w:rPr>
                              <w:t xml:space="preserve">. </w:t>
                            </w:r>
                            <w:r w:rsidR="00AB5C0C" w:rsidRPr="004A41B5">
                              <w:rPr>
                                <w:sz w:val="22"/>
                              </w:rPr>
                              <w:t>(</w:t>
                            </w:r>
                            <w:r w:rsidR="00811260" w:rsidRPr="004A41B5">
                              <w:rPr>
                                <w:sz w:val="22"/>
                              </w:rPr>
                              <w:t>Ancient Origins, 2016</w:t>
                            </w:r>
                            <w:r w:rsidR="00AB5C0C" w:rsidRPr="004A41B5">
                              <w:rPr>
                                <w:sz w:val="22"/>
                              </w:rPr>
                              <w:t>)</w:t>
                            </w:r>
                          </w:p>
                          <w:p w14:paraId="0B85DA76" w14:textId="291AA474" w:rsidR="002B30B2" w:rsidRDefault="002B30B2" w:rsidP="002B30B2">
                            <w:pPr>
                              <w:spacing w:line="360" w:lineRule="auto"/>
                              <w:rPr>
                                <w:sz w:val="22"/>
                              </w:rPr>
                            </w:pPr>
                          </w:p>
                          <w:p w14:paraId="3E02EC76" w14:textId="77777777" w:rsidR="002B30B2" w:rsidRPr="00A83A66" w:rsidRDefault="002B30B2" w:rsidP="002B30B2">
                            <w:pPr>
                              <w:spacing w:line="360" w:lineRule="auto"/>
                              <w:rPr>
                                <w:sz w:val="22"/>
                                <w:lang w:eastAsia="en-GB"/>
                              </w:rPr>
                            </w:pPr>
                            <w:r w:rsidRPr="00A83A66">
                              <w:rPr>
                                <w:sz w:val="22"/>
                              </w:rPr>
                              <w:t xml:space="preserve">Figure </w:t>
                            </w:r>
                            <w:r>
                              <w:rPr>
                                <w:sz w:val="22"/>
                              </w:rPr>
                              <w:t>2</w:t>
                            </w:r>
                            <w:r w:rsidRPr="00A83A66">
                              <w:rPr>
                                <w:sz w:val="22"/>
                              </w:rPr>
                              <w:t xml:space="preserve"> (</w:t>
                            </w:r>
                            <w:r>
                              <w:rPr>
                                <w:sz w:val="22"/>
                              </w:rPr>
                              <w:t>right</w:t>
                            </w:r>
                            <w:r w:rsidRPr="00A83A66">
                              <w:rPr>
                                <w:sz w:val="22"/>
                              </w:rPr>
                              <w:t xml:space="preserve">): </w:t>
                            </w:r>
                            <w:r w:rsidRPr="00A83A66">
                              <w:rPr>
                                <w:sz w:val="22"/>
                                <w:bdr w:val="none" w:sz="0" w:space="0" w:color="auto" w:frame="1"/>
                                <w:lang w:eastAsia="en-GB"/>
                              </w:rPr>
                              <w:t xml:space="preserve">Cone </w:t>
                            </w:r>
                            <w:r w:rsidRPr="004A41B5">
                              <w:rPr>
                                <w:sz w:val="22"/>
                                <w:bdr w:val="none" w:sz="0" w:space="0" w:color="auto" w:frame="1"/>
                                <w:lang w:eastAsia="en-GB"/>
                              </w:rPr>
                              <w:t>fragments</w:t>
                            </w:r>
                            <w:r w:rsidRPr="00A83A66">
                              <w:rPr>
                                <w:sz w:val="22"/>
                                <w:bdr w:val="none" w:sz="0" w:space="0" w:color="auto" w:frame="1"/>
                                <w:lang w:eastAsia="en-GB"/>
                              </w:rPr>
                              <w:t xml:space="preserve"> from el-</w:t>
                            </w:r>
                            <w:proofErr w:type="spellStart"/>
                            <w:r w:rsidRPr="00A83A66">
                              <w:rPr>
                                <w:sz w:val="22"/>
                                <w:bdr w:val="none" w:sz="0" w:space="0" w:color="auto" w:frame="1"/>
                                <w:lang w:eastAsia="en-GB"/>
                              </w:rPr>
                              <w:t>Moghraqa</w:t>
                            </w:r>
                            <w:proofErr w:type="spellEnd"/>
                            <w:r w:rsidRPr="00A83A66">
                              <w:rPr>
                                <w:sz w:val="22"/>
                                <w:bdr w:val="none" w:sz="0" w:space="0" w:color="auto" w:frame="1"/>
                                <w:lang w:eastAsia="en-GB"/>
                              </w:rPr>
                              <w:t xml:space="preserve"> stamped with the </w:t>
                            </w:r>
                            <w:proofErr w:type="spellStart"/>
                            <w:r w:rsidRPr="00A83A66">
                              <w:rPr>
                                <w:sz w:val="22"/>
                                <w:bdr w:val="none" w:sz="0" w:space="0" w:color="auto" w:frame="1"/>
                                <w:lang w:eastAsia="en-GB"/>
                              </w:rPr>
                              <w:t>prenomen</w:t>
                            </w:r>
                            <w:proofErr w:type="spellEnd"/>
                            <w:r w:rsidRPr="00A83A66">
                              <w:rPr>
                                <w:sz w:val="22"/>
                                <w:bdr w:val="none" w:sz="0" w:space="0" w:color="auto" w:frame="1"/>
                                <w:lang w:eastAsia="en-GB"/>
                              </w:rPr>
                              <w:t xml:space="preserve"> of Thutmose</w:t>
                            </w:r>
                          </w:p>
                          <w:p w14:paraId="11363CEB" w14:textId="77777777" w:rsidR="002B30B2" w:rsidRPr="00A83A66" w:rsidRDefault="002B30B2" w:rsidP="002B30B2">
                            <w:pPr>
                              <w:pStyle w:val="NoSpacing"/>
                              <w:spacing w:line="360" w:lineRule="auto"/>
                            </w:pPr>
                            <w:r w:rsidRPr="00A83A66">
                              <w:rPr>
                                <w:bdr w:val="none" w:sz="0" w:space="0" w:color="auto" w:frame="1"/>
                                <w:lang w:eastAsia="en-GB"/>
                              </w:rPr>
                              <w:t>III (Clarke in Steel</w:t>
                            </w:r>
                            <w:r>
                              <w:rPr>
                                <w:bdr w:val="none" w:sz="0" w:space="0" w:color="auto" w:frame="1"/>
                                <w:lang w:eastAsia="en-GB"/>
                              </w:rPr>
                              <w:t xml:space="preserve"> et al</w:t>
                            </w:r>
                            <w:r w:rsidRPr="00A83A66">
                              <w:rPr>
                                <w:bdr w:val="none" w:sz="0" w:space="0" w:color="auto" w:frame="1"/>
                                <w:lang w:eastAsia="en-GB"/>
                              </w:rPr>
                              <w:t xml:space="preserve">, 2004: 323) </w:t>
                            </w:r>
                          </w:p>
                          <w:p w14:paraId="7E23C9D5" w14:textId="77777777" w:rsidR="002B30B2" w:rsidRPr="00A83A66" w:rsidRDefault="002B30B2" w:rsidP="002B30B2">
                            <w:pPr>
                              <w:spacing w:line="360" w:lineRule="auto"/>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4F90F0" id="_x0000_t202" coordsize="21600,21600" o:spt="202" path="m,l,21600r21600,l21600,xe">
                <v:stroke joinstyle="miter"/>
                <v:path gradientshapeok="t" o:connecttype="rect"/>
              </v:shapetype>
              <v:shape id="Text Box 6" o:spid="_x0000_s1026" type="#_x0000_t202" style="position:absolute;margin-left:186.75pt;margin-top:7.6pt;width:151.5pt;height:201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" filled="f" strokeweight=".5pt">
                <v:textbox>
                  <w:txbxContent>
                    <w:p w14:paraId="0FB8EDC3" w14:textId="5F48EBAB" w:rsidR="001909DA" w:rsidRDefault="001909DA" w:rsidP="002B30B2">
                      <w:pPr>
                        <w:spacing w:line="360" w:lineRule="auto"/>
                        <w:rPr>
                          <w:sz w:val="22"/>
                          <w:highlight w:val="yellow"/>
                        </w:rPr>
                      </w:pPr>
                      <w:r w:rsidRPr="00A83A66">
                        <w:rPr>
                          <w:sz w:val="22"/>
                        </w:rPr>
                        <w:t xml:space="preserve">Figure </w:t>
                      </w:r>
                      <w:r w:rsidR="002B30B2">
                        <w:rPr>
                          <w:sz w:val="22"/>
                        </w:rPr>
                        <w:t>1</w:t>
                      </w:r>
                      <w:r w:rsidR="00A83A66" w:rsidRPr="00A83A66">
                        <w:rPr>
                          <w:sz w:val="22"/>
                        </w:rPr>
                        <w:t xml:space="preserve"> (left)</w:t>
                      </w:r>
                      <w:r w:rsidRPr="00A83A66">
                        <w:rPr>
                          <w:sz w:val="22"/>
                        </w:rPr>
                        <w:t xml:space="preserve">: Egyptian funerary </w:t>
                      </w:r>
                      <w:r w:rsidRPr="004A41B5">
                        <w:rPr>
                          <w:sz w:val="22"/>
                        </w:rPr>
                        <w:t>cones</w:t>
                      </w:r>
                      <w:r w:rsidR="00AB5C0C" w:rsidRPr="00A83A66">
                        <w:rPr>
                          <w:sz w:val="22"/>
                        </w:rPr>
                        <w:t xml:space="preserve">. </w:t>
                      </w:r>
                      <w:r w:rsidR="00AB5C0C" w:rsidRPr="004A41B5">
                        <w:rPr>
                          <w:sz w:val="22"/>
                        </w:rPr>
                        <w:t>(</w:t>
                      </w:r>
                      <w:r w:rsidR="00811260" w:rsidRPr="004A41B5">
                        <w:rPr>
                          <w:sz w:val="22"/>
                        </w:rPr>
                        <w:t>Ancient Origins, 2016</w:t>
                      </w:r>
                      <w:r w:rsidR="00AB5C0C" w:rsidRPr="004A41B5">
                        <w:rPr>
                          <w:sz w:val="22"/>
                        </w:rPr>
                        <w:t>)</w:t>
                      </w:r>
                    </w:p>
                    <w:p w14:paraId="0B85DA76" w14:textId="291AA474" w:rsidR="002B30B2" w:rsidRDefault="002B30B2" w:rsidP="002B30B2">
                      <w:pPr>
                        <w:spacing w:line="360" w:lineRule="auto"/>
                        <w:rPr>
                          <w:sz w:val="22"/>
                        </w:rPr>
                      </w:pPr>
                    </w:p>
                    <w:p w14:paraId="3E02EC76" w14:textId="77777777" w:rsidR="002B30B2" w:rsidRPr="00A83A66" w:rsidRDefault="002B30B2" w:rsidP="002B30B2">
                      <w:pPr>
                        <w:spacing w:line="360" w:lineRule="auto"/>
                        <w:rPr>
                          <w:sz w:val="22"/>
                          <w:lang w:eastAsia="en-GB"/>
                        </w:rPr>
                      </w:pPr>
                      <w:r w:rsidRPr="00A83A66">
                        <w:rPr>
                          <w:sz w:val="22"/>
                        </w:rPr>
                        <w:t xml:space="preserve">Figure </w:t>
                      </w:r>
                      <w:r>
                        <w:rPr>
                          <w:sz w:val="22"/>
                        </w:rPr>
                        <w:t>2</w:t>
                      </w:r>
                      <w:r w:rsidRPr="00A83A66">
                        <w:rPr>
                          <w:sz w:val="22"/>
                        </w:rPr>
                        <w:t xml:space="preserve"> (</w:t>
                      </w:r>
                      <w:r>
                        <w:rPr>
                          <w:sz w:val="22"/>
                        </w:rPr>
                        <w:t>right</w:t>
                      </w:r>
                      <w:r w:rsidRPr="00A83A66">
                        <w:rPr>
                          <w:sz w:val="22"/>
                        </w:rPr>
                        <w:t xml:space="preserve">): </w:t>
                      </w:r>
                      <w:r w:rsidRPr="00A83A66">
                        <w:rPr>
                          <w:sz w:val="22"/>
                          <w:bdr w:val="none" w:sz="0" w:space="0" w:color="auto" w:frame="1"/>
                          <w:lang w:eastAsia="en-GB"/>
                        </w:rPr>
                        <w:t xml:space="preserve">Cone </w:t>
                      </w:r>
                      <w:r w:rsidRPr="004A41B5">
                        <w:rPr>
                          <w:sz w:val="22"/>
                          <w:bdr w:val="none" w:sz="0" w:space="0" w:color="auto" w:frame="1"/>
                          <w:lang w:eastAsia="en-GB"/>
                        </w:rPr>
                        <w:t>fragments</w:t>
                      </w:r>
                      <w:r w:rsidRPr="00A83A66">
                        <w:rPr>
                          <w:sz w:val="22"/>
                          <w:bdr w:val="none" w:sz="0" w:space="0" w:color="auto" w:frame="1"/>
                          <w:lang w:eastAsia="en-GB"/>
                        </w:rPr>
                        <w:t xml:space="preserve"> from el-</w:t>
                      </w:r>
                      <w:proofErr w:type="spellStart"/>
                      <w:r w:rsidRPr="00A83A66">
                        <w:rPr>
                          <w:sz w:val="22"/>
                          <w:bdr w:val="none" w:sz="0" w:space="0" w:color="auto" w:frame="1"/>
                          <w:lang w:eastAsia="en-GB"/>
                        </w:rPr>
                        <w:t>Moghraqa</w:t>
                      </w:r>
                      <w:proofErr w:type="spellEnd"/>
                      <w:r w:rsidRPr="00A83A66">
                        <w:rPr>
                          <w:sz w:val="22"/>
                          <w:bdr w:val="none" w:sz="0" w:space="0" w:color="auto" w:frame="1"/>
                          <w:lang w:eastAsia="en-GB"/>
                        </w:rPr>
                        <w:t xml:space="preserve"> stamped with the </w:t>
                      </w:r>
                      <w:proofErr w:type="spellStart"/>
                      <w:r w:rsidRPr="00A83A66">
                        <w:rPr>
                          <w:sz w:val="22"/>
                          <w:bdr w:val="none" w:sz="0" w:space="0" w:color="auto" w:frame="1"/>
                          <w:lang w:eastAsia="en-GB"/>
                        </w:rPr>
                        <w:t>prenomen</w:t>
                      </w:r>
                      <w:proofErr w:type="spellEnd"/>
                      <w:r w:rsidRPr="00A83A66">
                        <w:rPr>
                          <w:sz w:val="22"/>
                          <w:bdr w:val="none" w:sz="0" w:space="0" w:color="auto" w:frame="1"/>
                          <w:lang w:eastAsia="en-GB"/>
                        </w:rPr>
                        <w:t xml:space="preserve"> of Thutmose</w:t>
                      </w:r>
                    </w:p>
                    <w:p w14:paraId="11363CEB" w14:textId="77777777" w:rsidR="002B30B2" w:rsidRPr="00A83A66" w:rsidRDefault="002B30B2" w:rsidP="002B30B2">
                      <w:pPr>
                        <w:pStyle w:val="NoSpacing"/>
                        <w:spacing w:line="360" w:lineRule="auto"/>
                      </w:pPr>
                      <w:r w:rsidRPr="00A83A66">
                        <w:rPr>
                          <w:bdr w:val="none" w:sz="0" w:space="0" w:color="auto" w:frame="1"/>
                          <w:lang w:eastAsia="en-GB"/>
                        </w:rPr>
                        <w:t>III (Clarke in Steel</w:t>
                      </w:r>
                      <w:r>
                        <w:rPr>
                          <w:bdr w:val="none" w:sz="0" w:space="0" w:color="auto" w:frame="1"/>
                          <w:lang w:eastAsia="en-GB"/>
                        </w:rPr>
                        <w:t xml:space="preserve"> et al</w:t>
                      </w:r>
                      <w:r w:rsidRPr="00A83A66">
                        <w:rPr>
                          <w:bdr w:val="none" w:sz="0" w:space="0" w:color="auto" w:frame="1"/>
                          <w:lang w:eastAsia="en-GB"/>
                        </w:rPr>
                        <w:t xml:space="preserve">, 2004: 323) </w:t>
                      </w:r>
                    </w:p>
                    <w:p w14:paraId="7E23C9D5" w14:textId="77777777" w:rsidR="002B30B2" w:rsidRPr="00A83A66" w:rsidRDefault="002B30B2" w:rsidP="002B30B2">
                      <w:pPr>
                        <w:spacing w:line="360" w:lineRule="auto"/>
                        <w:rPr>
                          <w:sz w:val="22"/>
                        </w:rPr>
                      </w:pPr>
                    </w:p>
                  </w:txbxContent>
                </v:textbox>
              </v:shape>
            </w:pict>
          </mc:Fallback>
        </mc:AlternateContent>
      </w:r>
    </w:p>
    <w:p w14:paraId="33062BE6" w14:textId="2CD1F762" w:rsidR="00197031" w:rsidRPr="00777AD2" w:rsidRDefault="00197031" w:rsidP="002B30B2">
      <w:pPr>
        <w:pStyle w:val="NoSpacing"/>
        <w:spacing w:line="480" w:lineRule="auto"/>
      </w:pPr>
    </w:p>
    <w:p w14:paraId="0987BF19" w14:textId="5A014BB8" w:rsidR="00197031" w:rsidRPr="00777AD2" w:rsidRDefault="00197031" w:rsidP="002B30B2">
      <w:pPr>
        <w:pStyle w:val="NoSpacing"/>
        <w:spacing w:line="480" w:lineRule="auto"/>
      </w:pPr>
    </w:p>
    <w:p w14:paraId="7EC2BB7D" w14:textId="0F9FAEF6" w:rsidR="00304326" w:rsidRPr="00777AD2" w:rsidRDefault="00304326" w:rsidP="002B30B2">
      <w:pPr>
        <w:pStyle w:val="NoSpacing"/>
        <w:spacing w:line="480" w:lineRule="auto"/>
      </w:pPr>
    </w:p>
    <w:p w14:paraId="7C07D347" w14:textId="2A18547B" w:rsidR="00304326" w:rsidRPr="00777AD2" w:rsidRDefault="00304326" w:rsidP="002B30B2">
      <w:pPr>
        <w:pStyle w:val="NoSpacing"/>
        <w:spacing w:line="480" w:lineRule="auto"/>
      </w:pPr>
    </w:p>
    <w:p w14:paraId="70594490" w14:textId="77777777" w:rsidR="002B30B2" w:rsidRPr="00777AD2" w:rsidRDefault="002B30B2" w:rsidP="002B30B2">
      <w:pPr>
        <w:pStyle w:val="NoSpacing"/>
        <w:spacing w:line="480" w:lineRule="auto"/>
      </w:pPr>
    </w:p>
    <w:p w14:paraId="6F328175" w14:textId="77777777" w:rsidR="002B30B2" w:rsidRPr="00777AD2" w:rsidRDefault="002B30B2" w:rsidP="002B30B2">
      <w:pPr>
        <w:pStyle w:val="NoSpacing"/>
        <w:spacing w:line="480" w:lineRule="auto"/>
      </w:pPr>
    </w:p>
    <w:p w14:paraId="526DD86E" w14:textId="10C795AD" w:rsidR="002B30B2" w:rsidRPr="00777AD2" w:rsidRDefault="002B30B2" w:rsidP="002B30B2">
      <w:pPr>
        <w:pStyle w:val="NoSpacing"/>
        <w:spacing w:line="480" w:lineRule="auto"/>
      </w:pPr>
    </w:p>
    <w:p w14:paraId="53C5D434" w14:textId="77777777" w:rsidR="002B30B2" w:rsidRPr="00777AD2" w:rsidRDefault="002B30B2" w:rsidP="002B30B2">
      <w:pPr>
        <w:pStyle w:val="NoSpacing"/>
        <w:spacing w:line="480" w:lineRule="auto"/>
      </w:pPr>
    </w:p>
    <w:p w14:paraId="08142EF9" w14:textId="2A1759D6" w:rsidR="003B3ACC" w:rsidRPr="00777AD2" w:rsidRDefault="007816D4" w:rsidP="002B30B2">
      <w:pPr>
        <w:pStyle w:val="NoSpacing"/>
        <w:spacing w:line="480" w:lineRule="auto"/>
      </w:pPr>
      <w:r w:rsidRPr="00777AD2">
        <w:t xml:space="preserve">The clay was groggy, unrefined, and assumed to be local; this was unconfirmed due to political situations in the area at the time. </w:t>
      </w:r>
      <w:r w:rsidR="007A4EAD" w:rsidRPr="00777AD2">
        <w:t>The</w:t>
      </w:r>
      <w:r w:rsidRPr="00777AD2">
        <w:t>y</w:t>
      </w:r>
      <w:r w:rsidR="007A4EAD" w:rsidRPr="00777AD2">
        <w:t xml:space="preserve"> </w:t>
      </w:r>
      <w:r w:rsidR="00EF4648" w:rsidRPr="00777AD2">
        <w:t>were</w:t>
      </w:r>
      <w:r w:rsidR="007A4EAD" w:rsidRPr="00777AD2">
        <w:t xml:space="preserve"> </w:t>
      </w:r>
      <w:r w:rsidR="00EF4648" w:rsidRPr="00777AD2">
        <w:t>badly fired</w:t>
      </w:r>
      <w:r w:rsidR="00B80569" w:rsidRPr="00777AD2">
        <w:t>, and naively executed</w:t>
      </w:r>
      <w:r w:rsidR="003B3ACC" w:rsidRPr="00777AD2">
        <w:t xml:space="preserve"> </w:t>
      </w:r>
      <w:r w:rsidR="00EF4648" w:rsidRPr="00777AD2">
        <w:t xml:space="preserve">(Steel et al, 2004: 326), suggesting either a lack of knowledge and experience with using clay effectively or they were not important enough to warrant a proper firing. </w:t>
      </w:r>
    </w:p>
    <w:p w14:paraId="79F1FF19" w14:textId="77777777" w:rsidR="003B3ACC" w:rsidRPr="00777AD2" w:rsidRDefault="003B3ACC" w:rsidP="002B30B2">
      <w:pPr>
        <w:pStyle w:val="NoSpacing"/>
        <w:spacing w:line="480" w:lineRule="auto"/>
      </w:pPr>
    </w:p>
    <w:p w14:paraId="30DCE03F" w14:textId="29C0F183" w:rsidR="00B80569" w:rsidRPr="00777AD2" w:rsidRDefault="003B3ACC" w:rsidP="002B30B2">
      <w:pPr>
        <w:pStyle w:val="NoSpacing"/>
        <w:spacing w:line="480" w:lineRule="auto"/>
      </w:pPr>
      <w:r w:rsidRPr="00777AD2">
        <w:t xml:space="preserve">The cones are embossed with hieroglyphs, depicting the throne names of Egyptian Pharaohs, which were pressed onto them from carved stamps, possibly made of wood. The hieroglyphs on the cones were not as good as the ones in Egypt, suggesting a copycat design, </w:t>
      </w:r>
      <w:r w:rsidR="000256E5" w:rsidRPr="00777AD2">
        <w:t>or</w:t>
      </w:r>
      <w:r w:rsidRPr="00777AD2">
        <w:t xml:space="preserve"> created by an inexperienced scribe, </w:t>
      </w:r>
      <w:r w:rsidR="001560EE" w:rsidRPr="00777AD2">
        <w:t>and</w:t>
      </w:r>
      <w:r w:rsidRPr="00777AD2">
        <w:t xml:space="preserve"> they may have lost something in translation</w:t>
      </w:r>
      <w:r w:rsidR="00DC19EF" w:rsidRPr="00777AD2">
        <w:t xml:space="preserve"> (see figures </w:t>
      </w:r>
      <w:r w:rsidR="00A83A66" w:rsidRPr="00777AD2">
        <w:t>3</w:t>
      </w:r>
      <w:r w:rsidR="00DC19EF" w:rsidRPr="00777AD2">
        <w:t xml:space="preserve"> and </w:t>
      </w:r>
      <w:r w:rsidR="00A83A66" w:rsidRPr="00777AD2">
        <w:t>4</w:t>
      </w:r>
      <w:r w:rsidR="00DC19EF" w:rsidRPr="00777AD2">
        <w:t xml:space="preserve"> for comparison)</w:t>
      </w:r>
      <w:r w:rsidRPr="00777AD2">
        <w:t>.</w:t>
      </w:r>
    </w:p>
    <w:p w14:paraId="49CFC0BC" w14:textId="332F948A" w:rsidR="003B3ACC" w:rsidRPr="00777AD2" w:rsidRDefault="00777AD2" w:rsidP="002B30B2">
      <w:pPr>
        <w:pStyle w:val="NoSpacing"/>
        <w:spacing w:line="480" w:lineRule="auto"/>
      </w:pPr>
      <w:r w:rsidRPr="00777AD2">
        <w:rPr>
          <w:noProof/>
          <w:lang w:eastAsia="zh-CN"/>
        </w:rPr>
        <mc:AlternateContent>
          <mc:Choice Requires="wps">
            <w:drawing>
              <wp:anchor distT="0" distB="0" distL="114300" distR="114300" simplePos="0" relativeHeight="251643904" behindDoc="0" locked="0" layoutInCell="1" allowOverlap="1" wp14:anchorId="60266DBB" wp14:editId="2DBED887">
                <wp:simplePos x="0" y="0"/>
                <wp:positionH relativeFrom="column">
                  <wp:posOffset>1743075</wp:posOffset>
                </wp:positionH>
                <wp:positionV relativeFrom="paragraph">
                  <wp:posOffset>11430</wp:posOffset>
                </wp:positionV>
                <wp:extent cx="2724150" cy="252412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2724150" cy="2524125"/>
                        </a:xfrm>
                        <a:prstGeom prst="rect">
                          <a:avLst/>
                        </a:prstGeom>
                        <a:noFill/>
                        <a:ln w="6350">
                          <a:solidFill>
                            <a:prstClr val="black"/>
                          </a:solidFill>
                        </a:ln>
                      </wps:spPr>
                      <wps:txbx>
                        <w:txbxContent>
                          <w:p w14:paraId="39F3682B" w14:textId="7C87166D" w:rsidR="001909DA" w:rsidRPr="00EF22F1" w:rsidRDefault="001909DA" w:rsidP="002B30B2">
                            <w:pPr>
                              <w:spacing w:line="360" w:lineRule="auto"/>
                              <w:rPr>
                                <w:sz w:val="22"/>
                              </w:rPr>
                            </w:pPr>
                            <w:r w:rsidRPr="004A41B5">
                              <w:rPr>
                                <w:sz w:val="22"/>
                              </w:rPr>
                              <w:t xml:space="preserve">Figure </w:t>
                            </w:r>
                            <w:r w:rsidR="00A83A66" w:rsidRPr="004A41B5">
                              <w:rPr>
                                <w:sz w:val="22"/>
                              </w:rPr>
                              <w:t>3</w:t>
                            </w:r>
                            <w:r w:rsidR="00AB5C0C" w:rsidRPr="004A41B5">
                              <w:rPr>
                                <w:sz w:val="22"/>
                              </w:rPr>
                              <w:t xml:space="preserve"> (left)</w:t>
                            </w:r>
                            <w:r w:rsidRPr="004A41B5">
                              <w:rPr>
                                <w:sz w:val="22"/>
                              </w:rPr>
                              <w:t xml:space="preserve">: Hieroglyphs for Thutmose III, </w:t>
                            </w:r>
                            <w:proofErr w:type="spellStart"/>
                            <w:r w:rsidRPr="004A41B5">
                              <w:rPr>
                                <w:sz w:val="22"/>
                              </w:rPr>
                              <w:t>mn</w:t>
                            </w:r>
                            <w:proofErr w:type="spellEnd"/>
                            <w:r w:rsidRPr="004A41B5">
                              <w:rPr>
                                <w:sz w:val="22"/>
                              </w:rPr>
                              <w:t>-</w:t>
                            </w:r>
                            <w:proofErr w:type="spellStart"/>
                            <w:r w:rsidRPr="004A41B5">
                              <w:rPr>
                                <w:rFonts w:cs="Arial"/>
                                <w:sz w:val="22"/>
                              </w:rPr>
                              <w:t>ḫ</w:t>
                            </w:r>
                            <w:r w:rsidRPr="004A41B5">
                              <w:rPr>
                                <w:sz w:val="22"/>
                              </w:rPr>
                              <w:t>pr</w:t>
                            </w:r>
                            <w:proofErr w:type="spellEnd"/>
                            <w:r w:rsidRPr="004A41B5">
                              <w:rPr>
                                <w:sz w:val="22"/>
                              </w:rPr>
                              <w:t>-r</w:t>
                            </w:r>
                            <w:r w:rsidRPr="004A41B5">
                              <w:rPr>
                                <w:rFonts w:cs="Arial"/>
                                <w:sz w:val="22"/>
                              </w:rPr>
                              <w:t>Ꜥ</w:t>
                            </w:r>
                            <w:r w:rsidR="00AB5C0C" w:rsidRPr="004A41B5">
                              <w:rPr>
                                <w:rFonts w:cs="Arial"/>
                                <w:sz w:val="22"/>
                              </w:rPr>
                              <w:t>, note the scarab has six legs</w:t>
                            </w:r>
                            <w:r w:rsidRPr="004A41B5">
                              <w:rPr>
                                <w:sz w:val="22"/>
                              </w:rPr>
                              <w:t xml:space="preserve"> (above)</w:t>
                            </w:r>
                            <w:r w:rsidR="00AB5C0C" w:rsidRPr="004A41B5">
                              <w:rPr>
                                <w:sz w:val="22"/>
                              </w:rPr>
                              <w:t>,</w:t>
                            </w:r>
                            <w:r w:rsidRPr="004A41B5">
                              <w:rPr>
                                <w:sz w:val="22"/>
                              </w:rPr>
                              <w:t xml:space="preserve"> and Hatshepsut, m</w:t>
                            </w:r>
                            <w:r w:rsidRPr="004A41B5">
                              <w:rPr>
                                <w:rFonts w:cs="Arial"/>
                                <w:sz w:val="22"/>
                              </w:rPr>
                              <w:t>ꜢꜤ</w:t>
                            </w:r>
                            <w:r w:rsidRPr="004A41B5">
                              <w:rPr>
                                <w:sz w:val="22"/>
                              </w:rPr>
                              <w:t>t-k</w:t>
                            </w:r>
                            <w:r w:rsidRPr="004A41B5">
                              <w:rPr>
                                <w:rFonts w:cs="Arial"/>
                                <w:sz w:val="22"/>
                              </w:rPr>
                              <w:t>Ꜣ</w:t>
                            </w:r>
                            <w:r w:rsidRPr="004A41B5">
                              <w:rPr>
                                <w:sz w:val="22"/>
                              </w:rPr>
                              <w:t>-r</w:t>
                            </w:r>
                            <w:r w:rsidRPr="004A41B5">
                              <w:rPr>
                                <w:rFonts w:cs="Arial"/>
                                <w:sz w:val="22"/>
                              </w:rPr>
                              <w:t>Ꜥ</w:t>
                            </w:r>
                            <w:r w:rsidRPr="004A41B5">
                              <w:rPr>
                                <w:sz w:val="22"/>
                              </w:rPr>
                              <w:t xml:space="preserve"> (below)</w:t>
                            </w:r>
                            <w:r w:rsidR="00AB5C0C" w:rsidRPr="004A41B5">
                              <w:rPr>
                                <w:sz w:val="22"/>
                              </w:rPr>
                              <w:t xml:space="preserve">. </w:t>
                            </w:r>
                            <w:r w:rsidR="00BE46E9" w:rsidRPr="004A41B5">
                              <w:rPr>
                                <w:sz w:val="22"/>
                              </w:rPr>
                              <w:t>(</w:t>
                            </w:r>
                            <w:r w:rsidR="00CE1376" w:rsidRPr="004A41B5">
                              <w:rPr>
                                <w:sz w:val="22"/>
                              </w:rPr>
                              <w:t>Fleury</w:t>
                            </w:r>
                            <w:r w:rsidR="00BE46E9" w:rsidRPr="004A41B5">
                              <w:rPr>
                                <w:sz w:val="22"/>
                              </w:rPr>
                              <w:t>, 2001</w:t>
                            </w:r>
                            <w:r w:rsidR="00AB5C0C" w:rsidRPr="004A41B5">
                              <w:rPr>
                                <w:sz w:val="22"/>
                              </w:rPr>
                              <w:t>)</w:t>
                            </w:r>
                          </w:p>
                          <w:p w14:paraId="49EFF99C" w14:textId="3B88F639" w:rsidR="001909DA" w:rsidRDefault="001909DA" w:rsidP="002B30B2">
                            <w:pPr>
                              <w:spacing w:line="360" w:lineRule="auto"/>
                            </w:pPr>
                          </w:p>
                          <w:p w14:paraId="039D2561" w14:textId="3C328076" w:rsidR="00AB5C0C" w:rsidRPr="00EF22F1" w:rsidRDefault="00AB5C0C" w:rsidP="002B30B2">
                            <w:pPr>
                              <w:spacing w:line="360" w:lineRule="auto"/>
                              <w:rPr>
                                <w:sz w:val="18"/>
                              </w:rPr>
                            </w:pPr>
                            <w:r w:rsidRPr="004A41B5">
                              <w:rPr>
                                <w:sz w:val="22"/>
                              </w:rPr>
                              <w:t xml:space="preserve">Figure </w:t>
                            </w:r>
                            <w:r w:rsidR="00A83A66" w:rsidRPr="004A41B5">
                              <w:rPr>
                                <w:sz w:val="22"/>
                              </w:rPr>
                              <w:t>4</w:t>
                            </w:r>
                            <w:r w:rsidRPr="004A41B5">
                              <w:rPr>
                                <w:sz w:val="22"/>
                              </w:rPr>
                              <w:t xml:space="preserve"> (right): Gazan funerary cone showing positions of both stamps, and the hieroglyphs. Note the scarab sign has four legs instead of six. (Steel et al, 2004: 322)</w:t>
                            </w:r>
                          </w:p>
                          <w:p w14:paraId="105AB9F8" w14:textId="77777777" w:rsidR="00AB5C0C" w:rsidRDefault="00AB5C0C" w:rsidP="001909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66DBB" id="Text Box 8" o:spid="_x0000_s1027" type="#_x0000_t202" style="position:absolute;margin-left:137.25pt;margin-top:.9pt;width:214.5pt;height:198.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" filled="f" strokeweight=".5pt">
                <v:textbox>
                  <w:txbxContent>
                    <w:p w14:paraId="39F3682B" w14:textId="7C87166D" w:rsidR="001909DA" w:rsidRPr="00EF22F1" w:rsidRDefault="001909DA" w:rsidP="002B30B2">
                      <w:pPr>
                        <w:spacing w:line="360" w:lineRule="auto"/>
                        <w:rPr>
                          <w:sz w:val="22"/>
                        </w:rPr>
                      </w:pPr>
                      <w:r w:rsidRPr="004A41B5">
                        <w:rPr>
                          <w:sz w:val="22"/>
                        </w:rPr>
                        <w:t xml:space="preserve">Figure </w:t>
                      </w:r>
                      <w:r w:rsidR="00A83A66" w:rsidRPr="004A41B5">
                        <w:rPr>
                          <w:sz w:val="22"/>
                        </w:rPr>
                        <w:t>3</w:t>
                      </w:r>
                      <w:r w:rsidR="00AB5C0C" w:rsidRPr="004A41B5">
                        <w:rPr>
                          <w:sz w:val="22"/>
                        </w:rPr>
                        <w:t xml:space="preserve"> (left)</w:t>
                      </w:r>
                      <w:r w:rsidRPr="004A41B5">
                        <w:rPr>
                          <w:sz w:val="22"/>
                        </w:rPr>
                        <w:t xml:space="preserve">: Hieroglyphs for Thutmose III, </w:t>
                      </w:r>
                      <w:proofErr w:type="spellStart"/>
                      <w:r w:rsidRPr="004A41B5">
                        <w:rPr>
                          <w:sz w:val="22"/>
                        </w:rPr>
                        <w:t>mn</w:t>
                      </w:r>
                      <w:proofErr w:type="spellEnd"/>
                      <w:r w:rsidRPr="004A41B5">
                        <w:rPr>
                          <w:sz w:val="22"/>
                        </w:rPr>
                        <w:t>-</w:t>
                      </w:r>
                      <w:proofErr w:type="spellStart"/>
                      <w:r w:rsidRPr="004A41B5">
                        <w:rPr>
                          <w:rFonts w:cs="Arial"/>
                          <w:sz w:val="22"/>
                        </w:rPr>
                        <w:t>ḫ</w:t>
                      </w:r>
                      <w:r w:rsidRPr="004A41B5">
                        <w:rPr>
                          <w:sz w:val="22"/>
                        </w:rPr>
                        <w:t>pr</w:t>
                      </w:r>
                      <w:proofErr w:type="spellEnd"/>
                      <w:r w:rsidRPr="004A41B5">
                        <w:rPr>
                          <w:sz w:val="22"/>
                        </w:rPr>
                        <w:t>-r</w:t>
                      </w:r>
                      <w:r w:rsidRPr="004A41B5">
                        <w:rPr>
                          <w:rFonts w:cs="Arial"/>
                          <w:sz w:val="22"/>
                        </w:rPr>
                        <w:t>Ꜥ</w:t>
                      </w:r>
                      <w:r w:rsidR="00AB5C0C" w:rsidRPr="004A41B5">
                        <w:rPr>
                          <w:rFonts w:cs="Arial"/>
                          <w:sz w:val="22"/>
                        </w:rPr>
                        <w:t>, note the scarab has six legs</w:t>
                      </w:r>
                      <w:r w:rsidRPr="004A41B5">
                        <w:rPr>
                          <w:sz w:val="22"/>
                        </w:rPr>
                        <w:t xml:space="preserve"> (above)</w:t>
                      </w:r>
                      <w:r w:rsidR="00AB5C0C" w:rsidRPr="004A41B5">
                        <w:rPr>
                          <w:sz w:val="22"/>
                        </w:rPr>
                        <w:t>,</w:t>
                      </w:r>
                      <w:r w:rsidRPr="004A41B5">
                        <w:rPr>
                          <w:sz w:val="22"/>
                        </w:rPr>
                        <w:t xml:space="preserve"> and Hatshepsut, m</w:t>
                      </w:r>
                      <w:r w:rsidRPr="004A41B5">
                        <w:rPr>
                          <w:rFonts w:cs="Arial"/>
                          <w:sz w:val="22"/>
                        </w:rPr>
                        <w:t>ꜢꜤ</w:t>
                      </w:r>
                      <w:r w:rsidRPr="004A41B5">
                        <w:rPr>
                          <w:sz w:val="22"/>
                        </w:rPr>
                        <w:t>t-k</w:t>
                      </w:r>
                      <w:r w:rsidRPr="004A41B5">
                        <w:rPr>
                          <w:rFonts w:cs="Arial"/>
                          <w:sz w:val="22"/>
                        </w:rPr>
                        <w:t>Ꜣ</w:t>
                      </w:r>
                      <w:r w:rsidRPr="004A41B5">
                        <w:rPr>
                          <w:sz w:val="22"/>
                        </w:rPr>
                        <w:t>-r</w:t>
                      </w:r>
                      <w:r w:rsidRPr="004A41B5">
                        <w:rPr>
                          <w:rFonts w:cs="Arial"/>
                          <w:sz w:val="22"/>
                        </w:rPr>
                        <w:t>Ꜥ</w:t>
                      </w:r>
                      <w:r w:rsidRPr="004A41B5">
                        <w:rPr>
                          <w:sz w:val="22"/>
                        </w:rPr>
                        <w:t xml:space="preserve"> (below)</w:t>
                      </w:r>
                      <w:r w:rsidR="00AB5C0C" w:rsidRPr="004A41B5">
                        <w:rPr>
                          <w:sz w:val="22"/>
                        </w:rPr>
                        <w:t xml:space="preserve">. </w:t>
                      </w:r>
                      <w:r w:rsidR="00BE46E9" w:rsidRPr="004A41B5">
                        <w:rPr>
                          <w:sz w:val="22"/>
                        </w:rPr>
                        <w:t>(</w:t>
                      </w:r>
                      <w:r w:rsidR="00CE1376" w:rsidRPr="004A41B5">
                        <w:rPr>
                          <w:sz w:val="22"/>
                        </w:rPr>
                        <w:t>Fleury</w:t>
                      </w:r>
                      <w:r w:rsidR="00BE46E9" w:rsidRPr="004A41B5">
                        <w:rPr>
                          <w:sz w:val="22"/>
                        </w:rPr>
                        <w:t>, 2001</w:t>
                      </w:r>
                      <w:r w:rsidR="00AB5C0C" w:rsidRPr="004A41B5">
                        <w:rPr>
                          <w:sz w:val="22"/>
                        </w:rPr>
                        <w:t>)</w:t>
                      </w:r>
                    </w:p>
                    <w:p w14:paraId="49EFF99C" w14:textId="3B88F639" w:rsidR="001909DA" w:rsidRDefault="001909DA" w:rsidP="002B30B2">
                      <w:pPr>
                        <w:spacing w:line="360" w:lineRule="auto"/>
                      </w:pPr>
                    </w:p>
                    <w:p w14:paraId="039D2561" w14:textId="3C328076" w:rsidR="00AB5C0C" w:rsidRPr="00EF22F1" w:rsidRDefault="00AB5C0C" w:rsidP="002B30B2">
                      <w:pPr>
                        <w:spacing w:line="360" w:lineRule="auto"/>
                        <w:rPr>
                          <w:sz w:val="18"/>
                        </w:rPr>
                      </w:pPr>
                      <w:r w:rsidRPr="004A41B5">
                        <w:rPr>
                          <w:sz w:val="22"/>
                        </w:rPr>
                        <w:t xml:space="preserve">Figure </w:t>
                      </w:r>
                      <w:r w:rsidR="00A83A66" w:rsidRPr="004A41B5">
                        <w:rPr>
                          <w:sz w:val="22"/>
                        </w:rPr>
                        <w:t>4</w:t>
                      </w:r>
                      <w:r w:rsidRPr="004A41B5">
                        <w:rPr>
                          <w:sz w:val="22"/>
                        </w:rPr>
                        <w:t xml:space="preserve"> (right): Gazan funerary cone showing positions of both stamps, and the hieroglyphs. Note the scarab sign has four legs instead of six. (Steel et al, 2004: 322)</w:t>
                      </w:r>
                    </w:p>
                    <w:p w14:paraId="105AB9F8" w14:textId="77777777" w:rsidR="00AB5C0C" w:rsidRDefault="00AB5C0C" w:rsidP="001909DA"/>
                  </w:txbxContent>
                </v:textbox>
              </v:shape>
            </w:pict>
          </mc:Fallback>
        </mc:AlternateContent>
      </w:r>
      <w:r w:rsidRPr="00777AD2">
        <w:rPr>
          <w:noProof/>
          <w:lang w:eastAsia="zh-CN"/>
        </w:rPr>
        <w:drawing>
          <wp:anchor distT="0" distB="0" distL="114300" distR="114300" simplePos="0" relativeHeight="251666432" behindDoc="1" locked="0" layoutInCell="1" allowOverlap="1" wp14:anchorId="01E6F43D" wp14:editId="6F99BDD4">
            <wp:simplePos x="0" y="0"/>
            <wp:positionH relativeFrom="margin">
              <wp:align>right</wp:align>
            </wp:positionH>
            <wp:positionV relativeFrom="paragraph">
              <wp:posOffset>204470</wp:posOffset>
            </wp:positionV>
            <wp:extent cx="1197610" cy="2097405"/>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3418" t="17903" r="56072" b="18212"/>
                    <a:stretch/>
                  </pic:blipFill>
                  <pic:spPr bwMode="auto">
                    <a:xfrm>
                      <a:off x="0" y="0"/>
                      <a:ext cx="1197610" cy="2097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30B2" w:rsidRPr="00777AD2">
        <w:rPr>
          <w:noProof/>
          <w:lang w:eastAsia="zh-CN"/>
        </w:rPr>
        <w:drawing>
          <wp:anchor distT="0" distB="0" distL="114300" distR="114300" simplePos="0" relativeHeight="251679744" behindDoc="0" locked="0" layoutInCell="1" allowOverlap="1" wp14:anchorId="44332C5C" wp14:editId="2E76F43E">
            <wp:simplePos x="0" y="0"/>
            <wp:positionH relativeFrom="column">
              <wp:posOffset>0</wp:posOffset>
            </wp:positionH>
            <wp:positionV relativeFrom="paragraph">
              <wp:posOffset>266700</wp:posOffset>
            </wp:positionV>
            <wp:extent cx="1685925" cy="685800"/>
            <wp:effectExtent l="0" t="0" r="9525" b="0"/>
            <wp:wrapSquare wrapText="bothSides"/>
            <wp:docPr id="4" name="Picture 4" descr="https://static.wixstatic.com/media/5d4e39_01ca4bfd258148f9ba2c5b6228dc2e7e~mv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atic.wixstatic.com/media/5d4e39_01ca4bfd258148f9ba2c5b6228dc2e7e~mv2.gif"/>
                    <pic:cNvPicPr>
                      <a:picLocks noChangeAspect="1" noChangeArrowheads="1"/>
                    </pic:cNvPicPr>
                  </pic:nvPicPr>
                  <pic:blipFill rotWithShape="1">
                    <a:blip r:embed="rId8">
                      <a:extLst>
                        <a:ext uri="{28A0092B-C50C-407E-A947-70E740481C1C}">
                          <a14:useLocalDpi xmlns:a14="http://schemas.microsoft.com/office/drawing/2010/main" val="0"/>
                        </a:ext>
                      </a:extLst>
                    </a:blip>
                    <a:srcRect l="1486" t="47191" b="7303"/>
                    <a:stretch/>
                  </pic:blipFill>
                  <pic:spPr bwMode="auto">
                    <a:xfrm>
                      <a:off x="0" y="0"/>
                      <a:ext cx="1685925" cy="685800"/>
                    </a:xfrm>
                    <a:prstGeom prst="rect">
                      <a:avLst/>
                    </a:prstGeom>
                    <a:noFill/>
                    <a:ln>
                      <a:noFill/>
                    </a:ln>
                    <a:extLst>
                      <a:ext uri="{53640926-AAD7-44D8-BBD7-CCE9431645EC}">
                        <a14:shadowObscured xmlns:a14="http://schemas.microsoft.com/office/drawing/2010/main"/>
                      </a:ext>
                    </a:extLst>
                  </pic:spPr>
                </pic:pic>
              </a:graphicData>
            </a:graphic>
          </wp:anchor>
        </w:drawing>
      </w:r>
    </w:p>
    <w:p w14:paraId="51978944" w14:textId="47014B87" w:rsidR="001909DA" w:rsidRPr="00777AD2" w:rsidRDefault="001909DA" w:rsidP="002B30B2">
      <w:pPr>
        <w:pStyle w:val="NoSpacing"/>
        <w:spacing w:line="480" w:lineRule="auto"/>
      </w:pPr>
    </w:p>
    <w:p w14:paraId="542AE22A" w14:textId="42679BC2" w:rsidR="001909DA" w:rsidRPr="00777AD2" w:rsidRDefault="001909DA" w:rsidP="002B30B2">
      <w:pPr>
        <w:pStyle w:val="NoSpacing"/>
        <w:spacing w:line="480" w:lineRule="auto"/>
      </w:pPr>
    </w:p>
    <w:p w14:paraId="27C2CB0E" w14:textId="1BCF28D0" w:rsidR="001909DA" w:rsidRPr="00777AD2" w:rsidRDefault="002B30B2" w:rsidP="002B30B2">
      <w:pPr>
        <w:pStyle w:val="NoSpacing"/>
        <w:spacing w:line="480" w:lineRule="auto"/>
      </w:pPr>
      <w:r w:rsidRPr="00777AD2">
        <w:rPr>
          <w:noProof/>
          <w:lang w:eastAsia="zh-CN"/>
        </w:rPr>
        <w:drawing>
          <wp:anchor distT="0" distB="0" distL="114300" distR="114300" simplePos="0" relativeHeight="251673600" behindDoc="0" locked="0" layoutInCell="1" allowOverlap="1" wp14:anchorId="31474419" wp14:editId="0274845A">
            <wp:simplePos x="0" y="0"/>
            <wp:positionH relativeFrom="column">
              <wp:posOffset>0</wp:posOffset>
            </wp:positionH>
            <wp:positionV relativeFrom="paragraph">
              <wp:posOffset>224790</wp:posOffset>
            </wp:positionV>
            <wp:extent cx="1676400" cy="742950"/>
            <wp:effectExtent l="0" t="0" r="0" b="0"/>
            <wp:wrapSquare wrapText="bothSides"/>
            <wp:docPr id="9" name="Picture 9" descr="https://static.wixstatic.com/media/5d4e39_4f2be013edc3479ab8efb4510d15b0a5~mv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wixstatic.com/media/5d4e39_4f2be013edc3479ab8efb4510d15b0a5~mv2.gif"/>
                    <pic:cNvPicPr>
                      <a:picLocks noChangeAspect="1" noChangeArrowheads="1"/>
                    </pic:cNvPicPr>
                  </pic:nvPicPr>
                  <pic:blipFill rotWithShape="1">
                    <a:blip r:embed="rId9">
                      <a:extLst>
                        <a:ext uri="{28A0092B-C50C-407E-A947-70E740481C1C}">
                          <a14:useLocalDpi xmlns:a14="http://schemas.microsoft.com/office/drawing/2010/main" val="0"/>
                        </a:ext>
                      </a:extLst>
                    </a:blip>
                    <a:srcRect l="31102" t="48316" b="7865"/>
                    <a:stretch/>
                  </pic:blipFill>
                  <pic:spPr bwMode="auto">
                    <a:xfrm>
                      <a:off x="0" y="0"/>
                      <a:ext cx="1676400" cy="742950"/>
                    </a:xfrm>
                    <a:prstGeom prst="rect">
                      <a:avLst/>
                    </a:prstGeom>
                    <a:noFill/>
                    <a:ln>
                      <a:noFill/>
                    </a:ln>
                    <a:extLst>
                      <a:ext uri="{53640926-AAD7-44D8-BBD7-CCE9431645EC}">
                        <a14:shadowObscured xmlns:a14="http://schemas.microsoft.com/office/drawing/2010/main"/>
                      </a:ext>
                    </a:extLst>
                  </pic:spPr>
                </pic:pic>
              </a:graphicData>
            </a:graphic>
          </wp:anchor>
        </w:drawing>
      </w:r>
    </w:p>
    <w:p w14:paraId="055EA6D7" w14:textId="5D2A3F5F" w:rsidR="00291386" w:rsidRPr="00777AD2" w:rsidRDefault="00291386" w:rsidP="002B30B2">
      <w:pPr>
        <w:pStyle w:val="NoSpacing"/>
        <w:spacing w:line="480" w:lineRule="auto"/>
      </w:pPr>
    </w:p>
    <w:p w14:paraId="165784C3" w14:textId="283EE6F3" w:rsidR="00291386" w:rsidRPr="00777AD2" w:rsidRDefault="00291386" w:rsidP="002B30B2">
      <w:pPr>
        <w:pStyle w:val="NoSpacing"/>
        <w:spacing w:line="480" w:lineRule="auto"/>
      </w:pPr>
    </w:p>
    <w:p w14:paraId="17A5078D" w14:textId="77777777" w:rsidR="00AB5C0C" w:rsidRPr="00777AD2" w:rsidRDefault="00AB5C0C" w:rsidP="002B30B2">
      <w:pPr>
        <w:pStyle w:val="NoSpacing"/>
        <w:spacing w:line="480" w:lineRule="auto"/>
      </w:pPr>
    </w:p>
    <w:p w14:paraId="57580D53" w14:textId="77777777" w:rsidR="00777AD2" w:rsidRPr="00777AD2" w:rsidRDefault="00777AD2" w:rsidP="002B30B2">
      <w:pPr>
        <w:pStyle w:val="NoSpacing"/>
        <w:spacing w:line="480" w:lineRule="auto"/>
      </w:pPr>
    </w:p>
    <w:p w14:paraId="64F48B20" w14:textId="5CDE3544" w:rsidR="00325A55" w:rsidRPr="00777AD2" w:rsidRDefault="00325A55" w:rsidP="002B30B2">
      <w:pPr>
        <w:pStyle w:val="NoSpacing"/>
        <w:spacing w:line="480" w:lineRule="auto"/>
      </w:pPr>
      <w:r w:rsidRPr="00777AD2">
        <w:t xml:space="preserve">One of the suggestions </w:t>
      </w:r>
      <w:proofErr w:type="gramStart"/>
      <w:r w:rsidRPr="00777AD2">
        <w:t>for the purpose of</w:t>
      </w:r>
      <w:proofErr w:type="gramEnd"/>
      <w:r w:rsidRPr="00777AD2">
        <w:t xml:space="preserve"> these cones is architectural, forming part of a building structure (Steel, 2016: 5), with the cartouches protruding (Steel et al, 2004: 329), however</w:t>
      </w:r>
      <w:r w:rsidR="000B4B05">
        <w:t>,</w:t>
      </w:r>
      <w:r w:rsidRPr="00777AD2">
        <w:t xml:space="preserve"> their structural weakness makes this unlikely; this is doubly implausible due to the lack of any bonding materials, or supportive structures being found. </w:t>
      </w:r>
    </w:p>
    <w:p w14:paraId="2493A7F5" w14:textId="77777777" w:rsidR="00B80569" w:rsidRPr="00777AD2" w:rsidRDefault="00B80569" w:rsidP="002B30B2">
      <w:pPr>
        <w:pStyle w:val="NoSpacing"/>
        <w:spacing w:line="480" w:lineRule="auto"/>
      </w:pPr>
    </w:p>
    <w:p w14:paraId="131B8B52" w14:textId="0AB96234" w:rsidR="00ED1C31" w:rsidRPr="00777AD2" w:rsidRDefault="003B3ACC" w:rsidP="002B30B2">
      <w:pPr>
        <w:pStyle w:val="NoSpacing"/>
        <w:spacing w:line="480" w:lineRule="auto"/>
      </w:pPr>
      <w:r w:rsidRPr="00777AD2">
        <w:t>The cones</w:t>
      </w:r>
      <w:r w:rsidR="000256E5" w:rsidRPr="00777AD2">
        <w:t xml:space="preserve">, in antiquity, </w:t>
      </w:r>
      <w:r w:rsidRPr="00777AD2">
        <w:t xml:space="preserve">were consistently </w:t>
      </w:r>
      <w:r w:rsidR="000256E5" w:rsidRPr="00777AD2">
        <w:t xml:space="preserve">broken </w:t>
      </w:r>
      <w:r w:rsidR="00144469" w:rsidRPr="00777AD2">
        <w:t xml:space="preserve">off </w:t>
      </w:r>
      <w:r w:rsidRPr="00777AD2">
        <w:t>at 100mm (Steel et al, 2004: 329), keeping the cartouche intact, suggesting known importance of the hieroglyphs, or at the very least the cart</w:t>
      </w:r>
      <w:r w:rsidR="000256E5" w:rsidRPr="00777AD2">
        <w:t xml:space="preserve">ouche. This </w:t>
      </w:r>
      <w:r w:rsidR="0022024F" w:rsidRPr="00777AD2">
        <w:t>c</w:t>
      </w:r>
      <w:r w:rsidR="000256E5" w:rsidRPr="00777AD2">
        <w:t xml:space="preserve">ould disregard </w:t>
      </w:r>
      <w:r w:rsidRPr="00777AD2">
        <w:t>suggestion</w:t>
      </w:r>
      <w:r w:rsidR="000256E5" w:rsidRPr="00777AD2">
        <w:t>s</w:t>
      </w:r>
      <w:r w:rsidRPr="00777AD2">
        <w:t xml:space="preserve"> that they simply copied without </w:t>
      </w:r>
      <w:r w:rsidR="002A6C82" w:rsidRPr="00777AD2">
        <w:t xml:space="preserve">any </w:t>
      </w:r>
      <w:r w:rsidRPr="00777AD2">
        <w:t>understanding.</w:t>
      </w:r>
      <w:r w:rsidR="002A6C82" w:rsidRPr="00777AD2">
        <w:t xml:space="preserve"> </w:t>
      </w:r>
      <w:r w:rsidR="003C038A" w:rsidRPr="00777AD2">
        <w:t xml:space="preserve">Despite this, the breaks could have been </w:t>
      </w:r>
      <w:r w:rsidR="003C038A" w:rsidRPr="00777AD2">
        <w:lastRenderedPageBreak/>
        <w:t xml:space="preserve">coincidental; if the cones were protruding </w:t>
      </w:r>
      <w:r w:rsidR="00ED1C31" w:rsidRPr="00777AD2">
        <w:t xml:space="preserve">a building </w:t>
      </w:r>
      <w:r w:rsidR="003C038A" w:rsidRPr="00777AD2">
        <w:t xml:space="preserve">by 10cm, an event, such as </w:t>
      </w:r>
      <w:r w:rsidR="00325A55" w:rsidRPr="00777AD2">
        <w:t>its</w:t>
      </w:r>
      <w:r w:rsidR="003C038A" w:rsidRPr="00777AD2">
        <w:t xml:space="preserve"> collapse, could have broken them all at that length. </w:t>
      </w:r>
    </w:p>
    <w:p w14:paraId="5D4AB0F5" w14:textId="77777777" w:rsidR="00ED1C31" w:rsidRPr="00777AD2" w:rsidRDefault="00ED1C31" w:rsidP="002B30B2">
      <w:pPr>
        <w:pStyle w:val="NoSpacing"/>
        <w:spacing w:line="480" w:lineRule="auto"/>
      </w:pPr>
    </w:p>
    <w:p w14:paraId="3CB5FE6C" w14:textId="3446376E" w:rsidR="002A6C82" w:rsidRPr="00777AD2" w:rsidRDefault="002A6C82" w:rsidP="002B30B2">
      <w:pPr>
        <w:pStyle w:val="NoSpacing"/>
        <w:spacing w:line="480" w:lineRule="auto"/>
      </w:pPr>
      <w:r w:rsidRPr="00777AD2">
        <w:t xml:space="preserve">In </w:t>
      </w:r>
      <w:r w:rsidR="000256E5" w:rsidRPr="00777AD2">
        <w:t xml:space="preserve">Egypt, </w:t>
      </w:r>
      <w:r w:rsidRPr="00777AD2">
        <w:t xml:space="preserve">cones have both regent’s and </w:t>
      </w:r>
      <w:r w:rsidR="00144469" w:rsidRPr="00777AD2">
        <w:t xml:space="preserve">deceased </w:t>
      </w:r>
      <w:r w:rsidRPr="00777AD2">
        <w:t>in</w:t>
      </w:r>
      <w:r w:rsidR="000256E5" w:rsidRPr="00777AD2">
        <w:t>dividual</w:t>
      </w:r>
      <w:r w:rsidR="00144469" w:rsidRPr="00777AD2">
        <w:t>’s symbols</w:t>
      </w:r>
      <w:r w:rsidRPr="00777AD2">
        <w:t xml:space="preserve">, whereas these cones only </w:t>
      </w:r>
      <w:r w:rsidR="00400A9B" w:rsidRPr="00777AD2">
        <w:t>indicate</w:t>
      </w:r>
      <w:r w:rsidRPr="00777AD2">
        <w:t xml:space="preserve"> the Egyptian Regent. Egyptian </w:t>
      </w:r>
      <w:r w:rsidR="00144469" w:rsidRPr="00777AD2">
        <w:t>cones</w:t>
      </w:r>
      <w:r w:rsidRPr="00777AD2">
        <w:t xml:space="preserve"> are also only embossed on the front, whereas Gaza</w:t>
      </w:r>
      <w:r w:rsidR="00144469" w:rsidRPr="00777AD2">
        <w:t xml:space="preserve">’s are on </w:t>
      </w:r>
      <w:r w:rsidRPr="00777AD2">
        <w:t>the side</w:t>
      </w:r>
      <w:r w:rsidR="001C237D" w:rsidRPr="00777AD2">
        <w:t xml:space="preserve"> too</w:t>
      </w:r>
      <w:r w:rsidRPr="00777AD2">
        <w:t>. With evidence of trade, there may have been an Egyptian</w:t>
      </w:r>
      <w:r w:rsidR="001C237D" w:rsidRPr="00777AD2">
        <w:t xml:space="preserve"> death </w:t>
      </w:r>
      <w:r w:rsidR="00400A9B" w:rsidRPr="00777AD2">
        <w:t>in Gaza, making it</w:t>
      </w:r>
      <w:r w:rsidRPr="00777AD2">
        <w:t xml:space="preserve"> impossible to return the body to Egypt for </w:t>
      </w:r>
      <w:r w:rsidR="001C237D" w:rsidRPr="00777AD2">
        <w:t>burial;</w:t>
      </w:r>
      <w:r w:rsidRPr="00777AD2">
        <w:t xml:space="preserve"> </w:t>
      </w:r>
      <w:r w:rsidR="00777AD2" w:rsidRPr="00777AD2">
        <w:t>consequently,</w:t>
      </w:r>
      <w:r w:rsidRPr="00777AD2">
        <w:t xml:space="preserve"> a burial took place</w:t>
      </w:r>
      <w:r w:rsidR="001C237D" w:rsidRPr="00777AD2">
        <w:t>,</w:t>
      </w:r>
      <w:r w:rsidRPr="00777AD2">
        <w:t xml:space="preserve"> attempting to recreate Egyptian process</w:t>
      </w:r>
      <w:r w:rsidR="001C237D" w:rsidRPr="00777AD2">
        <w:t>.</w:t>
      </w:r>
    </w:p>
    <w:p w14:paraId="6D5C25DC" w14:textId="77777777" w:rsidR="00EC7967" w:rsidRPr="00777AD2" w:rsidRDefault="00EC7967" w:rsidP="002B30B2">
      <w:pPr>
        <w:pStyle w:val="NoSpacing"/>
        <w:spacing w:line="480" w:lineRule="auto"/>
      </w:pPr>
    </w:p>
    <w:p w14:paraId="1A3844B2" w14:textId="53AE5954" w:rsidR="009F797D" w:rsidRPr="00777AD2" w:rsidRDefault="007A4EAD" w:rsidP="002B30B2">
      <w:pPr>
        <w:pStyle w:val="NoSpacing"/>
        <w:spacing w:line="480" w:lineRule="auto"/>
      </w:pPr>
      <w:r w:rsidRPr="00777AD2">
        <w:t>Two</w:t>
      </w:r>
      <w:r w:rsidR="006D38D6" w:rsidRPr="00777AD2">
        <w:t xml:space="preserve"> of the</w:t>
      </w:r>
      <w:r w:rsidRPr="00777AD2">
        <w:t xml:space="preserve"> larger fragments</w:t>
      </w:r>
      <w:r w:rsidR="006D38D6" w:rsidRPr="00777AD2">
        <w:t xml:space="preserve"> b</w:t>
      </w:r>
      <w:r w:rsidR="00EF4648" w:rsidRPr="00777AD2">
        <w:t>ear</w:t>
      </w:r>
      <w:r w:rsidR="006D38D6" w:rsidRPr="00777AD2">
        <w:t xml:space="preserve"> the name Hatshepsut, </w:t>
      </w:r>
      <w:r w:rsidRPr="00777AD2">
        <w:t>whilst the rest bear</w:t>
      </w:r>
      <w:r w:rsidR="006D38D6" w:rsidRPr="00777AD2">
        <w:t xml:space="preserve"> Thutmose III (Steel et al, 2004: 323, 327, 329)</w:t>
      </w:r>
      <w:r w:rsidR="00144469" w:rsidRPr="00777AD2">
        <w:t xml:space="preserve">; these were co-regents in Egypt at a time which was probably contemporary to the production of the cones. </w:t>
      </w:r>
      <w:r w:rsidR="006D38D6" w:rsidRPr="00777AD2">
        <w:t xml:space="preserve">With </w:t>
      </w:r>
      <w:r w:rsidR="009F797D" w:rsidRPr="00777AD2">
        <w:t xml:space="preserve">the implied historic destruction of most evidence for </w:t>
      </w:r>
      <w:r w:rsidR="006D38D6" w:rsidRPr="00777AD2">
        <w:t>Hatshepsut (</w:t>
      </w:r>
      <w:r w:rsidR="001604E9" w:rsidRPr="00777AD2">
        <w:t xml:space="preserve">Roth, </w:t>
      </w:r>
      <w:r w:rsidR="002F6091" w:rsidRPr="00777AD2">
        <w:t>2006</w:t>
      </w:r>
      <w:r w:rsidR="001604E9" w:rsidRPr="00777AD2">
        <w:t>: 277</w:t>
      </w:r>
      <w:r w:rsidR="006D38D6" w:rsidRPr="00777AD2">
        <w:t xml:space="preserve">), </w:t>
      </w:r>
      <w:r w:rsidR="001C237D" w:rsidRPr="00777AD2">
        <w:t>this could explain why there are so</w:t>
      </w:r>
      <w:r w:rsidR="006D38D6" w:rsidRPr="00777AD2">
        <w:t xml:space="preserve"> few in comparison to Thutmose</w:t>
      </w:r>
      <w:r w:rsidR="003B3ACC" w:rsidRPr="00777AD2">
        <w:t xml:space="preserve"> III</w:t>
      </w:r>
      <w:r w:rsidR="009F797D" w:rsidRPr="00777AD2">
        <w:t>.</w:t>
      </w:r>
      <w:r w:rsidR="00400A9B" w:rsidRPr="00777AD2">
        <w:t xml:space="preserve"> I</w:t>
      </w:r>
      <w:r w:rsidR="001C237D" w:rsidRPr="00777AD2">
        <w:t xml:space="preserve">f they were made for an individual funeral, this would explain the lack of any other cones in the area, </w:t>
      </w:r>
      <w:proofErr w:type="gramStart"/>
      <w:r w:rsidR="001C237D" w:rsidRPr="00777AD2">
        <w:t>and also</w:t>
      </w:r>
      <w:proofErr w:type="gramEnd"/>
      <w:r w:rsidR="001C237D" w:rsidRPr="00777AD2">
        <w:t xml:space="preserve"> the lack of knowledge regarding the</w:t>
      </w:r>
      <w:r w:rsidR="00144469" w:rsidRPr="00777AD2">
        <w:t>ir</w:t>
      </w:r>
      <w:r w:rsidR="001C237D" w:rsidRPr="00777AD2">
        <w:t xml:space="preserve"> correct execution. </w:t>
      </w:r>
      <w:r w:rsidR="007A1FC9" w:rsidRPr="00777AD2">
        <w:t>In addition</w:t>
      </w:r>
      <w:r w:rsidR="000B4B05">
        <w:t>,</w:t>
      </w:r>
      <w:r w:rsidR="007A1FC9" w:rsidRPr="00777AD2">
        <w:t xml:space="preserve"> this could also explain why evidence </w:t>
      </w:r>
      <w:r w:rsidR="00144469" w:rsidRPr="00777AD2">
        <w:t>for Hatshepsut had survived</w:t>
      </w:r>
      <w:r w:rsidR="007A1FC9" w:rsidRPr="00777AD2">
        <w:t xml:space="preserve">, and why there were so few cones with her stamp could merely be that her stamp broke during the making process, and it was not worth creating another for this single incidence. </w:t>
      </w:r>
    </w:p>
    <w:p w14:paraId="73EDCFA6" w14:textId="77777777" w:rsidR="00EF4648" w:rsidRPr="00777AD2" w:rsidRDefault="00EF4648" w:rsidP="002B30B2">
      <w:pPr>
        <w:pStyle w:val="NoSpacing"/>
        <w:spacing w:line="480" w:lineRule="auto"/>
      </w:pPr>
    </w:p>
    <w:p w14:paraId="2E30217C" w14:textId="77777777" w:rsidR="00C27167" w:rsidRPr="00777AD2" w:rsidRDefault="00C27167" w:rsidP="002B30B2">
      <w:pPr>
        <w:pStyle w:val="NoSpacing"/>
        <w:spacing w:line="480" w:lineRule="auto"/>
      </w:pPr>
    </w:p>
    <w:p w14:paraId="7CAFBE99" w14:textId="77777777" w:rsidR="00777AD2" w:rsidRPr="00777AD2" w:rsidRDefault="00777AD2">
      <w:pPr>
        <w:suppressAutoHyphens w:val="0"/>
        <w:autoSpaceDN/>
        <w:textAlignment w:val="auto"/>
        <w:rPr>
          <w:rFonts w:eastAsiaTheme="minorHAnsi" w:cstheme="minorBidi"/>
        </w:rPr>
      </w:pPr>
      <w:r w:rsidRPr="00777AD2">
        <w:br w:type="page"/>
      </w:r>
    </w:p>
    <w:p w14:paraId="073AC180" w14:textId="7B0773A2" w:rsidR="00C27167" w:rsidRDefault="00777AD2" w:rsidP="002B30B2">
      <w:pPr>
        <w:pStyle w:val="NoSpacing"/>
        <w:spacing w:line="480" w:lineRule="auto"/>
      </w:pPr>
      <w:r w:rsidRPr="00777AD2">
        <w:rPr>
          <w:noProof/>
          <w:lang w:eastAsia="zh-CN"/>
        </w:rPr>
        <w:lastRenderedPageBreak/>
        <mc:AlternateContent>
          <mc:Choice Requires="wps">
            <w:drawing>
              <wp:anchor distT="0" distB="0" distL="114300" distR="114300" simplePos="0" relativeHeight="251656192" behindDoc="0" locked="0" layoutInCell="1" allowOverlap="1" wp14:anchorId="5AA55FF8" wp14:editId="05DBC324">
                <wp:simplePos x="0" y="0"/>
                <wp:positionH relativeFrom="margin">
                  <wp:align>left</wp:align>
                </wp:positionH>
                <wp:positionV relativeFrom="paragraph">
                  <wp:posOffset>6715126</wp:posOffset>
                </wp:positionV>
                <wp:extent cx="4391025" cy="2857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4391025" cy="285750"/>
                        </a:xfrm>
                        <a:prstGeom prst="rect">
                          <a:avLst/>
                        </a:prstGeom>
                        <a:noFill/>
                        <a:ln w="6350">
                          <a:solidFill>
                            <a:prstClr val="black"/>
                          </a:solidFill>
                        </a:ln>
                      </wps:spPr>
                      <wps:txbx>
                        <w:txbxContent>
                          <w:p w14:paraId="250BE70C" w14:textId="2175EC86" w:rsidR="00EE0DF6" w:rsidRDefault="00325A55" w:rsidP="00777AD2">
                            <w:pPr>
                              <w:spacing w:line="276" w:lineRule="auto"/>
                              <w:rPr>
                                <w:sz w:val="22"/>
                              </w:rPr>
                            </w:pPr>
                            <w:r w:rsidRPr="004A41B5">
                              <w:rPr>
                                <w:sz w:val="22"/>
                              </w:rPr>
                              <w:t>Map 1</w:t>
                            </w:r>
                            <w:r w:rsidR="00EE0DF6" w:rsidRPr="004A41B5">
                              <w:rPr>
                                <w:sz w:val="22"/>
                              </w:rPr>
                              <w:t>: Map marking Thebes, Egypt and Gaza, Israel</w:t>
                            </w:r>
                            <w:r w:rsidR="00AB5C0C" w:rsidRPr="004A41B5">
                              <w:rPr>
                                <w:sz w:val="22"/>
                              </w:rPr>
                              <w:t>. (</w:t>
                            </w:r>
                            <w:proofErr w:type="spellStart"/>
                            <w:r w:rsidR="00D429CA" w:rsidRPr="004A41B5">
                              <w:rPr>
                                <w:sz w:val="22"/>
                              </w:rPr>
                              <w:t>N</w:t>
                            </w:r>
                            <w:r w:rsidR="00CE1376" w:rsidRPr="004A41B5">
                              <w:rPr>
                                <w:sz w:val="22"/>
                              </w:rPr>
                              <w:t>acu</w:t>
                            </w:r>
                            <w:proofErr w:type="spellEnd"/>
                            <w:r w:rsidR="00CE1376" w:rsidRPr="004A41B5">
                              <w:rPr>
                                <w:sz w:val="22"/>
                              </w:rPr>
                              <w:t>, 2008</w:t>
                            </w:r>
                            <w:r w:rsidR="00AB5C0C" w:rsidRPr="004A41B5">
                              <w:rPr>
                                <w:sz w:val="22"/>
                              </w:rPr>
                              <w:t>)</w:t>
                            </w:r>
                          </w:p>
                          <w:p w14:paraId="0D52455E" w14:textId="283BE185" w:rsidR="00EE0DF6" w:rsidRDefault="00EE0DF6">
                            <w:pPr>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55FF8" id="Text Box 10" o:spid="_x0000_s1028" type="#_x0000_t202" style="position:absolute;margin-left:0;margin-top:528.75pt;width:345.75pt;height:22.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" filled="f" strokeweight=".5pt">
                <v:textbox>
                  <w:txbxContent>
                    <w:p w14:paraId="250BE70C" w14:textId="2175EC86" w:rsidR="00EE0DF6" w:rsidRDefault="00325A55" w:rsidP="00777AD2">
                      <w:pPr>
                        <w:spacing w:line="276" w:lineRule="auto"/>
                        <w:rPr>
                          <w:sz w:val="22"/>
                        </w:rPr>
                      </w:pPr>
                      <w:r w:rsidRPr="004A41B5">
                        <w:rPr>
                          <w:sz w:val="22"/>
                        </w:rPr>
                        <w:t>Map 1</w:t>
                      </w:r>
                      <w:r w:rsidR="00EE0DF6" w:rsidRPr="004A41B5">
                        <w:rPr>
                          <w:sz w:val="22"/>
                        </w:rPr>
                        <w:t>: Map marking Thebes, Egypt and Gaza, Israel</w:t>
                      </w:r>
                      <w:r w:rsidR="00AB5C0C" w:rsidRPr="004A41B5">
                        <w:rPr>
                          <w:sz w:val="22"/>
                        </w:rPr>
                        <w:t>. (</w:t>
                      </w:r>
                      <w:proofErr w:type="spellStart"/>
                      <w:r w:rsidR="00D429CA" w:rsidRPr="004A41B5">
                        <w:rPr>
                          <w:sz w:val="22"/>
                        </w:rPr>
                        <w:t>N</w:t>
                      </w:r>
                      <w:r w:rsidR="00CE1376" w:rsidRPr="004A41B5">
                        <w:rPr>
                          <w:sz w:val="22"/>
                        </w:rPr>
                        <w:t>acu</w:t>
                      </w:r>
                      <w:proofErr w:type="spellEnd"/>
                      <w:r w:rsidR="00CE1376" w:rsidRPr="004A41B5">
                        <w:rPr>
                          <w:sz w:val="22"/>
                        </w:rPr>
                        <w:t>, 2008</w:t>
                      </w:r>
                      <w:r w:rsidR="00AB5C0C" w:rsidRPr="004A41B5">
                        <w:rPr>
                          <w:sz w:val="22"/>
                        </w:rPr>
                        <w:t>)</w:t>
                      </w:r>
                    </w:p>
                    <w:p w14:paraId="0D52455E" w14:textId="283BE185" w:rsidR="00EE0DF6" w:rsidRDefault="00EE0DF6">
                      <w:pPr>
                        <w:rPr>
                          <w:sz w:val="22"/>
                        </w:rPr>
                      </w:pPr>
                    </w:p>
                  </w:txbxContent>
                </v:textbox>
                <w10:wrap anchorx="margin"/>
              </v:shape>
            </w:pict>
          </mc:Fallback>
        </mc:AlternateContent>
      </w:r>
      <w:r w:rsidR="00DF7E8C" w:rsidRPr="00777AD2">
        <w:rPr>
          <w:noProof/>
          <w:lang w:eastAsia="zh-CN"/>
        </w:rPr>
        <mc:AlternateContent>
          <mc:Choice Requires="wps">
            <w:drawing>
              <wp:anchor distT="0" distB="0" distL="114300" distR="114300" simplePos="0" relativeHeight="251652096" behindDoc="0" locked="0" layoutInCell="1" allowOverlap="1" wp14:anchorId="63CE6DC4" wp14:editId="33ECA79D">
                <wp:simplePos x="0" y="0"/>
                <wp:positionH relativeFrom="column">
                  <wp:posOffset>1857375</wp:posOffset>
                </wp:positionH>
                <wp:positionV relativeFrom="paragraph">
                  <wp:posOffset>3253740</wp:posOffset>
                </wp:positionV>
                <wp:extent cx="552450" cy="352425"/>
                <wp:effectExtent l="0" t="0" r="19050" b="28575"/>
                <wp:wrapNone/>
                <wp:docPr id="3" name="Oval 2"/>
                <wp:cNvGraphicFramePr/>
                <a:graphic xmlns:a="http://schemas.openxmlformats.org/drawingml/2006/main">
                  <a:graphicData uri="http://schemas.microsoft.com/office/word/2010/wordprocessingShape">
                    <wps:wsp>
                      <wps:cNvSpPr/>
                      <wps:spPr>
                        <a:xfrm>
                          <a:off x="0" y="0"/>
                          <a:ext cx="552450" cy="352425"/>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noFill/>
                        <a:ln w="12701" cap="flat">
                          <a:solidFill>
                            <a:srgbClr val="000000"/>
                          </a:solidFill>
                          <a:prstDash val="solid"/>
                          <a:miter/>
                        </a:ln>
                      </wps:spPr>
                      <wps:txbx>
                        <w:txbxContent>
                          <w:p w14:paraId="75C43166" w14:textId="77777777" w:rsidR="006D38D6" w:rsidRDefault="006D38D6" w:rsidP="006D38D6">
                            <w:pPr>
                              <w:jc w:val="center"/>
                            </w:pPr>
                          </w:p>
                        </w:txbxContent>
                      </wps:txbx>
                      <wps:bodyPr lIns="0" tIns="0" rIns="0" bIns="0"/>
                    </wps:wsp>
                  </a:graphicData>
                </a:graphic>
              </wp:anchor>
            </w:drawing>
          </mc:Choice>
          <mc:Fallback>
            <w:pict>
              <v:shape w14:anchorId="63CE6DC4" id="Oval 2" o:spid="_x0000_s1029" style="position:absolute;margin-left:146.25pt;margin-top:256.2pt;width:43.5pt;height:27.75pt;z-index:251652096;visibility:visible;mso-wrap-style:square;mso-wrap-distance-left:9pt;mso-wrap-distance-top:0;mso-wrap-distance-right:9pt;mso-wrap-distance-bottom:0;mso-position-horizontal:absolute;mso-position-horizontal-relative:text;mso-position-vertical:absolute;mso-position-vertical-relative:text;v-text-anchor:top" coordsize="552450,3524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" adj="-11796480,,5400" path="m,176213at,,552450,352426,,176213,,176213xe" filled="f" strokeweight=".35281mm">
                <v:stroke joinstyle="miter"/>
                <v:formulas/>
                <v:path arrowok="t" o:connecttype="custom" o:connectlocs="276225,0;552450,176213;276225,352425;0,176213;80904,51611;80904,300814;471546,300814;471546,51611" o:connectangles="270,0,90,180,270,90,90,270" textboxrect="80904,51611,471546,300814"/>
                <v:textbox inset="0,0,0,0">
                  <w:txbxContent>
                    <w:p w14:paraId="75C43166" w14:textId="77777777" w:rsidR="006D38D6" w:rsidRDefault="006D38D6" w:rsidP="006D38D6">
                      <w:pPr>
                        <w:jc w:val="center"/>
                      </w:pPr>
                    </w:p>
                  </w:txbxContent>
                </v:textbox>
              </v:shape>
            </w:pict>
          </mc:Fallback>
        </mc:AlternateContent>
      </w:r>
      <w:r w:rsidR="00DF7E8C" w:rsidRPr="00777AD2">
        <w:rPr>
          <w:noProof/>
          <w:lang w:eastAsia="zh-CN"/>
        </w:rPr>
        <mc:AlternateContent>
          <mc:Choice Requires="wps">
            <w:drawing>
              <wp:anchor distT="0" distB="0" distL="114300" distR="114300" simplePos="0" relativeHeight="251648000" behindDoc="0" locked="0" layoutInCell="1" allowOverlap="1" wp14:anchorId="3A8B18E7" wp14:editId="18E7080E">
                <wp:simplePos x="0" y="0"/>
                <wp:positionH relativeFrom="column">
                  <wp:posOffset>2333625</wp:posOffset>
                </wp:positionH>
                <wp:positionV relativeFrom="paragraph">
                  <wp:posOffset>2085975</wp:posOffset>
                </wp:positionV>
                <wp:extent cx="552450" cy="352425"/>
                <wp:effectExtent l="0" t="0" r="19050" b="28575"/>
                <wp:wrapNone/>
                <wp:docPr id="1" name="Oval 2"/>
                <wp:cNvGraphicFramePr/>
                <a:graphic xmlns:a="http://schemas.openxmlformats.org/drawingml/2006/main">
                  <a:graphicData uri="http://schemas.microsoft.com/office/word/2010/wordprocessingShape">
                    <wps:wsp>
                      <wps:cNvSpPr/>
                      <wps:spPr>
                        <a:xfrm>
                          <a:off x="0" y="0"/>
                          <a:ext cx="552450" cy="352425"/>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noFill/>
                        <a:ln w="12701" cap="flat">
                          <a:solidFill>
                            <a:srgbClr val="000000"/>
                          </a:solidFill>
                          <a:prstDash val="solid"/>
                          <a:miter/>
                        </a:ln>
                      </wps:spPr>
                      <wps:txbx>
                        <w:txbxContent>
                          <w:p w14:paraId="5282BEE0" w14:textId="77777777" w:rsidR="006D38D6" w:rsidRDefault="006D38D6" w:rsidP="006D38D6">
                            <w:pPr>
                              <w:jc w:val="center"/>
                            </w:pPr>
                          </w:p>
                        </w:txbxContent>
                      </wps:txbx>
                      <wps:bodyPr lIns="0" tIns="0" rIns="0" bIns="0"/>
                    </wps:wsp>
                  </a:graphicData>
                </a:graphic>
              </wp:anchor>
            </w:drawing>
          </mc:Choice>
          <mc:Fallback>
            <w:pict>
              <v:shape w14:anchorId="3A8B18E7" id="_x0000_s1030" style="position:absolute;margin-left:183.75pt;margin-top:164.25pt;width:43.5pt;height:27.75pt;z-index:251648000;visibility:visible;mso-wrap-style:square;mso-wrap-distance-left:9pt;mso-wrap-distance-top:0;mso-wrap-distance-right:9pt;mso-wrap-distance-bottom:0;mso-position-horizontal:absolute;mso-position-horizontal-relative:text;mso-position-vertical:absolute;mso-position-vertical-relative:text;v-text-anchor:top" coordsize="552450,3524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" adj="-11796480,,5400" path="m,176213at,,552450,352426,,176213,,176213xe" filled="f" strokeweight=".35281mm">
                <v:stroke joinstyle="miter"/>
                <v:formulas/>
                <v:path arrowok="t" o:connecttype="custom" o:connectlocs="276225,0;552450,176213;276225,352425;0,176213;80904,51611;80904,300814;471546,300814;471546,51611" o:connectangles="270,0,90,180,270,90,90,270" textboxrect="80904,51611,471546,300814"/>
                <v:textbox inset="0,0,0,0">
                  <w:txbxContent>
                    <w:p w14:paraId="5282BEE0" w14:textId="77777777" w:rsidR="006D38D6" w:rsidRDefault="006D38D6" w:rsidP="006D38D6">
                      <w:pPr>
                        <w:jc w:val="center"/>
                      </w:pPr>
                    </w:p>
                  </w:txbxContent>
                </v:textbox>
              </v:shape>
            </w:pict>
          </mc:Fallback>
        </mc:AlternateContent>
      </w:r>
      <w:r w:rsidR="00C27167" w:rsidRPr="00777AD2">
        <w:rPr>
          <w:noProof/>
          <w:lang w:eastAsia="zh-CN"/>
        </w:rPr>
        <w:drawing>
          <wp:inline distT="0" distB="0" distL="0" distR="0" wp14:anchorId="133182FE" wp14:editId="0EE6A8C6">
            <wp:extent cx="5731514" cy="6612885"/>
            <wp:effectExtent l="0" t="0" r="2536" b="0"/>
            <wp:docPr id="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6612885"/>
                    </a:xfrm>
                    <a:prstGeom prst="rect">
                      <a:avLst/>
                    </a:prstGeom>
                    <a:noFill/>
                    <a:ln>
                      <a:noFill/>
                      <a:prstDash/>
                    </a:ln>
                  </pic:spPr>
                </pic:pic>
              </a:graphicData>
            </a:graphic>
          </wp:inline>
        </w:drawing>
      </w:r>
    </w:p>
    <w:p w14:paraId="22134FB3" w14:textId="77777777" w:rsidR="005C311E" w:rsidRDefault="005C311E" w:rsidP="005C311E">
      <w:pPr>
        <w:suppressAutoHyphens w:val="0"/>
        <w:autoSpaceDN/>
        <w:textAlignment w:val="auto"/>
      </w:pPr>
    </w:p>
    <w:p w14:paraId="4D3A34BD" w14:textId="77777777" w:rsidR="005C311E" w:rsidRDefault="005C311E" w:rsidP="005C311E">
      <w:pPr>
        <w:suppressAutoHyphens w:val="0"/>
        <w:autoSpaceDN/>
        <w:textAlignment w:val="auto"/>
      </w:pPr>
    </w:p>
    <w:p w14:paraId="389E6F54" w14:textId="59E54FFB" w:rsidR="005C311E" w:rsidRPr="00777AD2" w:rsidRDefault="005C311E" w:rsidP="005C311E">
      <w:pPr>
        <w:suppressAutoHyphens w:val="0"/>
        <w:autoSpaceDN/>
        <w:textAlignment w:val="auto"/>
        <w:rPr>
          <w:rFonts w:eastAsiaTheme="minorHAnsi" w:cstheme="minorBidi"/>
        </w:rPr>
      </w:pPr>
      <w:bookmarkStart w:id="0" w:name="_GoBack"/>
      <w:bookmarkEnd w:id="0"/>
      <w:r w:rsidRPr="00777AD2">
        <w:br w:type="page"/>
      </w:r>
    </w:p>
    <w:p w14:paraId="3121C681" w14:textId="77777777" w:rsidR="005C311E" w:rsidRPr="00777AD2" w:rsidRDefault="005C311E" w:rsidP="005C311E">
      <w:pPr>
        <w:pStyle w:val="NoSpacing"/>
        <w:spacing w:line="480" w:lineRule="auto"/>
        <w:rPr>
          <w:sz w:val="28"/>
          <w:u w:val="single"/>
        </w:rPr>
      </w:pPr>
      <w:r w:rsidRPr="00777AD2">
        <w:rPr>
          <w:sz w:val="28"/>
          <w:u w:val="single"/>
        </w:rPr>
        <w:lastRenderedPageBreak/>
        <w:t>Reference List</w:t>
      </w:r>
    </w:p>
    <w:p w14:paraId="77C9064C" w14:textId="77777777" w:rsidR="005C311E" w:rsidRPr="00777AD2" w:rsidRDefault="005C311E" w:rsidP="005C311E">
      <w:pPr>
        <w:pStyle w:val="NoSpacing"/>
        <w:spacing w:line="480" w:lineRule="auto"/>
      </w:pPr>
      <w:proofErr w:type="spellStart"/>
      <w:r w:rsidRPr="00777AD2">
        <w:t>Ownby</w:t>
      </w:r>
      <w:proofErr w:type="spellEnd"/>
      <w:r w:rsidRPr="00777AD2">
        <w:t>, M. 2010. </w:t>
      </w:r>
      <w:r w:rsidRPr="00777AD2">
        <w:rPr>
          <w:i/>
        </w:rPr>
        <w:t>Canaanite jars from Memphis as evidence for trade and political relationships in the Middle Bronze Age</w:t>
      </w:r>
      <w:r w:rsidRPr="00777AD2">
        <w:t xml:space="preserve"> (doctoral thesis). [Available at: </w:t>
      </w:r>
      <w:hyperlink r:id="rId11" w:history="1">
        <w:r w:rsidRPr="00777AD2">
          <w:rPr>
            <w:rStyle w:val="Hyperlink"/>
          </w:rPr>
          <w:t>https://doi.org/10.17863/CAM.15961</w:t>
        </w:r>
      </w:hyperlink>
      <w:r w:rsidRPr="00777AD2">
        <w:rPr>
          <w:szCs w:val="24"/>
        </w:rPr>
        <w:t xml:space="preserve">] (Accessed: </w:t>
      </w:r>
      <w:r>
        <w:rPr>
          <w:szCs w:val="24"/>
        </w:rPr>
        <w:t>28</w:t>
      </w:r>
      <w:r w:rsidRPr="008D709B">
        <w:rPr>
          <w:szCs w:val="24"/>
          <w:vertAlign w:val="superscript"/>
        </w:rPr>
        <w:t>th</w:t>
      </w:r>
      <w:r>
        <w:rPr>
          <w:szCs w:val="24"/>
        </w:rPr>
        <w:t xml:space="preserve"> February</w:t>
      </w:r>
      <w:r w:rsidRPr="00777AD2">
        <w:rPr>
          <w:szCs w:val="24"/>
        </w:rPr>
        <w:t xml:space="preserve"> 2018)</w:t>
      </w:r>
    </w:p>
    <w:p w14:paraId="76037DBA" w14:textId="77777777" w:rsidR="005C311E" w:rsidRPr="00777AD2" w:rsidRDefault="005C311E" w:rsidP="005C311E">
      <w:pPr>
        <w:pStyle w:val="NoSpacing"/>
        <w:spacing w:line="480" w:lineRule="auto"/>
      </w:pPr>
    </w:p>
    <w:p w14:paraId="7EFB4CF7" w14:textId="77777777" w:rsidR="005C311E" w:rsidRPr="00777AD2" w:rsidRDefault="005C311E" w:rsidP="005C311E">
      <w:pPr>
        <w:pStyle w:val="NoSpacing"/>
        <w:spacing w:line="480" w:lineRule="auto"/>
      </w:pPr>
      <w:r w:rsidRPr="00777AD2">
        <w:t xml:space="preserve">Roth, A.M. 2006. ‘Erasing a Reign’, in C.H. </w:t>
      </w:r>
      <w:proofErr w:type="spellStart"/>
      <w:r w:rsidRPr="00777AD2">
        <w:t>Roehrig</w:t>
      </w:r>
      <w:proofErr w:type="spellEnd"/>
      <w:r w:rsidRPr="00777AD2">
        <w:t xml:space="preserve"> (</w:t>
      </w:r>
      <w:proofErr w:type="spellStart"/>
      <w:r w:rsidRPr="00777AD2">
        <w:t>eds</w:t>
      </w:r>
      <w:proofErr w:type="spellEnd"/>
      <w:r w:rsidRPr="00777AD2">
        <w:t xml:space="preserve">), </w:t>
      </w:r>
      <w:r w:rsidRPr="00777AD2">
        <w:rPr>
          <w:i/>
        </w:rPr>
        <w:t xml:space="preserve">Hatshepsut: From Queen to Pharaoh. </w:t>
      </w:r>
      <w:r w:rsidRPr="00777AD2">
        <w:t>New York: Metropolitan Museum of Art.</w:t>
      </w:r>
    </w:p>
    <w:p w14:paraId="09C49E70" w14:textId="77777777" w:rsidR="005C311E" w:rsidRPr="00777AD2" w:rsidRDefault="005C311E" w:rsidP="005C311E">
      <w:pPr>
        <w:pStyle w:val="NoSpacing"/>
        <w:spacing w:line="480" w:lineRule="auto"/>
      </w:pPr>
    </w:p>
    <w:p w14:paraId="56FEE828" w14:textId="77777777" w:rsidR="005C311E" w:rsidRPr="00777AD2" w:rsidRDefault="005C311E" w:rsidP="005C311E">
      <w:pPr>
        <w:pStyle w:val="NoSpacing"/>
        <w:spacing w:line="480" w:lineRule="auto"/>
      </w:pPr>
      <w:r w:rsidRPr="00777AD2">
        <w:t xml:space="preserve">Steel, L., Manley, W.P., Clarke, J., and </w:t>
      </w:r>
      <w:proofErr w:type="spellStart"/>
      <w:r w:rsidRPr="00777AD2">
        <w:t>Sadeq</w:t>
      </w:r>
      <w:proofErr w:type="spellEnd"/>
      <w:r w:rsidRPr="00777AD2">
        <w:t>, M. 2004. ‘Egyptian ‘Funerary Cones’ from el-</w:t>
      </w:r>
      <w:proofErr w:type="spellStart"/>
      <w:r w:rsidRPr="00777AD2">
        <w:t>Moghraqa</w:t>
      </w:r>
      <w:proofErr w:type="spellEnd"/>
      <w:r w:rsidRPr="00777AD2">
        <w:t xml:space="preserve">, Gaza’. </w:t>
      </w:r>
      <w:r w:rsidRPr="00777AD2">
        <w:rPr>
          <w:i/>
        </w:rPr>
        <w:t>The Antiquities Journal</w:t>
      </w:r>
      <w:r w:rsidRPr="00777AD2">
        <w:t>. Vol. 84, pp. 319-33.</w:t>
      </w:r>
    </w:p>
    <w:p w14:paraId="0C1D2C96" w14:textId="77777777" w:rsidR="005C311E" w:rsidRPr="00777AD2" w:rsidRDefault="005C311E" w:rsidP="005C311E">
      <w:pPr>
        <w:pStyle w:val="NoSpacing"/>
        <w:spacing w:line="480" w:lineRule="auto"/>
      </w:pPr>
    </w:p>
    <w:p w14:paraId="5644391A" w14:textId="77777777" w:rsidR="005C311E" w:rsidRPr="00777AD2" w:rsidRDefault="005C311E" w:rsidP="005C311E">
      <w:pPr>
        <w:pStyle w:val="NoSpacing"/>
        <w:spacing w:line="480" w:lineRule="auto"/>
      </w:pPr>
      <w:r w:rsidRPr="00777AD2">
        <w:t xml:space="preserve">Steel, L. 2016. ‘Shifting Relations in Bronze Age Gaza’, in T. Clack (edited), </w:t>
      </w:r>
      <w:r w:rsidRPr="00777AD2">
        <w:rPr>
          <w:i/>
        </w:rPr>
        <w:t>Archaeology, Syncretism and</w:t>
      </w:r>
      <w:r w:rsidRPr="00777AD2">
        <w:t xml:space="preserve"> </w:t>
      </w:r>
      <w:r w:rsidRPr="00777AD2">
        <w:rPr>
          <w:i/>
        </w:rPr>
        <w:t>Creolisation</w:t>
      </w:r>
      <w:r w:rsidRPr="00777AD2">
        <w:t xml:space="preserve">. Oxford: Oxbow. (in press) </w:t>
      </w:r>
    </w:p>
    <w:p w14:paraId="124F86A5" w14:textId="77777777" w:rsidR="005C311E" w:rsidRPr="00777AD2" w:rsidRDefault="005C311E" w:rsidP="005C311E">
      <w:pPr>
        <w:pStyle w:val="NoSpacing"/>
        <w:spacing w:line="480" w:lineRule="auto"/>
      </w:pPr>
    </w:p>
    <w:p w14:paraId="0FED2683" w14:textId="77777777" w:rsidR="005C311E" w:rsidRPr="00777AD2" w:rsidRDefault="005C311E" w:rsidP="005C311E">
      <w:pPr>
        <w:pStyle w:val="NoSpacing"/>
        <w:spacing w:line="480" w:lineRule="auto"/>
        <w:rPr>
          <w:sz w:val="28"/>
          <w:u w:val="single"/>
        </w:rPr>
      </w:pPr>
      <w:r w:rsidRPr="00777AD2">
        <w:rPr>
          <w:sz w:val="28"/>
          <w:u w:val="single"/>
        </w:rPr>
        <w:t>Figure References</w:t>
      </w:r>
    </w:p>
    <w:p w14:paraId="17EB1668" w14:textId="77777777" w:rsidR="005C311E" w:rsidRPr="00777AD2" w:rsidRDefault="005C311E" w:rsidP="005C311E">
      <w:pPr>
        <w:spacing w:line="480" w:lineRule="auto"/>
        <w:rPr>
          <w:szCs w:val="24"/>
        </w:rPr>
      </w:pPr>
      <w:r w:rsidRPr="00777AD2">
        <w:rPr>
          <w:szCs w:val="24"/>
        </w:rPr>
        <w:t xml:space="preserve">Ancient Origins. 2016. ‘Examining Cryptic Grave Goods: What Are the Ancient Egyptian Funerary Cones?’, in </w:t>
      </w:r>
      <w:r w:rsidRPr="00777AD2">
        <w:rPr>
          <w:i/>
          <w:szCs w:val="24"/>
        </w:rPr>
        <w:t xml:space="preserve">Ancient Origins. </w:t>
      </w:r>
      <w:r w:rsidRPr="00777AD2">
        <w:rPr>
          <w:szCs w:val="24"/>
        </w:rPr>
        <w:t xml:space="preserve">[Available at: </w:t>
      </w:r>
      <w:hyperlink r:id="rId12" w:history="1">
        <w:r w:rsidRPr="00777AD2">
          <w:rPr>
            <w:rStyle w:val="Hyperlink"/>
            <w:szCs w:val="24"/>
          </w:rPr>
          <w:t>http://www.ancient-origins.net/artifacts-other-artifacts/examining-cryptic-grave-goods-what-are-ancient-egyptian-funerary-cones-020736</w:t>
        </w:r>
      </w:hyperlink>
      <w:r w:rsidRPr="00777AD2">
        <w:rPr>
          <w:szCs w:val="24"/>
        </w:rPr>
        <w:t>]  (Accessed: 28</w:t>
      </w:r>
      <w:r w:rsidRPr="00777AD2">
        <w:rPr>
          <w:szCs w:val="24"/>
          <w:vertAlign w:val="superscript"/>
        </w:rPr>
        <w:t>th</w:t>
      </w:r>
      <w:r w:rsidRPr="00777AD2">
        <w:rPr>
          <w:szCs w:val="24"/>
        </w:rPr>
        <w:t xml:space="preserve"> February 2018)</w:t>
      </w:r>
    </w:p>
    <w:p w14:paraId="30C74AB4" w14:textId="77777777" w:rsidR="005C311E" w:rsidRPr="00777AD2" w:rsidRDefault="005C311E" w:rsidP="005C311E">
      <w:pPr>
        <w:spacing w:line="480" w:lineRule="auto"/>
        <w:rPr>
          <w:szCs w:val="24"/>
        </w:rPr>
      </w:pPr>
    </w:p>
    <w:p w14:paraId="6889BAB2" w14:textId="77777777" w:rsidR="005C311E" w:rsidRPr="00777AD2" w:rsidRDefault="005C311E" w:rsidP="005C311E">
      <w:pPr>
        <w:pStyle w:val="NoSpacing"/>
        <w:spacing w:line="480" w:lineRule="auto"/>
        <w:rPr>
          <w:szCs w:val="24"/>
        </w:rPr>
      </w:pPr>
      <w:r w:rsidRPr="00777AD2">
        <w:t xml:space="preserve">Fleury, K. 2001. ‘The Pharaohs’ in </w:t>
      </w:r>
      <w:proofErr w:type="spellStart"/>
      <w:r w:rsidRPr="00777AD2">
        <w:rPr>
          <w:i/>
        </w:rPr>
        <w:t>Neferchichi’s</w:t>
      </w:r>
      <w:proofErr w:type="spellEnd"/>
      <w:r w:rsidRPr="00777AD2">
        <w:rPr>
          <w:i/>
        </w:rPr>
        <w:t xml:space="preserve"> Tomb.</w:t>
      </w:r>
      <w:r w:rsidRPr="00777AD2">
        <w:t xml:space="preserve"> </w:t>
      </w:r>
      <w:r w:rsidRPr="00777AD2">
        <w:rPr>
          <w:szCs w:val="24"/>
        </w:rPr>
        <w:t xml:space="preserve">[Available at: </w:t>
      </w:r>
      <w:hyperlink r:id="rId13" w:history="1">
        <w:r w:rsidRPr="00777AD2">
          <w:rPr>
            <w:rStyle w:val="Hyperlink"/>
          </w:rPr>
          <w:t>https://www.neferchichi.com/the-pharaohs-tuthmosis-iii</w:t>
        </w:r>
      </w:hyperlink>
      <w:r w:rsidRPr="00777AD2">
        <w:t xml:space="preserve"> and </w:t>
      </w:r>
      <w:hyperlink r:id="rId14" w:history="1">
        <w:r w:rsidRPr="00777AD2">
          <w:rPr>
            <w:rStyle w:val="Hyperlink"/>
          </w:rPr>
          <w:t>https://www.neferchichi.com/the-pharaohs-hatshepsut</w:t>
        </w:r>
      </w:hyperlink>
      <w:r w:rsidRPr="00777AD2">
        <w:t xml:space="preserve"> ] </w:t>
      </w:r>
      <w:r w:rsidRPr="00777AD2">
        <w:rPr>
          <w:szCs w:val="24"/>
        </w:rPr>
        <w:t>(Accessed: 24</w:t>
      </w:r>
      <w:r w:rsidRPr="00777AD2">
        <w:rPr>
          <w:szCs w:val="24"/>
          <w:vertAlign w:val="superscript"/>
        </w:rPr>
        <w:t>th</w:t>
      </w:r>
      <w:r w:rsidRPr="00777AD2">
        <w:rPr>
          <w:szCs w:val="24"/>
        </w:rPr>
        <w:t xml:space="preserve"> February 2018)</w:t>
      </w:r>
    </w:p>
    <w:p w14:paraId="06CC40AB" w14:textId="77777777" w:rsidR="005C311E" w:rsidRPr="00777AD2" w:rsidRDefault="005C311E" w:rsidP="005C311E">
      <w:pPr>
        <w:pStyle w:val="NoSpacing"/>
        <w:spacing w:line="480" w:lineRule="auto"/>
      </w:pPr>
    </w:p>
    <w:p w14:paraId="64D99937" w14:textId="77777777" w:rsidR="005C311E" w:rsidRPr="00777AD2" w:rsidRDefault="005C311E" w:rsidP="005C311E">
      <w:pPr>
        <w:pStyle w:val="NoSpacing"/>
        <w:spacing w:line="480" w:lineRule="auto"/>
      </w:pPr>
      <w:proofErr w:type="spellStart"/>
      <w:r w:rsidRPr="00777AD2">
        <w:lastRenderedPageBreak/>
        <w:t>Nacu</w:t>
      </w:r>
      <w:proofErr w:type="spellEnd"/>
      <w:r w:rsidRPr="00777AD2">
        <w:t xml:space="preserve">, A. 2008 ‘Egypt 1450 </w:t>
      </w:r>
      <w:proofErr w:type="spellStart"/>
      <w:r w:rsidRPr="00777AD2">
        <w:t>BC.svg</w:t>
      </w:r>
      <w:proofErr w:type="spellEnd"/>
      <w:r w:rsidRPr="00777AD2">
        <w:t xml:space="preserve">’ in </w:t>
      </w:r>
      <w:r w:rsidRPr="00777AD2">
        <w:rPr>
          <w:i/>
        </w:rPr>
        <w:t>Wikipedia</w:t>
      </w:r>
      <w:r w:rsidRPr="00777AD2">
        <w:t xml:space="preserve">. </w:t>
      </w:r>
      <w:r w:rsidRPr="00777AD2">
        <w:rPr>
          <w:szCs w:val="24"/>
        </w:rPr>
        <w:t>[Available at:</w:t>
      </w:r>
    </w:p>
    <w:p w14:paraId="0AD7BC8F" w14:textId="77777777" w:rsidR="005C311E" w:rsidRPr="00777AD2" w:rsidRDefault="005C311E" w:rsidP="005C311E">
      <w:pPr>
        <w:pStyle w:val="NoSpacing"/>
        <w:spacing w:line="480" w:lineRule="auto"/>
      </w:pPr>
      <w:hyperlink r:id="rId15" w:history="1">
        <w:r w:rsidRPr="00777AD2">
          <w:rPr>
            <w:rStyle w:val="Hyperlink"/>
          </w:rPr>
          <w:t>https://en.wikipedia.org/wiki/File:Egypt_1450_BC.svg</w:t>
        </w:r>
      </w:hyperlink>
      <w:r w:rsidRPr="00777AD2">
        <w:t xml:space="preserve">] </w:t>
      </w:r>
      <w:r w:rsidRPr="00777AD2">
        <w:rPr>
          <w:szCs w:val="24"/>
        </w:rPr>
        <w:t>(Accessed: 25</w:t>
      </w:r>
      <w:r w:rsidRPr="00777AD2">
        <w:rPr>
          <w:szCs w:val="24"/>
          <w:vertAlign w:val="superscript"/>
        </w:rPr>
        <w:t>th</w:t>
      </w:r>
      <w:r w:rsidRPr="00777AD2">
        <w:rPr>
          <w:szCs w:val="24"/>
        </w:rPr>
        <w:t xml:space="preserve"> February 2018)</w:t>
      </w:r>
    </w:p>
    <w:p w14:paraId="3E92D4D0" w14:textId="21FB1697" w:rsidR="005C311E" w:rsidRPr="005C311E" w:rsidRDefault="005C311E" w:rsidP="005C311E">
      <w:pPr>
        <w:suppressAutoHyphens w:val="0"/>
        <w:autoSpaceDN/>
        <w:textAlignment w:val="auto"/>
        <w:rPr>
          <w:rFonts w:eastAsiaTheme="minorHAnsi" w:cstheme="minorBidi"/>
        </w:rPr>
      </w:pPr>
    </w:p>
    <w:p w14:paraId="25A4B39B" w14:textId="77777777" w:rsidR="00C27167" w:rsidRDefault="00C27167" w:rsidP="002B30B2">
      <w:pPr>
        <w:pStyle w:val="NoSpacing"/>
        <w:spacing w:line="480" w:lineRule="auto"/>
      </w:pPr>
    </w:p>
    <w:p w14:paraId="3F2750E8" w14:textId="77777777" w:rsidR="0007354F" w:rsidRDefault="0007354F" w:rsidP="002B30B2">
      <w:pPr>
        <w:spacing w:line="480" w:lineRule="auto"/>
      </w:pPr>
    </w:p>
    <w:sectPr w:rsidR="0007354F">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A71F3"/>
    <w:multiLevelType w:val="hybridMultilevel"/>
    <w:tmpl w:val="8D7E8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572B17"/>
    <w:multiLevelType w:val="hybridMultilevel"/>
    <w:tmpl w:val="B2CA7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7awMLAwMDQyMbUAspV0lIJTi4sz8/NACsxqAbgdFmgsAAAA"/>
  </w:docVars>
  <w:rsids>
    <w:rsidRoot w:val="00C27167"/>
    <w:rsid w:val="0000737D"/>
    <w:rsid w:val="000256E5"/>
    <w:rsid w:val="00047FBD"/>
    <w:rsid w:val="00060BCA"/>
    <w:rsid w:val="0007354F"/>
    <w:rsid w:val="00073B6D"/>
    <w:rsid w:val="000B4B05"/>
    <w:rsid w:val="000B7BBC"/>
    <w:rsid w:val="000C0659"/>
    <w:rsid w:val="000F444C"/>
    <w:rsid w:val="001041E7"/>
    <w:rsid w:val="00116DC5"/>
    <w:rsid w:val="00124523"/>
    <w:rsid w:val="00132AE9"/>
    <w:rsid w:val="00144469"/>
    <w:rsid w:val="001560EE"/>
    <w:rsid w:val="001568E1"/>
    <w:rsid w:val="001604E9"/>
    <w:rsid w:val="0016179E"/>
    <w:rsid w:val="001909DA"/>
    <w:rsid w:val="00194862"/>
    <w:rsid w:val="00195703"/>
    <w:rsid w:val="00197031"/>
    <w:rsid w:val="001B2F10"/>
    <w:rsid w:val="001C237D"/>
    <w:rsid w:val="001D205B"/>
    <w:rsid w:val="0022024F"/>
    <w:rsid w:val="002228A1"/>
    <w:rsid w:val="00233127"/>
    <w:rsid w:val="00242B85"/>
    <w:rsid w:val="002503EF"/>
    <w:rsid w:val="002534E5"/>
    <w:rsid w:val="00291386"/>
    <w:rsid w:val="002A6C82"/>
    <w:rsid w:val="002B30B2"/>
    <w:rsid w:val="002B68A9"/>
    <w:rsid w:val="002E31D8"/>
    <w:rsid w:val="002E3263"/>
    <w:rsid w:val="002F4879"/>
    <w:rsid w:val="002F6091"/>
    <w:rsid w:val="002F795C"/>
    <w:rsid w:val="00304326"/>
    <w:rsid w:val="00316865"/>
    <w:rsid w:val="00325A55"/>
    <w:rsid w:val="0033688C"/>
    <w:rsid w:val="00373326"/>
    <w:rsid w:val="00385C3D"/>
    <w:rsid w:val="003B3ACC"/>
    <w:rsid w:val="003C038A"/>
    <w:rsid w:val="00400A9B"/>
    <w:rsid w:val="00436D51"/>
    <w:rsid w:val="00455DE5"/>
    <w:rsid w:val="004A41B5"/>
    <w:rsid w:val="004D2A92"/>
    <w:rsid w:val="004E6516"/>
    <w:rsid w:val="004F303F"/>
    <w:rsid w:val="00514F39"/>
    <w:rsid w:val="00534DE1"/>
    <w:rsid w:val="005468B5"/>
    <w:rsid w:val="0057546E"/>
    <w:rsid w:val="005B1F03"/>
    <w:rsid w:val="005B29D0"/>
    <w:rsid w:val="005C311E"/>
    <w:rsid w:val="00605B68"/>
    <w:rsid w:val="00613E08"/>
    <w:rsid w:val="00646FD1"/>
    <w:rsid w:val="0067543C"/>
    <w:rsid w:val="006762B5"/>
    <w:rsid w:val="006A2EAD"/>
    <w:rsid w:val="006B6108"/>
    <w:rsid w:val="006D38D6"/>
    <w:rsid w:val="00706ADF"/>
    <w:rsid w:val="00714356"/>
    <w:rsid w:val="00716832"/>
    <w:rsid w:val="00717D43"/>
    <w:rsid w:val="007417A5"/>
    <w:rsid w:val="00777AD2"/>
    <w:rsid w:val="007816D4"/>
    <w:rsid w:val="007A0817"/>
    <w:rsid w:val="007A1FC9"/>
    <w:rsid w:val="007A4EAD"/>
    <w:rsid w:val="007B20CA"/>
    <w:rsid w:val="007B3B82"/>
    <w:rsid w:val="007E2ACE"/>
    <w:rsid w:val="007E5E7B"/>
    <w:rsid w:val="007F022C"/>
    <w:rsid w:val="007F456D"/>
    <w:rsid w:val="008048B9"/>
    <w:rsid w:val="0081067B"/>
    <w:rsid w:val="00811260"/>
    <w:rsid w:val="008525F7"/>
    <w:rsid w:val="00853E46"/>
    <w:rsid w:val="008768C4"/>
    <w:rsid w:val="008903DB"/>
    <w:rsid w:val="008B3028"/>
    <w:rsid w:val="008B756B"/>
    <w:rsid w:val="008D709B"/>
    <w:rsid w:val="008F0223"/>
    <w:rsid w:val="00911C4B"/>
    <w:rsid w:val="0093775F"/>
    <w:rsid w:val="009438AD"/>
    <w:rsid w:val="00955F3D"/>
    <w:rsid w:val="009A69AA"/>
    <w:rsid w:val="009C5C2A"/>
    <w:rsid w:val="009F797D"/>
    <w:rsid w:val="00A066C3"/>
    <w:rsid w:val="00A83A66"/>
    <w:rsid w:val="00AA39A5"/>
    <w:rsid w:val="00AB52CC"/>
    <w:rsid w:val="00AB5C0C"/>
    <w:rsid w:val="00AD0E7D"/>
    <w:rsid w:val="00B1230F"/>
    <w:rsid w:val="00B80569"/>
    <w:rsid w:val="00BC5BD7"/>
    <w:rsid w:val="00BE2F13"/>
    <w:rsid w:val="00BE46E9"/>
    <w:rsid w:val="00BF5C32"/>
    <w:rsid w:val="00C27167"/>
    <w:rsid w:val="00C53D29"/>
    <w:rsid w:val="00C75C3C"/>
    <w:rsid w:val="00C91C05"/>
    <w:rsid w:val="00CB2323"/>
    <w:rsid w:val="00CB2876"/>
    <w:rsid w:val="00CB59DE"/>
    <w:rsid w:val="00CD3716"/>
    <w:rsid w:val="00CD4DFF"/>
    <w:rsid w:val="00CE1376"/>
    <w:rsid w:val="00CF1647"/>
    <w:rsid w:val="00D02CBB"/>
    <w:rsid w:val="00D11ECF"/>
    <w:rsid w:val="00D369DB"/>
    <w:rsid w:val="00D429CA"/>
    <w:rsid w:val="00D542CF"/>
    <w:rsid w:val="00D965A3"/>
    <w:rsid w:val="00DA5390"/>
    <w:rsid w:val="00DC0323"/>
    <w:rsid w:val="00DC051A"/>
    <w:rsid w:val="00DC19B4"/>
    <w:rsid w:val="00DC19EF"/>
    <w:rsid w:val="00DF1C96"/>
    <w:rsid w:val="00DF7E8C"/>
    <w:rsid w:val="00E9730E"/>
    <w:rsid w:val="00EC7967"/>
    <w:rsid w:val="00ED1C31"/>
    <w:rsid w:val="00ED56E3"/>
    <w:rsid w:val="00EE0DF6"/>
    <w:rsid w:val="00EF22F1"/>
    <w:rsid w:val="00EF4648"/>
    <w:rsid w:val="00F1323E"/>
    <w:rsid w:val="00F1540C"/>
    <w:rsid w:val="00F36846"/>
    <w:rsid w:val="00F51B8A"/>
    <w:rsid w:val="00F7440D"/>
    <w:rsid w:val="00FA4E1D"/>
    <w:rsid w:val="00FE45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B2C6A"/>
  <w15:docId w15:val="{FD60A786-CD8F-49A3-A047-651F0505F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C27167"/>
    <w:pPr>
      <w:suppressAutoHyphens/>
      <w:autoSpaceDN w:val="0"/>
      <w:textAlignment w:val="baseline"/>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qFormat/>
    <w:rsid w:val="00A83A66"/>
  </w:style>
  <w:style w:type="paragraph" w:styleId="Caption">
    <w:name w:val="caption"/>
    <w:basedOn w:val="Normal"/>
    <w:next w:val="Normal"/>
    <w:rsid w:val="00C27167"/>
    <w:pPr>
      <w:spacing w:after="200"/>
    </w:pPr>
    <w:rPr>
      <w:i/>
      <w:iCs/>
      <w:color w:val="44546A"/>
      <w:sz w:val="18"/>
      <w:szCs w:val="18"/>
    </w:rPr>
  </w:style>
  <w:style w:type="paragraph" w:customStyle="1" w:styleId="Default">
    <w:name w:val="Default"/>
    <w:rsid w:val="00ED56E3"/>
    <w:pPr>
      <w:autoSpaceDE w:val="0"/>
      <w:autoSpaceDN w:val="0"/>
      <w:adjustRightInd w:val="0"/>
    </w:pPr>
    <w:rPr>
      <w:rFonts w:ascii="Book Antiqua" w:hAnsi="Book Antiqua" w:cs="Book Antiqua"/>
      <w:color w:val="000000"/>
      <w:szCs w:val="24"/>
    </w:rPr>
  </w:style>
  <w:style w:type="character" w:styleId="Hyperlink">
    <w:name w:val="Hyperlink"/>
    <w:basedOn w:val="DefaultParagraphFont"/>
    <w:uiPriority w:val="99"/>
    <w:unhideWhenUsed/>
    <w:rsid w:val="004F303F"/>
    <w:rPr>
      <w:color w:val="0563C1" w:themeColor="hyperlink"/>
      <w:u w:val="single"/>
    </w:rPr>
  </w:style>
  <w:style w:type="character" w:customStyle="1" w:styleId="UnresolvedMention1">
    <w:name w:val="Unresolved Mention1"/>
    <w:basedOn w:val="DefaultParagraphFont"/>
    <w:uiPriority w:val="99"/>
    <w:semiHidden/>
    <w:unhideWhenUsed/>
    <w:rsid w:val="004F303F"/>
    <w:rPr>
      <w:color w:val="808080"/>
      <w:shd w:val="clear" w:color="auto" w:fill="E6E6E6"/>
    </w:rPr>
  </w:style>
  <w:style w:type="paragraph" w:styleId="BalloonText">
    <w:name w:val="Balloon Text"/>
    <w:basedOn w:val="Normal"/>
    <w:link w:val="BalloonTextChar"/>
    <w:uiPriority w:val="99"/>
    <w:semiHidden/>
    <w:unhideWhenUsed/>
    <w:rsid w:val="006D38D6"/>
    <w:rPr>
      <w:rFonts w:ascii="Tahoma" w:hAnsi="Tahoma" w:cs="Tahoma"/>
      <w:sz w:val="16"/>
      <w:szCs w:val="16"/>
    </w:rPr>
  </w:style>
  <w:style w:type="character" w:customStyle="1" w:styleId="BalloonTextChar">
    <w:name w:val="Balloon Text Char"/>
    <w:basedOn w:val="DefaultParagraphFont"/>
    <w:link w:val="BalloonText"/>
    <w:uiPriority w:val="99"/>
    <w:semiHidden/>
    <w:rsid w:val="006D38D6"/>
    <w:rPr>
      <w:rFonts w:ascii="Tahoma" w:eastAsia="Calibri" w:hAnsi="Tahoma" w:cs="Tahoma"/>
      <w:sz w:val="16"/>
      <w:szCs w:val="16"/>
    </w:rPr>
  </w:style>
  <w:style w:type="character" w:styleId="CommentReference">
    <w:name w:val="annotation reference"/>
    <w:basedOn w:val="DefaultParagraphFont"/>
    <w:uiPriority w:val="99"/>
    <w:semiHidden/>
    <w:unhideWhenUsed/>
    <w:rsid w:val="006D38D6"/>
    <w:rPr>
      <w:sz w:val="16"/>
      <w:szCs w:val="16"/>
    </w:rPr>
  </w:style>
  <w:style w:type="paragraph" w:styleId="CommentText">
    <w:name w:val="annotation text"/>
    <w:basedOn w:val="Normal"/>
    <w:link w:val="CommentTextChar"/>
    <w:uiPriority w:val="99"/>
    <w:semiHidden/>
    <w:unhideWhenUsed/>
    <w:rsid w:val="006D38D6"/>
    <w:rPr>
      <w:sz w:val="20"/>
      <w:szCs w:val="20"/>
    </w:rPr>
  </w:style>
  <w:style w:type="character" w:customStyle="1" w:styleId="CommentTextChar">
    <w:name w:val="Comment Text Char"/>
    <w:basedOn w:val="DefaultParagraphFont"/>
    <w:link w:val="CommentText"/>
    <w:uiPriority w:val="99"/>
    <w:semiHidden/>
    <w:rsid w:val="006D38D6"/>
    <w:rPr>
      <w:rFonts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6D38D6"/>
    <w:rPr>
      <w:b/>
      <w:bCs/>
    </w:rPr>
  </w:style>
  <w:style w:type="character" w:customStyle="1" w:styleId="CommentSubjectChar">
    <w:name w:val="Comment Subject Char"/>
    <w:basedOn w:val="CommentTextChar"/>
    <w:link w:val="CommentSubject"/>
    <w:uiPriority w:val="99"/>
    <w:semiHidden/>
    <w:rsid w:val="006D38D6"/>
    <w:rPr>
      <w:rFonts w:eastAsia="Calibri" w:cs="Times New Roman"/>
      <w:b/>
      <w:bCs/>
      <w:sz w:val="20"/>
      <w:szCs w:val="20"/>
    </w:rPr>
  </w:style>
  <w:style w:type="character" w:customStyle="1" w:styleId="UnresolvedMention2">
    <w:name w:val="Unresolved Mention2"/>
    <w:basedOn w:val="DefaultParagraphFont"/>
    <w:uiPriority w:val="99"/>
    <w:semiHidden/>
    <w:unhideWhenUsed/>
    <w:rsid w:val="00047FBD"/>
    <w:rPr>
      <w:color w:val="808080"/>
      <w:shd w:val="clear" w:color="auto" w:fill="E6E6E6"/>
    </w:rPr>
  </w:style>
  <w:style w:type="character" w:customStyle="1" w:styleId="UnresolvedMention3">
    <w:name w:val="Unresolved Mention3"/>
    <w:basedOn w:val="DefaultParagraphFont"/>
    <w:uiPriority w:val="99"/>
    <w:semiHidden/>
    <w:unhideWhenUsed/>
    <w:rsid w:val="001909DA"/>
    <w:rPr>
      <w:color w:val="808080"/>
      <w:shd w:val="clear" w:color="auto" w:fill="E6E6E6"/>
    </w:rPr>
  </w:style>
  <w:style w:type="character" w:styleId="FollowedHyperlink">
    <w:name w:val="FollowedHyperlink"/>
    <w:basedOn w:val="DefaultParagraphFont"/>
    <w:uiPriority w:val="99"/>
    <w:semiHidden/>
    <w:unhideWhenUsed/>
    <w:rsid w:val="00B80569"/>
    <w:rPr>
      <w:color w:val="954F72" w:themeColor="followedHyperlink"/>
      <w:u w:val="single"/>
    </w:rPr>
  </w:style>
  <w:style w:type="character" w:customStyle="1" w:styleId="a">
    <w:name w:val="a"/>
    <w:basedOn w:val="DefaultParagraphFont"/>
    <w:rsid w:val="00A83A66"/>
  </w:style>
  <w:style w:type="character" w:customStyle="1" w:styleId="l6">
    <w:name w:val="l6"/>
    <w:basedOn w:val="DefaultParagraphFont"/>
    <w:rsid w:val="00A83A66"/>
  </w:style>
  <w:style w:type="character" w:customStyle="1" w:styleId="l7">
    <w:name w:val="l7"/>
    <w:basedOn w:val="DefaultParagraphFont"/>
    <w:rsid w:val="00A83A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4488811">
      <w:bodyDiv w:val="1"/>
      <w:marLeft w:val="0"/>
      <w:marRight w:val="0"/>
      <w:marTop w:val="0"/>
      <w:marBottom w:val="0"/>
      <w:divBdr>
        <w:top w:val="none" w:sz="0" w:space="0" w:color="auto"/>
        <w:left w:val="none" w:sz="0" w:space="0" w:color="auto"/>
        <w:bottom w:val="none" w:sz="0" w:space="0" w:color="auto"/>
        <w:right w:val="none" w:sz="0" w:space="0" w:color="auto"/>
      </w:divBdr>
      <w:divsChild>
        <w:div w:id="311567856">
          <w:marLeft w:val="0"/>
          <w:marRight w:val="0"/>
          <w:marTop w:val="0"/>
          <w:marBottom w:val="0"/>
          <w:divBdr>
            <w:top w:val="none" w:sz="0" w:space="0" w:color="auto"/>
            <w:left w:val="none" w:sz="0" w:space="0" w:color="auto"/>
            <w:bottom w:val="none" w:sz="0" w:space="0" w:color="auto"/>
            <w:right w:val="none" w:sz="0" w:space="0" w:color="auto"/>
          </w:divBdr>
        </w:div>
        <w:div w:id="148327492">
          <w:marLeft w:val="0"/>
          <w:marRight w:val="0"/>
          <w:marTop w:val="0"/>
          <w:marBottom w:val="0"/>
          <w:divBdr>
            <w:top w:val="none" w:sz="0" w:space="0" w:color="auto"/>
            <w:left w:val="none" w:sz="0" w:space="0" w:color="auto"/>
            <w:bottom w:val="none" w:sz="0" w:space="0" w:color="auto"/>
            <w:right w:val="none" w:sz="0" w:space="0" w:color="auto"/>
          </w:divBdr>
        </w:div>
        <w:div w:id="1750811528">
          <w:marLeft w:val="0"/>
          <w:marRight w:val="0"/>
          <w:marTop w:val="0"/>
          <w:marBottom w:val="0"/>
          <w:divBdr>
            <w:top w:val="none" w:sz="0" w:space="0" w:color="auto"/>
            <w:left w:val="none" w:sz="0" w:space="0" w:color="auto"/>
            <w:bottom w:val="none" w:sz="0" w:space="0" w:color="auto"/>
            <w:right w:val="none" w:sz="0" w:space="0" w:color="auto"/>
          </w:divBdr>
        </w:div>
        <w:div w:id="1429816432">
          <w:marLeft w:val="0"/>
          <w:marRight w:val="0"/>
          <w:marTop w:val="0"/>
          <w:marBottom w:val="0"/>
          <w:divBdr>
            <w:top w:val="none" w:sz="0" w:space="0" w:color="auto"/>
            <w:left w:val="none" w:sz="0" w:space="0" w:color="auto"/>
            <w:bottom w:val="none" w:sz="0" w:space="0" w:color="auto"/>
            <w:right w:val="none" w:sz="0" w:space="0" w:color="auto"/>
          </w:divBdr>
        </w:div>
        <w:div w:id="680085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hyperlink" Target="https://www.neferchichi.com/the-pharaohs-tuthmosis-iii"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ancient-origins.net/artifacts-other-artifacts/examining-cryptic-grave-goods-what-are-ancient-egyptian-funerary-cones-02073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doi.org/10.17863/CAM.15961" TargetMode="External"/><Relationship Id="rId5" Type="http://schemas.openxmlformats.org/officeDocument/2006/relationships/image" Target="media/image1.jpeg"/><Relationship Id="rId15" Type="http://schemas.openxmlformats.org/officeDocument/2006/relationships/hyperlink" Target="https://en.wikipedia.org/wiki/File:Egypt_1450_BC.svg"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hyperlink" Target="https://www.neferchichi.com/the-pharaohs-hatsheps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815</Words>
  <Characters>4650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Georgie Whittock</dc:creator>
  <cp:keywords/>
  <dc:description/>
  <cp:lastModifiedBy>Georgie Whittock</cp:lastModifiedBy>
  <cp:revision>9</cp:revision>
  <dcterms:created xsi:type="dcterms:W3CDTF">2018-03-06T14:53:00Z</dcterms:created>
  <dcterms:modified xsi:type="dcterms:W3CDTF">2018-03-08T14:58:00Z</dcterms:modified>
</cp:coreProperties>
</file>