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 Id="rId4" Type="http://purl.oclc.org/ooxml/officeDocument/relationships/customProperties" Target="docProps/custom.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46E8FAD1" w14:textId="77777777" w:rsidR="006A58F5" w:rsidRPr="00A269F7" w:rsidRDefault="006A58F5" w:rsidP="00EB13A7">
      <w:pPr>
        <w:pStyle w:val="Author"/>
        <w:spacing w:before="5pt" w:beforeAutospacing="1" w:after="5pt" w:afterAutospacing="1" w:line="6pt" w:lineRule="auto"/>
        <w:rPr>
          <w:rFonts w:eastAsia="MS Mincho"/>
          <w:noProof w:val="0"/>
          <w:kern w:val="48"/>
          <w:sz w:val="48"/>
          <w:szCs w:val="48"/>
          <w:lang w:val="en-GB"/>
        </w:rPr>
      </w:pPr>
    </w:p>
    <w:p w14:paraId="01C65B98" w14:textId="0202F7CC" w:rsidR="00D7522C" w:rsidRPr="00A269F7" w:rsidRDefault="006A58F5" w:rsidP="001402D4">
      <w:pPr>
        <w:pStyle w:val="Title"/>
        <w:rPr>
          <w:rStyle w:val="Emphasis"/>
        </w:rPr>
      </w:pPr>
      <w:r w:rsidRPr="00A269F7">
        <w:rPr>
          <w:rStyle w:val="Emphasis"/>
        </w:rPr>
        <w:t>Strategic Cybersecurity Roadmap: A Zero Trust Framework for VTAM (2026).</w:t>
      </w:r>
    </w:p>
    <w:p w14:paraId="7A1477F4" w14:textId="77777777" w:rsidR="001402D4" w:rsidRPr="00A269F7" w:rsidRDefault="001402D4" w:rsidP="001402D4"/>
    <w:p w14:paraId="31B492FD" w14:textId="77777777" w:rsidR="00D7522C" w:rsidRPr="00A269F7" w:rsidRDefault="00D7522C" w:rsidP="00EB13A7">
      <w:pPr>
        <w:pStyle w:val="Author"/>
        <w:spacing w:before="5pt" w:beforeAutospacing="1" w:after="5pt" w:afterAutospacing="1" w:line="6pt" w:lineRule="auto"/>
        <w:rPr>
          <w:noProof w:val="0"/>
          <w:sz w:val="16"/>
          <w:szCs w:val="16"/>
          <w:lang w:val="en-GB"/>
        </w:rPr>
        <w:sectPr w:rsidR="00D7522C" w:rsidRPr="00A269F7" w:rsidSect="003B4E04">
          <w:footerReference w:type="first" r:id="rId8"/>
          <w:pgSz w:w="595.30pt" w:h="841.90pt" w:code="9"/>
          <w:pgMar w:top="27pt" w:right="44.65pt" w:bottom="72pt" w:left="44.65pt" w:header="36pt" w:footer="36pt" w:gutter="0pt"/>
          <w:cols w:space="36pt"/>
          <w:titlePg/>
          <w:docGrid w:linePitch="360"/>
        </w:sectPr>
      </w:pPr>
    </w:p>
    <w:p w14:paraId="7517A507" w14:textId="77777777" w:rsidR="00EB13A7" w:rsidRPr="00A269F7" w:rsidRDefault="00BA3050" w:rsidP="00202487">
      <w:pPr>
        <w:pStyle w:val="Author"/>
        <w:spacing w:before="0pt" w:after="0pt"/>
        <w:rPr>
          <w:noProof w:val="0"/>
          <w:sz w:val="18"/>
          <w:szCs w:val="18"/>
          <w:lang w:val="en-GB"/>
        </w:rPr>
      </w:pPr>
      <w:r w:rsidRPr="00A269F7">
        <w:rPr>
          <w:noProof w:val="0"/>
          <w:sz w:val="18"/>
          <w:szCs w:val="18"/>
          <w:lang w:val="en-GB"/>
        </w:rPr>
        <w:t>L</w:t>
      </w:r>
      <w:r w:rsidR="009D1886" w:rsidRPr="00A269F7">
        <w:rPr>
          <w:noProof w:val="0"/>
          <w:sz w:val="18"/>
          <w:szCs w:val="18"/>
          <w:lang w:val="en-GB"/>
        </w:rPr>
        <w:t>eighton Bowd</w:t>
      </w:r>
      <w:r w:rsidR="001A3B3D" w:rsidRPr="00A269F7">
        <w:rPr>
          <w:noProof w:val="0"/>
          <w:sz w:val="18"/>
          <w:szCs w:val="18"/>
          <w:lang w:val="en-GB"/>
        </w:rPr>
        <w:t xml:space="preserve"> </w:t>
      </w:r>
      <w:r w:rsidR="001A3B3D" w:rsidRPr="00A269F7">
        <w:rPr>
          <w:noProof w:val="0"/>
          <w:sz w:val="18"/>
          <w:szCs w:val="18"/>
          <w:lang w:val="en-GB"/>
        </w:rPr>
        <w:br/>
      </w:r>
      <w:r w:rsidR="009D1886" w:rsidRPr="00A269F7">
        <w:rPr>
          <w:noProof w:val="0"/>
          <w:sz w:val="18"/>
          <w:szCs w:val="18"/>
          <w:lang w:val="en-GB"/>
        </w:rPr>
        <w:t xml:space="preserve">University </w:t>
      </w:r>
      <w:r w:rsidR="00F90849" w:rsidRPr="00A269F7">
        <w:rPr>
          <w:noProof w:val="0"/>
          <w:sz w:val="18"/>
          <w:szCs w:val="18"/>
          <w:lang w:val="en-GB"/>
        </w:rPr>
        <w:t>of Wales Trinity St David</w:t>
      </w:r>
      <w:r w:rsidR="001A3B3D" w:rsidRPr="00A269F7">
        <w:rPr>
          <w:i/>
          <w:noProof w:val="0"/>
          <w:sz w:val="18"/>
          <w:szCs w:val="18"/>
          <w:lang w:val="en-GB"/>
        </w:rPr>
        <w:br/>
      </w:r>
      <w:r w:rsidR="00F90849" w:rsidRPr="00A269F7">
        <w:rPr>
          <w:noProof w:val="0"/>
          <w:sz w:val="18"/>
          <w:szCs w:val="18"/>
          <w:lang w:val="en-GB"/>
        </w:rPr>
        <w:t>Swansea</w:t>
      </w:r>
    </w:p>
    <w:p w14:paraId="75785B79" w14:textId="77777777" w:rsidR="00E92325" w:rsidRPr="00A269F7" w:rsidRDefault="00CA61A9" w:rsidP="00202487">
      <w:pPr>
        <w:pStyle w:val="Author"/>
        <w:spacing w:before="0pt" w:after="0pt"/>
        <w:rPr>
          <w:noProof w:val="0"/>
          <w:sz w:val="18"/>
          <w:szCs w:val="18"/>
          <w:lang w:val="en-GB"/>
        </w:rPr>
      </w:pPr>
      <w:r w:rsidRPr="00A269F7">
        <w:rPr>
          <w:noProof w:val="0"/>
          <w:sz w:val="18"/>
          <w:szCs w:val="18"/>
          <w:lang w:val="en-GB"/>
        </w:rPr>
        <w:t>2320479</w:t>
      </w:r>
    </w:p>
    <w:p w14:paraId="73F070F9" w14:textId="77777777" w:rsidR="001A3D1E" w:rsidRPr="00A269F7" w:rsidRDefault="001A3D1E" w:rsidP="00E92325">
      <w:pPr>
        <w:pStyle w:val="Author"/>
        <w:spacing w:before="0pt" w:after="0pt"/>
        <w:rPr>
          <w:noProof w:val="0"/>
          <w:sz w:val="18"/>
          <w:szCs w:val="18"/>
          <w:lang w:val="en-GB"/>
        </w:rPr>
        <w:sectPr w:rsidR="001A3D1E" w:rsidRPr="00A269F7" w:rsidSect="001A3D1E">
          <w:type w:val="continuous"/>
          <w:pgSz w:w="595.30pt" w:h="841.90pt" w:code="9"/>
          <w:pgMar w:top="22.50pt" w:right="44.65pt" w:bottom="72pt" w:left="44.65pt" w:header="36pt" w:footer="36pt" w:gutter="0pt"/>
          <w:cols w:space="36pt"/>
          <w:docGrid w:linePitch="360"/>
        </w:sectPr>
      </w:pPr>
    </w:p>
    <w:p w14:paraId="0C3009E1" w14:textId="77777777" w:rsidR="00E92325" w:rsidRPr="00A269F7" w:rsidRDefault="00E92325" w:rsidP="00E92325">
      <w:pPr>
        <w:pStyle w:val="Author"/>
        <w:spacing w:before="0pt" w:after="0pt"/>
        <w:rPr>
          <w:noProof w:val="0"/>
          <w:sz w:val="18"/>
          <w:szCs w:val="18"/>
          <w:lang w:val="en-GB"/>
        </w:rPr>
      </w:pPr>
    </w:p>
    <w:p w14:paraId="28BE7411" w14:textId="255A16F9" w:rsidR="009303D9" w:rsidRPr="00A269F7" w:rsidRDefault="00BD670B" w:rsidP="00E92325">
      <w:pPr>
        <w:pStyle w:val="Author"/>
        <w:spacing w:before="0pt" w:after="0pt"/>
        <w:rPr>
          <w:noProof w:val="0"/>
          <w:sz w:val="18"/>
          <w:szCs w:val="18"/>
          <w:lang w:val="en-GB"/>
        </w:rPr>
        <w:sectPr w:rsidR="009303D9" w:rsidRPr="00A269F7" w:rsidSect="003B4E04">
          <w:type w:val="continuous"/>
          <w:pgSz w:w="595.30pt" w:h="841.90pt" w:code="9"/>
          <w:pgMar w:top="22.50pt" w:right="44.65pt" w:bottom="72pt" w:left="44.65pt" w:header="36pt" w:footer="36pt" w:gutter="0pt"/>
          <w:cols w:num="3" w:space="36pt"/>
          <w:docGrid w:linePitch="360"/>
        </w:sectPr>
      </w:pPr>
      <w:r w:rsidRPr="00A269F7">
        <w:rPr>
          <w:noProof w:val="0"/>
          <w:lang w:val="en-GB"/>
        </w:rPr>
        <w:br w:type="column"/>
      </w:r>
    </w:p>
    <w:p w14:paraId="5970AAEF" w14:textId="2EAE81CD" w:rsidR="009303D9" w:rsidRPr="00A269F7" w:rsidRDefault="009303D9" w:rsidP="006B6B66">
      <w:pPr>
        <w:pStyle w:val="Heading1"/>
        <w:rPr>
          <w:noProof w:val="0"/>
        </w:rPr>
      </w:pPr>
      <w:r w:rsidRPr="00A269F7">
        <w:rPr>
          <w:noProof w:val="0"/>
        </w:rPr>
        <w:t xml:space="preserve">Introduction </w:t>
      </w:r>
    </w:p>
    <w:p w14:paraId="4C7F4586" w14:textId="77777777" w:rsidR="007B6A1E" w:rsidRPr="00A269F7" w:rsidRDefault="007B6A1E" w:rsidP="007B6A1E">
      <w:r w:rsidRPr="00A269F7">
        <w:t>This in-depth report examines the existing cyber threat landscape within the financial sector, emphasising the vulnerabilities arising from the prevalence of hybrid work environments, the widespread use of mobile devices, and the adoption of Software as a Service (SaaS) and cloud computing solutions. Considering the sensitive nature of the data handled by financial services firms, such as Vigilant Trust &amp; Asset Management (VTAM), these organisations have become prime targets for highly sophisticated, financially motivated cybercriminals. The value of the information managed, including personal financial details and investment data, makes these firms especially appealing to threat actors [1].</w:t>
      </w:r>
    </w:p>
    <w:p w14:paraId="499AFE18" w14:textId="77777777" w:rsidR="007B6A1E" w:rsidRPr="00A269F7" w:rsidRDefault="007B6A1E" w:rsidP="007B6A1E"/>
    <w:p w14:paraId="5A12C572" w14:textId="77777777" w:rsidR="007B6A1E" w:rsidRPr="00A269F7" w:rsidRDefault="007B6A1E" w:rsidP="007B6A1E">
      <w:r w:rsidRPr="00A269F7">
        <w:t>Recent attacks against VTAM have exposed important gaps in the current security posture. For example, a coordinated phishing campaign successfully bypassed organisational defences. VTAM also recently encountered an attempted ransomware attack aimed at data protection. These incidents demonstrate that the legacy approach, which relies on perimeter security, is no longer sufficient in a landscape where employees work from many locations and use a variety of devices to access company resources [2].</w:t>
      </w:r>
    </w:p>
    <w:p w14:paraId="1D2D8161" w14:textId="77777777" w:rsidR="007B6A1E" w:rsidRPr="00A269F7" w:rsidRDefault="007B6A1E" w:rsidP="007B6A1E"/>
    <w:p w14:paraId="579578E4" w14:textId="75C92D58" w:rsidR="00152A26" w:rsidRPr="00A269F7" w:rsidRDefault="007B6A1E" w:rsidP="007B6A1E">
      <w:r w:rsidRPr="00A269F7">
        <w:t>Considering these issues, the board has decided to adopt a Zero Trust security framework. This necessitates a new approach to protecting organisational systems and data, as risks can originate from both external and internal sources. The report outlines a clear plan with technical steps to meet established security standards, such as the NIST Cybersecurity Framework and ISO/IEC 27001 [3]. Implementation of these measures will strengthen defences and better protect sensitive information from emerging online threats [3].</w:t>
      </w:r>
    </w:p>
    <w:p w14:paraId="4F475777" w14:textId="76AD54ED" w:rsidR="00152A26" w:rsidRPr="00A269F7" w:rsidRDefault="00484B11" w:rsidP="00152A26">
      <w:pPr>
        <w:pStyle w:val="Heading1"/>
        <w:rPr>
          <w:noProof w:val="0"/>
        </w:rPr>
      </w:pPr>
      <w:r w:rsidRPr="00A269F7">
        <w:rPr>
          <w:noProof w:val="0"/>
        </w:rPr>
        <w:t>Identification of modern threats</w:t>
      </w:r>
    </w:p>
    <w:p w14:paraId="520D26E9" w14:textId="77777777" w:rsidR="006126E4" w:rsidRPr="00A269F7" w:rsidRDefault="006126E4" w:rsidP="00152A26">
      <w:pPr>
        <w:pStyle w:val="Heading3"/>
        <w:jc w:val="center"/>
        <w:rPr>
          <w:noProof w:val="0"/>
        </w:rPr>
      </w:pPr>
      <w:r w:rsidRPr="00A269F7">
        <w:rPr>
          <w:noProof w:val="0"/>
        </w:rPr>
        <w:t>Ransomware-as-a-Service (RaaS) &amp; Triple Extortion</w:t>
      </w:r>
    </w:p>
    <w:p w14:paraId="75C8F5F7" w14:textId="1F5FCDA9" w:rsidR="00502FAB" w:rsidRDefault="00DF0316" w:rsidP="006126E4">
      <w:r w:rsidRPr="00DF0316">
        <w:t>In 2026, the UK is the primary target for ransomware in Europe. Highly professionalised groups, such as Qilin and The Gentlemen, have advanced past simple encryption to “triple-extortion” tactics. These involve data exfiltration, DDoS attacks, and direct stakeholder harassment to maximise operational downtime and financial pressure [4].</w:t>
      </w:r>
    </w:p>
    <w:p w14:paraId="19EE63DA" w14:textId="77777777" w:rsidR="00DB1B73" w:rsidRPr="00A269F7" w:rsidRDefault="00DB1B73" w:rsidP="006126E4"/>
    <w:p w14:paraId="10D24F9D" w14:textId="77777777" w:rsidR="006126E4" w:rsidRPr="00A269F7" w:rsidRDefault="006126E4" w:rsidP="00152A26">
      <w:pPr>
        <w:pStyle w:val="Heading3"/>
        <w:jc w:val="center"/>
        <w:rPr>
          <w:noProof w:val="0"/>
        </w:rPr>
      </w:pPr>
      <w:r w:rsidRPr="00A269F7">
        <w:rPr>
          <w:noProof w:val="0"/>
        </w:rPr>
        <w:t>AI-Powered Social Engineering and Vishing</w:t>
      </w:r>
    </w:p>
    <w:p w14:paraId="6BD7E495" w14:textId="73150FEB" w:rsidR="00FC2C50" w:rsidRDefault="00DB1B73" w:rsidP="006126E4">
      <w:r w:rsidRPr="00DB1B73">
        <w:t>Generative AI has eliminated the “poor spelling” markers of traditional phishing. Attackers now use audio deepfakes to clone executive voices for Voice Phishing (vishing) campaigns. These clone-based requests often bypass standard identity checks because they sound entirely legitimate to employees. 2026 data show a massive surge in these attacks, which easily circumvent standard technical filters [5].</w:t>
      </w:r>
    </w:p>
    <w:p w14:paraId="7675D0F3" w14:textId="77777777" w:rsidR="00AA779F" w:rsidRPr="00A269F7" w:rsidRDefault="00AA779F" w:rsidP="006126E4"/>
    <w:p w14:paraId="45272BEE" w14:textId="4219D279" w:rsidR="006126E4" w:rsidRPr="00A269F7" w:rsidRDefault="006126E4" w:rsidP="00152A26">
      <w:pPr>
        <w:pStyle w:val="Heading3"/>
        <w:jc w:val="center"/>
        <w:rPr>
          <w:noProof w:val="0"/>
        </w:rPr>
      </w:pPr>
      <w:r w:rsidRPr="00A269F7">
        <w:rPr>
          <w:noProof w:val="0"/>
        </w:rPr>
        <w:t>Software Supply Chain Weaknesses</w:t>
      </w:r>
    </w:p>
    <w:p w14:paraId="6C84F899" w14:textId="71FC1B7F" w:rsidR="00693F5A" w:rsidRDefault="00AA779F" w:rsidP="006126E4">
      <w:r w:rsidRPr="00AA779F">
        <w:t>Supply chain attacks have fundamentally redefined the security perimeter. Attackers now target smaller, less secure contractors to gain backdoor access to hardened enterprises. The MOVEit Transfer breach demonstrated this risk: a single zero-day vulnerability compromised thousands of downstream organisations [6]. For VTAM, the threat surface extends to every external payment gateway, lawful partner, and cloud provider the firm integrates with [6].</w:t>
      </w:r>
    </w:p>
    <w:p w14:paraId="2249CD92" w14:textId="77777777" w:rsidR="00BF7B31" w:rsidRPr="00A269F7" w:rsidRDefault="00BF7B31" w:rsidP="006126E4"/>
    <w:p w14:paraId="71AB309D" w14:textId="0E2C2F5F" w:rsidR="00693F5A" w:rsidRPr="00A269F7" w:rsidRDefault="00693F5A" w:rsidP="00152A26">
      <w:pPr>
        <w:pStyle w:val="Heading3"/>
        <w:jc w:val="center"/>
        <w:rPr>
          <w:noProof w:val="0"/>
        </w:rPr>
      </w:pPr>
      <w:r w:rsidRPr="00A269F7">
        <w:rPr>
          <w:noProof w:val="0"/>
        </w:rPr>
        <w:t>Cloud and Hybrid Risks</w:t>
      </w:r>
    </w:p>
    <w:p w14:paraId="6D7B7807" w14:textId="62CCFBBF" w:rsidR="009303D9" w:rsidRPr="00A269F7" w:rsidRDefault="00BA0143" w:rsidP="00E7596C">
      <w:pPr>
        <w:pStyle w:val="BodyText"/>
        <w:rPr>
          <w:lang w:val="en-GB"/>
        </w:rPr>
      </w:pPr>
      <w:r w:rsidRPr="00BA0143">
        <w:rPr>
          <w:spacing w:val="0"/>
          <w:lang w:val="en-GB" w:eastAsia="en-US"/>
        </w:rPr>
        <w:t>Traditional security for SaaS environments like Microsoft 365 or Salesforce is no longer viable. This transition has created a “complexity gap” where fragmented tools lead to “configuration drift,” leaving sensitive data exposed [7]. Attackers have pivoted from “breaking in” to “logging in” using stolen credentials or hijacked sessions [7]. Closing these visibility gaps requires an identity-centric, cloud-native security model [7].</w:t>
      </w:r>
    </w:p>
    <w:p w14:paraId="3332BF3C" w14:textId="77777777" w:rsidR="00502FAB" w:rsidRPr="00A269F7" w:rsidRDefault="00502FAB" w:rsidP="00E7596C">
      <w:pPr>
        <w:pStyle w:val="BodyText"/>
        <w:rPr>
          <w:lang w:val="en-GB"/>
        </w:rPr>
      </w:pPr>
    </w:p>
    <w:p w14:paraId="5BA84793" w14:textId="77777777" w:rsidR="00502FAB" w:rsidRPr="00A269F7" w:rsidRDefault="00502FAB" w:rsidP="00E7596C">
      <w:pPr>
        <w:pStyle w:val="BodyText"/>
        <w:rPr>
          <w:lang w:val="en-GB"/>
        </w:rPr>
      </w:pPr>
    </w:p>
    <w:p w14:paraId="6BAAE2AD" w14:textId="573FFB3A" w:rsidR="009303D9" w:rsidRPr="00A269F7" w:rsidRDefault="00CC1915" w:rsidP="006B6B66">
      <w:pPr>
        <w:pStyle w:val="Heading1"/>
        <w:rPr>
          <w:noProof w:val="0"/>
        </w:rPr>
      </w:pPr>
      <w:r w:rsidRPr="00A269F7">
        <w:rPr>
          <w:noProof w:val="0"/>
        </w:rPr>
        <w:lastRenderedPageBreak/>
        <w:t>Modern Security Policies (Zero Trust)</w:t>
      </w:r>
    </w:p>
    <w:p w14:paraId="53C0DC5C" w14:textId="1ECC5689" w:rsidR="000F6D39" w:rsidRPr="00A269F7" w:rsidRDefault="00561F44" w:rsidP="0073295E">
      <w:r w:rsidRPr="00561F44">
        <w:t>VTAM must transition away from legacy “castle-and-moat” security. In a hybrid work environment, a network perimeter is insufficient. The board has mandated a switch to a Zero Trust Architecture (ZTA), predicated on the principle: “Never trust, always verify”. Following the NIST SP 800-207 framework [3], the focus shifts to protecting every user and device through three main principles:</w:t>
      </w:r>
    </w:p>
    <w:p w14:paraId="32C90F95" w14:textId="77777777" w:rsidR="00532B30" w:rsidRPr="00A269F7" w:rsidRDefault="000F6D39" w:rsidP="00532B30">
      <w:pPr>
        <w:keepNext/>
      </w:pPr>
      <w:r w:rsidRPr="00A269F7">
        <w:drawing>
          <wp:inline distT="0" distB="0" distL="0" distR="0" wp14:anchorId="1D437D1D" wp14:editId="036BDB94">
            <wp:extent cx="6426200" cy="2772410"/>
            <wp:effectExtent l="0" t="0" r="0" b="8890"/>
            <wp:docPr id="1216276941" name="Picture 2" descr="Put Privileged Access Management at the Core of NIST Zero Trust ..."/>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16" descr="Put Privileged Access Management at the Core of NIST Zero Trus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26200" cy="2772410"/>
                    </a:xfrm>
                    <a:prstGeom prst="rect">
                      <a:avLst/>
                    </a:prstGeom>
                    <a:noFill/>
                    <a:ln>
                      <a:noFill/>
                    </a:ln>
                  </pic:spPr>
                </pic:pic>
              </a:graphicData>
            </a:graphic>
          </wp:inline>
        </w:drawing>
      </w:r>
    </w:p>
    <w:p w14:paraId="3421A8BB" w14:textId="57136348" w:rsidR="000F6D39" w:rsidRPr="00A269F7" w:rsidRDefault="00532B30" w:rsidP="00532B30">
      <w:pPr>
        <w:pStyle w:val="Caption"/>
      </w:pPr>
      <w:r w:rsidRPr="00A269F7">
        <w:t>Fig</w:t>
      </w:r>
      <w:r w:rsidR="00FD7A5B">
        <w:t>.</w:t>
      </w:r>
      <w:r w:rsidRPr="00A269F7">
        <w:t xml:space="preserve"> </w:t>
      </w:r>
      <w:r w:rsidRPr="00A269F7">
        <w:fldChar w:fldCharType="begin"/>
      </w:r>
      <w:r w:rsidRPr="00A269F7">
        <w:instrText xml:space="preserve"> SEQ Figure \* ARABIC </w:instrText>
      </w:r>
      <w:r w:rsidRPr="00A269F7">
        <w:fldChar w:fldCharType="separate"/>
      </w:r>
      <w:r w:rsidR="00152A26" w:rsidRPr="00A269F7">
        <w:t>1</w:t>
      </w:r>
      <w:r w:rsidRPr="00A269F7">
        <w:fldChar w:fldCharType="end"/>
      </w:r>
      <w:r w:rsidR="00FD7A5B">
        <w:t>.</w:t>
      </w:r>
      <w:r w:rsidRPr="00A269F7">
        <w:t xml:space="preserve"> NIST SP 800-207 Zero Trust logical framework and supporting telemetry</w:t>
      </w:r>
      <w:r w:rsidR="00561F44">
        <w:t xml:space="preserve"> [3].</w:t>
      </w:r>
    </w:p>
    <w:p w14:paraId="685EC22D" w14:textId="77777777" w:rsidR="00E43543" w:rsidRPr="00A269F7" w:rsidRDefault="00E43543" w:rsidP="0073295E"/>
    <w:p w14:paraId="1ED134B4" w14:textId="15A23E7B" w:rsidR="002C39EC" w:rsidRPr="002C39EC" w:rsidRDefault="002C39EC" w:rsidP="001F07A0">
      <w:pPr>
        <w:pStyle w:val="equation"/>
        <w:rPr>
          <w:rFonts w:ascii="Times New Roman" w:hAnsi="Times New Roman" w:cs="Times New Roman"/>
        </w:rPr>
      </w:pPr>
      <w:r w:rsidRPr="002C39EC">
        <w:rPr>
          <w:rFonts w:ascii="Times New Roman" w:hAnsi="Times New Roman" w:cs="Times New Roman"/>
        </w:rPr>
        <w:t>Explicit Verification: Every access request is verified based on identity, device health, and geographic location [3].</w:t>
      </w:r>
    </w:p>
    <w:p w14:paraId="50AB04F4" w14:textId="317EA232" w:rsidR="002C39EC" w:rsidRPr="002C39EC" w:rsidRDefault="002C39EC" w:rsidP="001F07A0">
      <w:pPr>
        <w:pStyle w:val="equation"/>
        <w:rPr>
          <w:rFonts w:ascii="Times New Roman" w:hAnsi="Times New Roman" w:cs="Times New Roman"/>
        </w:rPr>
      </w:pPr>
      <w:r w:rsidRPr="002C39EC">
        <w:rPr>
          <w:rFonts w:ascii="Times New Roman" w:hAnsi="Times New Roman" w:cs="Times New Roman"/>
        </w:rPr>
        <w:t>Least Privilege Access: Employees are granted only the minimum access required for their specific role, restricting lateral movement in the event of an intrusion [3].</w:t>
      </w:r>
    </w:p>
    <w:p w14:paraId="679B543F" w14:textId="791D9039" w:rsidR="002C39EC" w:rsidRPr="002C39EC" w:rsidRDefault="002C39EC" w:rsidP="001F07A0">
      <w:pPr>
        <w:pStyle w:val="equation"/>
        <w:rPr>
          <w:rFonts w:ascii="Times New Roman" w:hAnsi="Times New Roman" w:cs="Times New Roman"/>
        </w:rPr>
      </w:pPr>
      <w:r w:rsidRPr="002C39EC">
        <w:rPr>
          <w:rFonts w:ascii="Times New Roman" w:hAnsi="Times New Roman" w:cs="Times New Roman"/>
        </w:rPr>
        <w:t>Assume Breach: End-to-end encryption and network micro-segmentation are utilised to limit the impact of potential security failures [3].</w:t>
      </w:r>
    </w:p>
    <w:p w14:paraId="4E2100B3" w14:textId="4CFBF324" w:rsidR="0073295E" w:rsidRPr="00A269F7" w:rsidRDefault="002C39EC" w:rsidP="002C39EC">
      <w:pPr>
        <w:pStyle w:val="equation"/>
        <w:rPr>
          <w:rFonts w:hint="eastAsia"/>
        </w:rPr>
      </w:pPr>
      <w:r w:rsidRPr="002C39EC">
        <w:rPr>
          <w:rFonts w:ascii="Times New Roman" w:hAnsi="Times New Roman" w:cs="Times New Roman"/>
        </w:rPr>
        <w:t>With this approach, stolen login credentials become ineffective without the presence of a person’s approved device.</w:t>
      </w:r>
    </w:p>
    <w:p w14:paraId="6324BED9" w14:textId="08B1C8A6" w:rsidR="00FD4219" w:rsidRPr="00A269F7" w:rsidRDefault="00FD4219">
      <w:pPr>
        <w:jc w:val="start"/>
        <w:rPr>
          <w:spacing w:val="-1"/>
          <w:lang w:eastAsia="x-none"/>
        </w:rPr>
      </w:pPr>
      <w:r w:rsidRPr="00A269F7">
        <w:br w:type="page"/>
      </w:r>
    </w:p>
    <w:p w14:paraId="276B48AB" w14:textId="77777777" w:rsidR="009303D9" w:rsidRPr="00A269F7" w:rsidRDefault="009303D9" w:rsidP="00E7596C">
      <w:pPr>
        <w:pStyle w:val="BodyText"/>
        <w:rPr>
          <w:lang w:val="en-GB"/>
        </w:rPr>
      </w:pPr>
    </w:p>
    <w:p w14:paraId="3E07F5FD" w14:textId="645204EB" w:rsidR="009303D9" w:rsidRPr="00A269F7" w:rsidRDefault="00A21FE7" w:rsidP="006B6B66">
      <w:pPr>
        <w:pStyle w:val="Heading1"/>
        <w:rPr>
          <w:noProof w:val="0"/>
        </w:rPr>
      </w:pPr>
      <w:r w:rsidRPr="00A269F7">
        <w:rPr>
          <w:noProof w:val="0"/>
        </w:rPr>
        <w:t>Technical Mitigation Measures</w:t>
      </w:r>
    </w:p>
    <w:p w14:paraId="1EEBA497" w14:textId="77777777" w:rsidR="00A73F19" w:rsidRPr="00A73F19" w:rsidRDefault="00A73F19" w:rsidP="00A73F19">
      <w:r w:rsidRPr="00A73F19">
        <w:t>To operationalise Zero Trust, three key safeguards are required:</w:t>
      </w:r>
    </w:p>
    <w:p w14:paraId="5115F059" w14:textId="3AE69418" w:rsidR="00A73F19" w:rsidRDefault="00A73F19" w:rsidP="00EB03DA">
      <w:pPr>
        <w:ind w:start="18pt"/>
      </w:pPr>
      <w:r w:rsidRPr="00EB03DA">
        <w:t xml:space="preserve">Phishing-Resistant MFA (FIDO2): SMS codes are considered unreliable as they can be intercepted or manipulated. VTAM will require hardware security keys (e.g., YubiKeys) or strong biometrics [8]. Research indicates </w:t>
      </w:r>
      <w:r w:rsidRPr="00EB03DA">
        <w:t>that these steps significantly reduce breach risk</w:t>
      </w:r>
      <w:r w:rsidRPr="00EB03DA">
        <w:t xml:space="preserve"> and provide cost savings by preventing credential theft [9].</w:t>
      </w:r>
    </w:p>
    <w:p w14:paraId="2C43D944" w14:textId="77777777" w:rsidR="00EB03DA" w:rsidRPr="00EB03DA" w:rsidRDefault="00EB03DA" w:rsidP="00EB03DA">
      <w:pPr>
        <w:ind w:start="18pt"/>
      </w:pPr>
    </w:p>
    <w:p w14:paraId="51B268B6" w14:textId="77777777" w:rsidR="00A73F19" w:rsidRDefault="00A73F19" w:rsidP="00EB03DA">
      <w:pPr>
        <w:ind w:start="18pt"/>
      </w:pPr>
      <w:r w:rsidRPr="00EB03DA">
        <w:t>Extended Detection and Response (XDR): Signature-based antivirus is ineffective against zero-day payloads. XDR monitors behaviour across laptops, servers, and cloud environments, automatically isolating devices that exhibit unauthorised encryption. An IBM report confirms that XDR reduces breach containment times by nearly a month, potentially saving millions in fines [6].</w:t>
      </w:r>
    </w:p>
    <w:p w14:paraId="60AFC9C5" w14:textId="77777777" w:rsidR="00D830BB" w:rsidRPr="00EB03DA" w:rsidRDefault="00D830BB" w:rsidP="00EB03DA">
      <w:pPr>
        <w:ind w:start="18pt"/>
      </w:pPr>
    </w:p>
    <w:p w14:paraId="4467FAEA" w14:textId="77777777" w:rsidR="00A73F19" w:rsidRPr="00EB03DA" w:rsidRDefault="00A73F19" w:rsidP="00EB03DA">
      <w:pPr>
        <w:ind w:start="18pt"/>
      </w:pPr>
      <w:r w:rsidRPr="00EB03DA">
        <w:t>Secure Access Service Edge (SASE): Legacy VPNs often grant excessive network access. SASE allows remote employees to connect directly to required applications via a cloud-based service, reducing unnecessary exposure and accelerating threat response [10].</w:t>
      </w:r>
    </w:p>
    <w:p w14:paraId="46FBAFA1" w14:textId="77777777" w:rsidR="00A536EE" w:rsidRPr="00A269F7" w:rsidRDefault="00A536EE" w:rsidP="00A536EE"/>
    <w:p w14:paraId="31EDDF6A" w14:textId="77777777" w:rsidR="00152A26" w:rsidRPr="00A269F7" w:rsidRDefault="00FD4219" w:rsidP="00152A26">
      <w:pPr>
        <w:keepNext/>
      </w:pPr>
      <w:r w:rsidRPr="00A269F7">
        <w:drawing>
          <wp:inline distT="0" distB="0" distL="0" distR="0" wp14:anchorId="2E4FE034" wp14:editId="59CFA315">
            <wp:extent cx="6426200" cy="3534410"/>
            <wp:effectExtent l="0" t="0" r="0" b="8890"/>
            <wp:docPr id="1210170492" name="Picture 3" descr="SASE architecture | FortiSASE 24.1.35 | Fortinet Document Library"/>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18" descr="SASE architecture | FortiSASE 24.1.35 | Fortinet Document Libra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26200" cy="3534410"/>
                    </a:xfrm>
                    <a:prstGeom prst="rect">
                      <a:avLst/>
                    </a:prstGeom>
                    <a:noFill/>
                    <a:ln>
                      <a:noFill/>
                    </a:ln>
                  </pic:spPr>
                </pic:pic>
              </a:graphicData>
            </a:graphic>
          </wp:inline>
        </w:drawing>
      </w:r>
    </w:p>
    <w:p w14:paraId="4980F1BB" w14:textId="337489E5" w:rsidR="0087310F" w:rsidRPr="00A269F7" w:rsidRDefault="00152A26" w:rsidP="00152A26">
      <w:pPr>
        <w:pStyle w:val="Caption"/>
      </w:pPr>
      <w:r w:rsidRPr="00A269F7">
        <w:t>Fig</w:t>
      </w:r>
      <w:r w:rsidR="00C921EF">
        <w:t>.</w:t>
      </w:r>
      <w:r w:rsidRPr="00A269F7">
        <w:t xml:space="preserve"> </w:t>
      </w:r>
      <w:r w:rsidRPr="00A269F7">
        <w:fldChar w:fldCharType="begin"/>
      </w:r>
      <w:r w:rsidRPr="00A269F7">
        <w:instrText xml:space="preserve"> SEQ Figure \* ARABIC </w:instrText>
      </w:r>
      <w:r w:rsidRPr="00A269F7">
        <w:fldChar w:fldCharType="separate"/>
      </w:r>
      <w:r w:rsidRPr="00A269F7">
        <w:t>2</w:t>
      </w:r>
      <w:r w:rsidRPr="00A269F7">
        <w:fldChar w:fldCharType="end"/>
      </w:r>
      <w:r w:rsidR="00C921EF">
        <w:t>.</w:t>
      </w:r>
      <w:r w:rsidRPr="00A269F7">
        <w:t xml:space="preserve"> Proposed SASE architecture for VTAM’s cloud-delivered security services</w:t>
      </w:r>
      <w:r w:rsidR="003D1B5E">
        <w:t xml:space="preserve"> [10]</w:t>
      </w:r>
      <w:r w:rsidR="00D0526D" w:rsidRPr="00A269F7">
        <w:t>.</w:t>
      </w:r>
    </w:p>
    <w:p w14:paraId="7D693134" w14:textId="77777777" w:rsidR="0087310F" w:rsidRPr="00A269F7" w:rsidRDefault="0087310F">
      <w:pPr>
        <w:jc w:val="start"/>
      </w:pPr>
      <w:r w:rsidRPr="00A269F7">
        <w:br w:type="page"/>
      </w:r>
    </w:p>
    <w:p w14:paraId="2636E49D" w14:textId="77777777" w:rsidR="003C3524" w:rsidRPr="00A269F7" w:rsidRDefault="003C3524" w:rsidP="00A536EE"/>
    <w:p w14:paraId="62508B62" w14:textId="0822A736" w:rsidR="00A536EE" w:rsidRPr="00A269F7" w:rsidRDefault="00A536EE" w:rsidP="0041387D">
      <w:pPr>
        <w:pStyle w:val="Heading1"/>
        <w:rPr>
          <w:noProof w:val="0"/>
        </w:rPr>
      </w:pPr>
      <w:r w:rsidRPr="00A269F7">
        <w:rPr>
          <w:noProof w:val="0"/>
        </w:rPr>
        <w:t xml:space="preserve"> Monitoring &amp; Incident Response</w:t>
      </w:r>
    </w:p>
    <w:p w14:paraId="455E5F9B" w14:textId="77777777" w:rsidR="00E3211D" w:rsidRDefault="00E3211D" w:rsidP="00E3211D">
      <w:r w:rsidRPr="00E3211D">
        <w:t>Technical defences must be paired with proactive containment. The global median “dwell time” is currently 14 days [11]. VTAM must close this “speed gap” by migrating to Managed Detection and Response (MDR) and automated playbooks [12].</w:t>
      </w:r>
    </w:p>
    <w:p w14:paraId="27023E5B" w14:textId="77777777" w:rsidR="00955609" w:rsidRPr="00E3211D" w:rsidRDefault="00955609" w:rsidP="00E3211D"/>
    <w:p w14:paraId="508696EC" w14:textId="235F9AB4" w:rsidR="00E3211D" w:rsidRPr="00955609" w:rsidRDefault="00955609" w:rsidP="00E3211D">
      <w:pPr>
        <w:numPr>
          <w:ilvl w:val="0"/>
          <w:numId w:val="30"/>
        </w:numPr>
      </w:pPr>
      <w:r w:rsidRPr="00955609">
        <w:t>Continuous Behavioural Monitoring: 24/7 correlation of disparate events across cloud and on-premises systems [12].</w:t>
      </w:r>
    </w:p>
    <w:p w14:paraId="67724044" w14:textId="77777777" w:rsidR="00955609" w:rsidRPr="00E3211D" w:rsidRDefault="00955609" w:rsidP="00955609">
      <w:pPr>
        <w:ind w:start="36pt"/>
        <w:jc w:val="both"/>
      </w:pPr>
    </w:p>
    <w:p w14:paraId="5658BEDD" w14:textId="066779DC" w:rsidR="00E3211D" w:rsidRPr="00955609" w:rsidRDefault="00955609" w:rsidP="00E3211D">
      <w:pPr>
        <w:numPr>
          <w:ilvl w:val="0"/>
          <w:numId w:val="30"/>
        </w:numPr>
      </w:pPr>
      <w:r w:rsidRPr="00955609">
        <w:t>Automated Response Playbooks: Pre-approved digital responses for 2026-specific scenarios (e.g., a SaaS takeover). If a compromise is detected, the system will automatically revoke session tokens within minutes [12].</w:t>
      </w:r>
    </w:p>
    <w:p w14:paraId="33EA1A63" w14:textId="77777777" w:rsidR="00955609" w:rsidRPr="00E3211D" w:rsidRDefault="00955609" w:rsidP="003D1B5E">
      <w:pPr>
        <w:ind w:start="36pt"/>
        <w:jc w:val="both"/>
      </w:pPr>
    </w:p>
    <w:p w14:paraId="259F0A0A" w14:textId="5CF1420F" w:rsidR="00E3211D" w:rsidRPr="00955609" w:rsidRDefault="00955609" w:rsidP="00E3211D">
      <w:pPr>
        <w:numPr>
          <w:ilvl w:val="0"/>
          <w:numId w:val="30"/>
        </w:numPr>
      </w:pPr>
      <w:r w:rsidRPr="00955609">
        <w:t>MDR Impact: Active MDR can reduce dwell times from weeks to under 24 minutes [13], preventing minor incidents from escalating into full-scale regulatory breaches [13].</w:t>
      </w:r>
    </w:p>
    <w:p w14:paraId="0753894F" w14:textId="77777777" w:rsidR="00156A58" w:rsidRPr="00A269F7" w:rsidRDefault="00156A58" w:rsidP="00A536EE"/>
    <w:p w14:paraId="1CFCE37F" w14:textId="77777777" w:rsidR="008557F3" w:rsidRPr="00A269F7" w:rsidRDefault="003936D6" w:rsidP="008557F3">
      <w:pPr>
        <w:keepNext/>
      </w:pPr>
      <w:r w:rsidRPr="00A269F7">
        <w:drawing>
          <wp:inline distT="0" distB="0" distL="0" distR="0" wp14:anchorId="63432496" wp14:editId="79819113">
            <wp:extent cx="4229100" cy="2184453"/>
            <wp:effectExtent l="0" t="0" r="0" b="6350"/>
            <wp:docPr id="120570647"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20570647" name=""/>
                    <pic:cNvPicPr/>
                  </pic:nvPicPr>
                  <pic:blipFill>
                    <a:blip r:embed="rId11"/>
                    <a:stretch>
                      <a:fillRect/>
                    </a:stretch>
                  </pic:blipFill>
                  <pic:spPr>
                    <a:xfrm>
                      <a:off x="0" y="0"/>
                      <a:ext cx="4258714" cy="2199749"/>
                    </a:xfrm>
                    <a:prstGeom prst="rect">
                      <a:avLst/>
                    </a:prstGeom>
                  </pic:spPr>
                </pic:pic>
              </a:graphicData>
            </a:graphic>
          </wp:inline>
        </w:drawing>
      </w:r>
    </w:p>
    <w:p w14:paraId="65EC9D06" w14:textId="7DBEEBB2" w:rsidR="003936D6" w:rsidRPr="00A269F7" w:rsidRDefault="008557F3" w:rsidP="008557F3">
      <w:pPr>
        <w:pStyle w:val="Caption"/>
      </w:pPr>
      <w:r w:rsidRPr="00A269F7">
        <w:t>Fig</w:t>
      </w:r>
      <w:r w:rsidR="00C921EF">
        <w:t>.</w:t>
      </w:r>
      <w:r w:rsidRPr="00A269F7">
        <w:t xml:space="preserve"> </w:t>
      </w:r>
      <w:r w:rsidRPr="00A269F7">
        <w:fldChar w:fldCharType="begin"/>
      </w:r>
      <w:r w:rsidRPr="00A269F7">
        <w:instrText xml:space="preserve"> SEQ Figure \* ARABIC </w:instrText>
      </w:r>
      <w:r w:rsidRPr="00A269F7">
        <w:fldChar w:fldCharType="separate"/>
      </w:r>
      <w:r w:rsidR="00152A26" w:rsidRPr="00A269F7">
        <w:t>3</w:t>
      </w:r>
      <w:r w:rsidRPr="00A269F7">
        <w:fldChar w:fldCharType="end"/>
      </w:r>
      <w:r w:rsidR="00C921EF">
        <w:t>.</w:t>
      </w:r>
      <w:r w:rsidRPr="00A269F7">
        <w:t xml:space="preserve"> Modern SOAR workflow: From alert ingestion to post-incident resolution</w:t>
      </w:r>
      <w:r w:rsidR="00891AF1">
        <w:t xml:space="preserve"> [</w:t>
      </w:r>
      <w:r w:rsidR="00840750">
        <w:t>12]</w:t>
      </w:r>
      <w:r w:rsidR="00D0526D" w:rsidRPr="00A269F7">
        <w:t>.</w:t>
      </w:r>
    </w:p>
    <w:p w14:paraId="46A646CE" w14:textId="5C596783" w:rsidR="00A536EE" w:rsidRPr="00A269F7" w:rsidRDefault="00A536EE" w:rsidP="00C64AC6"/>
    <w:p w14:paraId="2739794B" w14:textId="77777777" w:rsidR="00156A58" w:rsidRPr="00A269F7" w:rsidRDefault="00156A58" w:rsidP="00C64AC6"/>
    <w:p w14:paraId="24773AFD" w14:textId="01FC9755" w:rsidR="00C64AC6" w:rsidRPr="00A269F7" w:rsidRDefault="009D4506" w:rsidP="002551EF">
      <w:pPr>
        <w:pStyle w:val="Heading1"/>
        <w:rPr>
          <w:noProof w:val="0"/>
        </w:rPr>
      </w:pPr>
      <w:r w:rsidRPr="00A269F7">
        <w:rPr>
          <w:noProof w:val="0"/>
        </w:rPr>
        <w:t>Continuous Training and Awareness</w:t>
      </w:r>
    </w:p>
    <w:p w14:paraId="5D1D6724" w14:textId="77777777" w:rsidR="00E947F0" w:rsidRDefault="00E947F0" w:rsidP="00E947F0">
      <w:r w:rsidRPr="00E947F0">
        <w:t>2026 SANS research confirms a 60% “capability gap,” with staff lacking the skills to identify AI-generated threats [14]. VTAM will shift to Constant Security Awareness Training (CSAT):</w:t>
      </w:r>
    </w:p>
    <w:p w14:paraId="2602EAD3" w14:textId="77777777" w:rsidR="00E947F0" w:rsidRPr="00E947F0" w:rsidRDefault="00E947F0" w:rsidP="00E947F0"/>
    <w:p w14:paraId="4C0AB442" w14:textId="77777777" w:rsidR="00E947F0" w:rsidRPr="00EB03DA" w:rsidRDefault="00E947F0" w:rsidP="00E947F0">
      <w:pPr>
        <w:numPr>
          <w:ilvl w:val="0"/>
          <w:numId w:val="31"/>
        </w:numPr>
      </w:pPr>
      <w:r w:rsidRPr="00EB03DA">
        <w:t>Simulation-Based Learning: Unannounced AI-vishing and “quishing” (QR code phishing) simulations to maintain employee vigilance [14].</w:t>
      </w:r>
    </w:p>
    <w:p w14:paraId="5BEA9AB4" w14:textId="77777777" w:rsidR="00E947F0" w:rsidRPr="00EB03DA" w:rsidRDefault="00E947F0" w:rsidP="00E947F0">
      <w:pPr>
        <w:ind w:start="36pt"/>
        <w:jc w:val="both"/>
      </w:pPr>
    </w:p>
    <w:p w14:paraId="51B21C32" w14:textId="0042812C" w:rsidR="00E947F0" w:rsidRPr="00EB03DA" w:rsidRDefault="00E947F0" w:rsidP="00E947F0">
      <w:pPr>
        <w:numPr>
          <w:ilvl w:val="0"/>
          <w:numId w:val="31"/>
        </w:numPr>
      </w:pPr>
      <w:r w:rsidRPr="00EB03DA">
        <w:t>Just-in-Time Training: Immediate feedback is provided to employees who fail simulations [14]</w:t>
      </w:r>
    </w:p>
    <w:p w14:paraId="2603F108" w14:textId="77777777" w:rsidR="00E947F0" w:rsidRPr="00EB03DA" w:rsidRDefault="00E947F0" w:rsidP="00E947F0">
      <w:pPr>
        <w:ind w:start="36pt"/>
        <w:jc w:val="both"/>
      </w:pPr>
    </w:p>
    <w:p w14:paraId="38F08A4C" w14:textId="77777777" w:rsidR="00E947F0" w:rsidRPr="00EB03DA" w:rsidRDefault="00E947F0" w:rsidP="00E947F0">
      <w:pPr>
        <w:numPr>
          <w:ilvl w:val="0"/>
          <w:numId w:val="31"/>
        </w:numPr>
      </w:pPr>
      <w:r w:rsidRPr="00EB03DA">
        <w:t>Security Culture: Transitioning security from a compliance exercise to a core organisational value with board-level ownership [14].</w:t>
      </w:r>
    </w:p>
    <w:p w14:paraId="3EAF6A7A" w14:textId="77777777" w:rsidR="002551EF" w:rsidRPr="00A269F7" w:rsidRDefault="002551EF" w:rsidP="00A536EE"/>
    <w:p w14:paraId="4B8233CD" w14:textId="7136D958" w:rsidR="00734BCA" w:rsidRDefault="00734BCA">
      <w:pPr>
        <w:jc w:val="start"/>
      </w:pPr>
      <w:r>
        <w:br w:type="page"/>
      </w:r>
    </w:p>
    <w:p w14:paraId="603D0505" w14:textId="77777777" w:rsidR="006D4D6C" w:rsidRPr="00A269F7" w:rsidRDefault="006D4D6C" w:rsidP="00A536EE"/>
    <w:p w14:paraId="7EED1066" w14:textId="77777777" w:rsidR="006D4D6C" w:rsidRPr="00A269F7" w:rsidRDefault="006D4D6C" w:rsidP="006D4D6C">
      <w:pPr>
        <w:pStyle w:val="Heading1"/>
        <w:rPr>
          <w:noProof w:val="0"/>
        </w:rPr>
      </w:pPr>
      <w:r w:rsidRPr="00A269F7">
        <w:rPr>
          <w:noProof w:val="0"/>
        </w:rPr>
        <w:t>Conclusion</w:t>
      </w:r>
    </w:p>
    <w:p w14:paraId="1F5819F9" w14:textId="77777777" w:rsidR="00734BCA" w:rsidRPr="00734BCA" w:rsidRDefault="00734BCA" w:rsidP="00734BCA">
      <w:pPr>
        <w:pStyle w:val="BodyText"/>
        <w:rPr>
          <w:lang w:val="en-GB"/>
        </w:rPr>
      </w:pPr>
      <w:r w:rsidRPr="00734BCA">
        <w:rPr>
          <w:lang w:val="en-GB"/>
        </w:rPr>
        <w:t>Transitioning to a Zero Trust security model is crucial for VTAM as the firm navigates the complexities of evolving cybersecurity threats in the 2026 digital landscape. Traditional perimeter defences are inadequate; therefore, the focus is shifting to identity-centric security measures that prioritise verifying every user and device, irrespective of geographical location [3].</w:t>
      </w:r>
    </w:p>
    <w:p w14:paraId="11E91976" w14:textId="77777777" w:rsidR="00734BCA" w:rsidRPr="00734BCA" w:rsidRDefault="00734BCA" w:rsidP="00734BCA">
      <w:pPr>
        <w:pStyle w:val="BodyText"/>
        <w:rPr>
          <w:lang w:val="en-GB"/>
        </w:rPr>
      </w:pPr>
    </w:p>
    <w:p w14:paraId="36827997" w14:textId="77777777" w:rsidR="00734BCA" w:rsidRPr="00734BCA" w:rsidRDefault="00734BCA" w:rsidP="00734BCA">
      <w:pPr>
        <w:pStyle w:val="BodyText"/>
        <w:rPr>
          <w:lang w:val="en-GB"/>
        </w:rPr>
      </w:pPr>
      <w:r w:rsidRPr="00734BCA">
        <w:rPr>
          <w:lang w:val="en-GB"/>
        </w:rPr>
        <w:t>A fundamental component of this transition is implementing FIDO2 multi-factor authentication (MFA). This technology enhances the security framework by requiring hardware-based security keys, providing a robust layer of protection against unauthorised access [8]. This hardware reliance minimises the risk of phishing and credential theft, ensuring that only verified users gain entry to sensitive systems [9].</w:t>
      </w:r>
    </w:p>
    <w:p w14:paraId="467F78C3" w14:textId="77777777" w:rsidR="00734BCA" w:rsidRPr="00734BCA" w:rsidRDefault="00734BCA" w:rsidP="00734BCA">
      <w:pPr>
        <w:pStyle w:val="BodyText"/>
        <w:rPr>
          <w:lang w:val="en-GB"/>
        </w:rPr>
      </w:pPr>
    </w:p>
    <w:p w14:paraId="2348A1B1" w14:textId="77777777" w:rsidR="00734BCA" w:rsidRPr="00734BCA" w:rsidRDefault="00734BCA" w:rsidP="00734BCA">
      <w:pPr>
        <w:pStyle w:val="BodyText"/>
        <w:rPr>
          <w:lang w:val="en-GB"/>
        </w:rPr>
      </w:pPr>
      <w:r w:rsidRPr="00734BCA">
        <w:rPr>
          <w:lang w:val="en-GB"/>
        </w:rPr>
        <w:t>In conjunction with FIDO2 MFA, Extended Detection and Response (XDR) technologies will be deployed. XDR provides a comprehensive view of the security ecosystem, facilitating real-time monitoring and analysis of potential threats across multiple data sources [6]. This integrated approach enables swift identification of security incidents and supports automated response strategies through tailored playbooks [12]. These playbooks expedite response times, reducing the potential impact of threats on operations.</w:t>
      </w:r>
    </w:p>
    <w:p w14:paraId="346FB667" w14:textId="77777777" w:rsidR="00734BCA" w:rsidRPr="00734BCA" w:rsidRDefault="00734BCA" w:rsidP="00734BCA">
      <w:pPr>
        <w:pStyle w:val="BodyText"/>
        <w:rPr>
          <w:lang w:val="en-GB"/>
        </w:rPr>
      </w:pPr>
    </w:p>
    <w:p w14:paraId="37F6FF91" w14:textId="3CB5629D" w:rsidR="005726AA" w:rsidRDefault="00734BCA" w:rsidP="00734BCA">
      <w:pPr>
        <w:pStyle w:val="BodyText"/>
        <w:rPr>
          <w:lang w:val="en-GB"/>
        </w:rPr>
      </w:pPr>
      <w:r w:rsidRPr="00734BCA">
        <w:rPr>
          <w:lang w:val="en-GB"/>
        </w:rPr>
        <w:t>By adhering to this strategic roadmap, VTAM is well-positioned to confront the dynamic threats anticipated by 2026. Proactive measures will strengthen the internal security posture and ensure that systems evolve in tandem with modern operational practices. Ultimately, this commitment to advanced security protocols is vital to protecting organisational reputation and safeguarding client assets.</w:t>
      </w:r>
    </w:p>
    <w:p w14:paraId="4DD92482" w14:textId="1E5A7EF2" w:rsidR="00734BCA" w:rsidRDefault="00734BCA">
      <w:pPr>
        <w:jc w:val="start"/>
        <w:rPr>
          <w:spacing w:val="-1"/>
          <w:lang w:eastAsia="x-none"/>
        </w:rPr>
      </w:pPr>
      <w:r>
        <w:br w:type="page"/>
      </w:r>
    </w:p>
    <w:p w14:paraId="10C4DD16" w14:textId="77777777" w:rsidR="00734BCA" w:rsidRPr="00A269F7" w:rsidRDefault="00734BCA" w:rsidP="00734BCA">
      <w:pPr>
        <w:pStyle w:val="BodyText"/>
        <w:rPr>
          <w:lang w:val="en-GB"/>
        </w:rPr>
      </w:pPr>
    </w:p>
    <w:p w14:paraId="2C9ABAD6" w14:textId="77777777" w:rsidR="009303D9" w:rsidRPr="00A269F7" w:rsidRDefault="009303D9" w:rsidP="00A059B3">
      <w:pPr>
        <w:pStyle w:val="Heading5"/>
        <w:rPr>
          <w:noProof w:val="0"/>
        </w:rPr>
      </w:pPr>
      <w:r w:rsidRPr="00A269F7">
        <w:rPr>
          <w:noProof w:val="0"/>
        </w:rPr>
        <w:t>References</w:t>
      </w:r>
    </w:p>
    <w:p w14:paraId="49B8EA5B" w14:textId="6FE817DC" w:rsidR="008F495F" w:rsidRPr="00A269F7" w:rsidRDefault="008F495F" w:rsidP="005726AA">
      <w:pPr>
        <w:pStyle w:val="references"/>
        <w:numPr>
          <w:ilvl w:val="0"/>
          <w:numId w:val="0"/>
        </w:numPr>
        <w:ind w:start="18pt"/>
        <w:rPr>
          <w:noProof w:val="0"/>
          <w:lang w:val="en-GB"/>
        </w:rPr>
      </w:pPr>
      <w:r w:rsidRPr="00A269F7">
        <w:rPr>
          <w:noProof w:val="0"/>
          <w:lang w:val="en-GB"/>
        </w:rPr>
        <w:t xml:space="preserve">[1] Verizon, "2025 data breach investigations report," Verizon Business, 2025. [Online]. Available: </w:t>
      </w:r>
      <w:hyperlink r:id="rId12" w:history="1">
        <w:r w:rsidR="00B660D2" w:rsidRPr="00A269F7">
          <w:rPr>
            <w:rStyle w:val="Hyperlink"/>
            <w:noProof w:val="0"/>
            <w:lang w:val="en-GB"/>
          </w:rPr>
          <w:t>https://www.verizon.com/business/resources/reports/dbir/</w:t>
        </w:r>
      </w:hyperlink>
    </w:p>
    <w:p w14:paraId="3373DE0C" w14:textId="77777777" w:rsidR="00B660D2" w:rsidRPr="00A269F7" w:rsidRDefault="00B660D2" w:rsidP="005726AA">
      <w:pPr>
        <w:pStyle w:val="references"/>
        <w:numPr>
          <w:ilvl w:val="0"/>
          <w:numId w:val="0"/>
        </w:numPr>
        <w:ind w:start="18pt"/>
        <w:rPr>
          <w:noProof w:val="0"/>
          <w:lang w:val="en-GB"/>
        </w:rPr>
      </w:pPr>
    </w:p>
    <w:p w14:paraId="560381D2" w14:textId="2D876CAA" w:rsidR="008F495F" w:rsidRPr="00A269F7" w:rsidRDefault="008F495F" w:rsidP="005726AA">
      <w:pPr>
        <w:pStyle w:val="references"/>
        <w:numPr>
          <w:ilvl w:val="0"/>
          <w:numId w:val="0"/>
        </w:numPr>
        <w:ind w:start="18pt"/>
        <w:rPr>
          <w:noProof w:val="0"/>
          <w:lang w:val="en-GB"/>
        </w:rPr>
      </w:pPr>
      <w:r w:rsidRPr="00A269F7">
        <w:rPr>
          <w:noProof w:val="0"/>
          <w:lang w:val="en-GB"/>
        </w:rPr>
        <w:t xml:space="preserve">[2] National Cyber Security Centre (NCSC), "Annual Review 2025," 2025. [Online]. Available: </w:t>
      </w:r>
      <w:hyperlink r:id="rId13" w:history="1">
        <w:r w:rsidR="00794AF6" w:rsidRPr="00A269F7">
          <w:rPr>
            <w:rStyle w:val="Hyperlink"/>
            <w:noProof w:val="0"/>
            <w:lang w:val="en-GB"/>
          </w:rPr>
          <w:t>https://www.ncsc.gov.uk/collection/ncsc-annual-review-2025</w:t>
        </w:r>
      </w:hyperlink>
    </w:p>
    <w:p w14:paraId="18C8BA34" w14:textId="77777777" w:rsidR="00794AF6" w:rsidRPr="00A269F7" w:rsidRDefault="00794AF6" w:rsidP="00794AF6">
      <w:pPr>
        <w:pStyle w:val="references"/>
        <w:numPr>
          <w:ilvl w:val="0"/>
          <w:numId w:val="0"/>
        </w:numPr>
        <w:ind w:start="18pt" w:hanging="18pt"/>
        <w:rPr>
          <w:noProof w:val="0"/>
          <w:lang w:val="en-GB"/>
        </w:rPr>
      </w:pPr>
    </w:p>
    <w:p w14:paraId="3EB5520A" w14:textId="64CCE88D" w:rsidR="00771FD1" w:rsidRPr="00A269F7" w:rsidRDefault="008F495F" w:rsidP="00771FD1">
      <w:pPr>
        <w:pStyle w:val="references"/>
        <w:numPr>
          <w:ilvl w:val="0"/>
          <w:numId w:val="0"/>
        </w:numPr>
        <w:ind w:firstLine="18pt"/>
        <w:rPr>
          <w:noProof w:val="0"/>
          <w:lang w:val="en-GB"/>
        </w:rPr>
      </w:pPr>
      <w:r w:rsidRPr="00A269F7">
        <w:rPr>
          <w:noProof w:val="0"/>
          <w:lang w:val="en-GB"/>
        </w:rPr>
        <w:t xml:space="preserve">[3] S. Rose et al., "Zero trust architecture," NIST SP 800-207, 2020. [Online]. Available: </w:t>
      </w:r>
      <w:hyperlink r:id="rId14" w:history="1">
        <w:r w:rsidR="00073B4A" w:rsidRPr="00A269F7">
          <w:rPr>
            <w:rStyle w:val="Hyperlink"/>
            <w:noProof w:val="0"/>
            <w:lang w:val="en-GB"/>
          </w:rPr>
          <w:t>https://csrc.nist.gov/pubs/sp/800/207/final</w:t>
        </w:r>
      </w:hyperlink>
    </w:p>
    <w:p w14:paraId="52965ED0" w14:textId="77777777" w:rsidR="00073B4A" w:rsidRPr="00A269F7" w:rsidRDefault="00073B4A" w:rsidP="005726AA">
      <w:pPr>
        <w:pStyle w:val="references"/>
        <w:numPr>
          <w:ilvl w:val="0"/>
          <w:numId w:val="0"/>
        </w:numPr>
        <w:ind w:start="18pt"/>
        <w:rPr>
          <w:noProof w:val="0"/>
          <w:lang w:val="en-GB"/>
        </w:rPr>
      </w:pPr>
    </w:p>
    <w:p w14:paraId="6B971F31" w14:textId="223CCB5C" w:rsidR="008F495F" w:rsidRPr="00A269F7" w:rsidRDefault="008F495F" w:rsidP="005726AA">
      <w:pPr>
        <w:pStyle w:val="references"/>
        <w:numPr>
          <w:ilvl w:val="0"/>
          <w:numId w:val="0"/>
        </w:numPr>
        <w:ind w:start="18pt"/>
        <w:rPr>
          <w:noProof w:val="0"/>
          <w:lang w:val="en-GB"/>
        </w:rPr>
      </w:pPr>
      <w:r w:rsidRPr="00A269F7">
        <w:rPr>
          <w:noProof w:val="0"/>
          <w:lang w:val="en-GB"/>
        </w:rPr>
        <w:t xml:space="preserve">[4] Cyble, "UK Leads Europe Ransomware Attacks: Cyble Q1 2026 Report," 2026. [Online]. Available: </w:t>
      </w:r>
      <w:hyperlink r:id="rId15" w:history="1">
        <w:r w:rsidR="00073B4A" w:rsidRPr="00A269F7">
          <w:rPr>
            <w:rStyle w:val="Hyperlink"/>
            <w:noProof w:val="0"/>
            <w:lang w:val="en-GB"/>
          </w:rPr>
          <w:t>https://cyble.com/press/uk-leads-europe-ransomware-attacks-cyble-q1-2026-report/</w:t>
        </w:r>
      </w:hyperlink>
    </w:p>
    <w:p w14:paraId="4FDC4D2D" w14:textId="77777777" w:rsidR="00073B4A" w:rsidRPr="00A269F7" w:rsidRDefault="00073B4A" w:rsidP="005726AA">
      <w:pPr>
        <w:pStyle w:val="references"/>
        <w:numPr>
          <w:ilvl w:val="0"/>
          <w:numId w:val="0"/>
        </w:numPr>
        <w:ind w:start="18pt"/>
        <w:rPr>
          <w:noProof w:val="0"/>
          <w:lang w:val="en-GB"/>
        </w:rPr>
      </w:pPr>
    </w:p>
    <w:p w14:paraId="1F949E01" w14:textId="1C0A8002" w:rsidR="008F495F" w:rsidRPr="00A269F7" w:rsidRDefault="008F495F" w:rsidP="004E16FC">
      <w:pPr>
        <w:pStyle w:val="references"/>
        <w:numPr>
          <w:ilvl w:val="0"/>
          <w:numId w:val="0"/>
        </w:numPr>
        <w:ind w:start="18pt"/>
        <w:rPr>
          <w:noProof w:val="0"/>
          <w:lang w:val="en-GB"/>
        </w:rPr>
      </w:pPr>
      <w:r w:rsidRPr="00A269F7">
        <w:rPr>
          <w:noProof w:val="0"/>
          <w:lang w:val="en-GB"/>
        </w:rPr>
        <w:t xml:space="preserve">[5] Hoxhunt, "Phishing trends report (updated for 2026)," 2026. [Online]. Available: </w:t>
      </w:r>
      <w:hyperlink r:id="rId16" w:history="1">
        <w:r w:rsidR="00073B4A" w:rsidRPr="00A269F7">
          <w:rPr>
            <w:rStyle w:val="Hyperlink"/>
            <w:noProof w:val="0"/>
            <w:lang w:val="en-GB"/>
          </w:rPr>
          <w:t>https://hoxhunt.com/guide/phishing-trends-report</w:t>
        </w:r>
      </w:hyperlink>
    </w:p>
    <w:p w14:paraId="4D65B3A6" w14:textId="77777777" w:rsidR="00073B4A" w:rsidRPr="00A269F7" w:rsidRDefault="00073B4A" w:rsidP="004E16FC">
      <w:pPr>
        <w:pStyle w:val="references"/>
        <w:numPr>
          <w:ilvl w:val="0"/>
          <w:numId w:val="0"/>
        </w:numPr>
        <w:ind w:start="18pt"/>
        <w:rPr>
          <w:noProof w:val="0"/>
          <w:lang w:val="en-GB"/>
        </w:rPr>
      </w:pPr>
    </w:p>
    <w:p w14:paraId="237E41F0" w14:textId="18E78157" w:rsidR="008F495F" w:rsidRPr="00A269F7" w:rsidRDefault="008F495F" w:rsidP="004E16FC">
      <w:pPr>
        <w:pStyle w:val="references"/>
        <w:numPr>
          <w:ilvl w:val="0"/>
          <w:numId w:val="0"/>
        </w:numPr>
        <w:ind w:start="18pt"/>
        <w:rPr>
          <w:noProof w:val="0"/>
          <w:lang w:val="en-GB"/>
        </w:rPr>
      </w:pPr>
      <w:r w:rsidRPr="00A269F7">
        <w:rPr>
          <w:noProof w:val="0"/>
          <w:lang w:val="en-GB"/>
        </w:rPr>
        <w:t xml:space="preserve">[6] IBM Security, "Cost of a Data Breach 2025," 2025. [Online]. Available: </w:t>
      </w:r>
      <w:hyperlink r:id="rId17" w:history="1">
        <w:r w:rsidR="00073B4A" w:rsidRPr="00A269F7">
          <w:rPr>
            <w:rStyle w:val="Hyperlink"/>
            <w:noProof w:val="0"/>
            <w:lang w:val="en-GB"/>
          </w:rPr>
          <w:t>https://www.bakerdonelson.com/webfiles/Publications/20250822_Cost-of-a-Data-Breach-Report-2025.pdf</w:t>
        </w:r>
      </w:hyperlink>
    </w:p>
    <w:p w14:paraId="72582C7F" w14:textId="77777777" w:rsidR="00073B4A" w:rsidRPr="00A269F7" w:rsidRDefault="00073B4A" w:rsidP="004E16FC">
      <w:pPr>
        <w:pStyle w:val="references"/>
        <w:numPr>
          <w:ilvl w:val="0"/>
          <w:numId w:val="0"/>
        </w:numPr>
        <w:ind w:start="18pt"/>
        <w:rPr>
          <w:noProof w:val="0"/>
          <w:lang w:val="en-GB"/>
        </w:rPr>
      </w:pPr>
    </w:p>
    <w:p w14:paraId="3DB46928" w14:textId="4690E883" w:rsidR="008F495F" w:rsidRPr="00A269F7" w:rsidRDefault="008F495F" w:rsidP="004E16FC">
      <w:pPr>
        <w:pStyle w:val="references"/>
        <w:numPr>
          <w:ilvl w:val="0"/>
          <w:numId w:val="0"/>
        </w:numPr>
        <w:ind w:start="18pt"/>
        <w:rPr>
          <w:noProof w:val="0"/>
          <w:lang w:val="en-GB"/>
        </w:rPr>
      </w:pPr>
      <w:r w:rsidRPr="00A269F7">
        <w:rPr>
          <w:noProof w:val="0"/>
          <w:lang w:val="en-GB"/>
        </w:rPr>
        <w:t xml:space="preserve">[7] V. Hwang, "2026 Cloud Security Report Data Reveals Complexity Gap," Fortinet, 2026. [Online]. Available: </w:t>
      </w:r>
      <w:hyperlink r:id="rId18" w:history="1">
        <w:r w:rsidR="00073B4A" w:rsidRPr="00A269F7">
          <w:rPr>
            <w:rStyle w:val="Hyperlink"/>
            <w:noProof w:val="0"/>
            <w:lang w:val="en-GB"/>
          </w:rPr>
          <w:t>https://www.fortinet.com/uk/blog/cloud-security/2026-cloud-security-report-data-reveals-complexity-gap</w:t>
        </w:r>
      </w:hyperlink>
    </w:p>
    <w:p w14:paraId="094B677C" w14:textId="77777777" w:rsidR="00073B4A" w:rsidRPr="00A269F7" w:rsidRDefault="00073B4A" w:rsidP="004E16FC">
      <w:pPr>
        <w:pStyle w:val="references"/>
        <w:numPr>
          <w:ilvl w:val="0"/>
          <w:numId w:val="0"/>
        </w:numPr>
        <w:ind w:start="18pt"/>
        <w:rPr>
          <w:noProof w:val="0"/>
          <w:lang w:val="en-GB"/>
        </w:rPr>
      </w:pPr>
    </w:p>
    <w:p w14:paraId="4D32FC9F" w14:textId="2EC13A04" w:rsidR="008F495F" w:rsidRPr="00A269F7" w:rsidRDefault="008F495F" w:rsidP="004E16FC">
      <w:pPr>
        <w:pStyle w:val="references"/>
        <w:numPr>
          <w:ilvl w:val="0"/>
          <w:numId w:val="0"/>
        </w:numPr>
        <w:ind w:start="18pt"/>
        <w:rPr>
          <w:noProof w:val="0"/>
          <w:lang w:val="en-GB"/>
        </w:rPr>
      </w:pPr>
      <w:r w:rsidRPr="00A269F7">
        <w:rPr>
          <w:noProof w:val="0"/>
          <w:lang w:val="en-GB"/>
        </w:rPr>
        <w:t xml:space="preserve">[8] CISA, "Fact Sheet: Implementing Phishing-Resistant MFA," 2025. [Online]. Available: </w:t>
      </w:r>
      <w:hyperlink r:id="rId19" w:history="1">
        <w:r w:rsidR="00073B4A" w:rsidRPr="00A269F7">
          <w:rPr>
            <w:rStyle w:val="Hyperlink"/>
            <w:noProof w:val="0"/>
            <w:lang w:val="en-GB"/>
          </w:rPr>
          <w:t>https://www.cisa.gov/sites/default/files/publications/fact-sheet-implementing-phishing-resistant-mfa-508c.pdf</w:t>
        </w:r>
      </w:hyperlink>
    </w:p>
    <w:p w14:paraId="5D076004" w14:textId="77777777" w:rsidR="00073B4A" w:rsidRPr="00A269F7" w:rsidRDefault="00073B4A" w:rsidP="004E16FC">
      <w:pPr>
        <w:pStyle w:val="references"/>
        <w:numPr>
          <w:ilvl w:val="0"/>
          <w:numId w:val="0"/>
        </w:numPr>
        <w:ind w:start="18pt"/>
        <w:rPr>
          <w:noProof w:val="0"/>
          <w:lang w:val="en-GB"/>
        </w:rPr>
      </w:pPr>
    </w:p>
    <w:p w14:paraId="3812387A" w14:textId="5815AF8F" w:rsidR="008F495F" w:rsidRPr="00A269F7" w:rsidRDefault="008F495F" w:rsidP="004E16FC">
      <w:pPr>
        <w:pStyle w:val="references"/>
        <w:numPr>
          <w:ilvl w:val="0"/>
          <w:numId w:val="0"/>
        </w:numPr>
        <w:ind w:start="18pt"/>
        <w:rPr>
          <w:noProof w:val="0"/>
          <w:lang w:val="en-GB"/>
        </w:rPr>
      </w:pPr>
      <w:r w:rsidRPr="00A269F7">
        <w:rPr>
          <w:noProof w:val="0"/>
          <w:lang w:val="en-GB"/>
        </w:rPr>
        <w:t xml:space="preserve">[9] K. Muskopf, "The 265% ROI of phishing resistance with Yubico," 2026. [Online]. Available: </w:t>
      </w:r>
      <w:hyperlink r:id="rId20" w:history="1">
        <w:r w:rsidR="00073B4A" w:rsidRPr="00A269F7">
          <w:rPr>
            <w:rStyle w:val="Hyperlink"/>
            <w:noProof w:val="0"/>
            <w:lang w:val="en-GB"/>
          </w:rPr>
          <w:t>https://www.yubico.com/blog/the-265-roi-of-phishing-resistance-with-yubico-why-modern-enterprises-are-ditching-legacy-mfa-for-yubiKeys/</w:t>
        </w:r>
      </w:hyperlink>
    </w:p>
    <w:p w14:paraId="10BB8657" w14:textId="77777777" w:rsidR="00073B4A" w:rsidRPr="00A269F7" w:rsidRDefault="00073B4A" w:rsidP="004E16FC">
      <w:pPr>
        <w:pStyle w:val="references"/>
        <w:numPr>
          <w:ilvl w:val="0"/>
          <w:numId w:val="0"/>
        </w:numPr>
        <w:ind w:start="18pt"/>
        <w:rPr>
          <w:noProof w:val="0"/>
          <w:lang w:val="en-GB"/>
        </w:rPr>
      </w:pPr>
    </w:p>
    <w:p w14:paraId="2E0D7C8F" w14:textId="13282F62" w:rsidR="008F495F" w:rsidRPr="00A269F7" w:rsidRDefault="008F495F" w:rsidP="004E16FC">
      <w:pPr>
        <w:pStyle w:val="references"/>
        <w:numPr>
          <w:ilvl w:val="0"/>
          <w:numId w:val="0"/>
        </w:numPr>
        <w:ind w:start="18pt"/>
        <w:rPr>
          <w:noProof w:val="0"/>
          <w:lang w:val="en-GB"/>
        </w:rPr>
      </w:pPr>
      <w:r w:rsidRPr="00A269F7">
        <w:rPr>
          <w:noProof w:val="0"/>
          <w:lang w:val="en-GB"/>
        </w:rPr>
        <w:t xml:space="preserve">[10] Cloudflare, "What is SASE?" [Online]. Available: </w:t>
      </w:r>
      <w:hyperlink r:id="rId21" w:history="1">
        <w:r w:rsidR="00073B4A" w:rsidRPr="00A269F7">
          <w:rPr>
            <w:rStyle w:val="Hyperlink"/>
            <w:noProof w:val="0"/>
            <w:lang w:val="en-GB"/>
          </w:rPr>
          <w:t>https://www.cloudflare.com/learning/access-management/what-is-sase/</w:t>
        </w:r>
      </w:hyperlink>
    </w:p>
    <w:p w14:paraId="323467DA" w14:textId="77777777" w:rsidR="00073B4A" w:rsidRPr="00A269F7" w:rsidRDefault="00073B4A" w:rsidP="004E16FC">
      <w:pPr>
        <w:pStyle w:val="references"/>
        <w:numPr>
          <w:ilvl w:val="0"/>
          <w:numId w:val="0"/>
        </w:numPr>
        <w:ind w:start="18pt"/>
        <w:rPr>
          <w:noProof w:val="0"/>
          <w:lang w:val="en-GB"/>
        </w:rPr>
      </w:pPr>
    </w:p>
    <w:p w14:paraId="5670446D" w14:textId="12145569" w:rsidR="008F495F" w:rsidRPr="00A269F7" w:rsidRDefault="008F495F" w:rsidP="004E16FC">
      <w:pPr>
        <w:pStyle w:val="references"/>
        <w:numPr>
          <w:ilvl w:val="0"/>
          <w:numId w:val="0"/>
        </w:numPr>
        <w:ind w:start="18pt"/>
        <w:rPr>
          <w:noProof w:val="0"/>
          <w:lang w:val="en-GB"/>
        </w:rPr>
      </w:pPr>
      <w:r w:rsidRPr="00A269F7">
        <w:rPr>
          <w:noProof w:val="0"/>
          <w:lang w:val="en-GB"/>
        </w:rPr>
        <w:t xml:space="preserve">[11] Mandiant, "M-Trends 2026 Report," 2026. [Online]. Available: </w:t>
      </w:r>
      <w:hyperlink r:id="rId22" w:history="1">
        <w:r w:rsidR="00073B4A" w:rsidRPr="00A269F7">
          <w:rPr>
            <w:rStyle w:val="Hyperlink"/>
            <w:noProof w:val="0"/>
            <w:lang w:val="en-GB"/>
          </w:rPr>
          <w:t>https://www.mandiant.com/m-trends</w:t>
        </w:r>
      </w:hyperlink>
    </w:p>
    <w:p w14:paraId="672D2071" w14:textId="77777777" w:rsidR="00073B4A" w:rsidRPr="00A269F7" w:rsidRDefault="00073B4A" w:rsidP="004E16FC">
      <w:pPr>
        <w:pStyle w:val="references"/>
        <w:numPr>
          <w:ilvl w:val="0"/>
          <w:numId w:val="0"/>
        </w:numPr>
        <w:ind w:start="18pt"/>
        <w:rPr>
          <w:noProof w:val="0"/>
          <w:lang w:val="en-GB"/>
        </w:rPr>
      </w:pPr>
    </w:p>
    <w:p w14:paraId="2BFDF891" w14:textId="45B62DD4" w:rsidR="008F495F" w:rsidRPr="00A269F7" w:rsidRDefault="008F495F" w:rsidP="004E16FC">
      <w:pPr>
        <w:pStyle w:val="references"/>
        <w:numPr>
          <w:ilvl w:val="0"/>
          <w:numId w:val="0"/>
        </w:numPr>
        <w:ind w:start="18pt"/>
        <w:rPr>
          <w:noProof w:val="0"/>
          <w:lang w:val="en-GB"/>
        </w:rPr>
      </w:pPr>
      <w:r w:rsidRPr="00A269F7">
        <w:rPr>
          <w:noProof w:val="0"/>
          <w:lang w:val="en-GB"/>
        </w:rPr>
        <w:t xml:space="preserve">[12] NCSC, "Incident management," 2025. [Online]. Available: </w:t>
      </w:r>
      <w:hyperlink r:id="rId23" w:history="1">
        <w:r w:rsidR="00073B4A" w:rsidRPr="00A269F7">
          <w:rPr>
            <w:rStyle w:val="Hyperlink"/>
            <w:noProof w:val="0"/>
            <w:lang w:val="en-GB"/>
          </w:rPr>
          <w:t>https://www.ncsc.gov.uk/collection/incident-management</w:t>
        </w:r>
      </w:hyperlink>
    </w:p>
    <w:p w14:paraId="44DC66DA" w14:textId="77777777" w:rsidR="00073B4A" w:rsidRPr="00A269F7" w:rsidRDefault="00073B4A" w:rsidP="004E16FC">
      <w:pPr>
        <w:pStyle w:val="references"/>
        <w:numPr>
          <w:ilvl w:val="0"/>
          <w:numId w:val="0"/>
        </w:numPr>
        <w:ind w:start="18pt"/>
        <w:rPr>
          <w:noProof w:val="0"/>
          <w:lang w:val="en-GB"/>
        </w:rPr>
      </w:pPr>
    </w:p>
    <w:p w14:paraId="4935ACE4" w14:textId="5AB5F9DF" w:rsidR="008F495F" w:rsidRPr="00A269F7" w:rsidRDefault="008F495F" w:rsidP="004E16FC">
      <w:pPr>
        <w:pStyle w:val="references"/>
        <w:numPr>
          <w:ilvl w:val="0"/>
          <w:numId w:val="0"/>
        </w:numPr>
        <w:ind w:start="18pt"/>
        <w:rPr>
          <w:noProof w:val="0"/>
          <w:lang w:val="en-GB"/>
        </w:rPr>
      </w:pPr>
      <w:r w:rsidRPr="00A269F7">
        <w:rPr>
          <w:noProof w:val="0"/>
          <w:lang w:val="en-GB"/>
        </w:rPr>
        <w:t xml:space="preserve">[13] Eye Security, "The State of Cyber Incidents 2026," 2026. [Online]. Available: </w:t>
      </w:r>
      <w:hyperlink r:id="rId24" w:history="1">
        <w:r w:rsidR="00073B4A" w:rsidRPr="00A269F7">
          <w:rPr>
            <w:rStyle w:val="Hyperlink"/>
            <w:noProof w:val="0"/>
            <w:lang w:val="en-GB"/>
          </w:rPr>
          <w:t>https://www.eye.security/hubfs/1.%20Marketing%20Content/Downloads/Campaign/26_Q1_Trend%20Report/Resources/2026_Q1_IR%20Trend%20Report_46223_Eye_A4_CyberIncidents2026_InsightReport_V3.pdf</w:t>
        </w:r>
      </w:hyperlink>
    </w:p>
    <w:p w14:paraId="1C3849C5" w14:textId="77777777" w:rsidR="00073B4A" w:rsidRPr="00A269F7" w:rsidRDefault="00073B4A" w:rsidP="004E16FC">
      <w:pPr>
        <w:pStyle w:val="references"/>
        <w:numPr>
          <w:ilvl w:val="0"/>
          <w:numId w:val="0"/>
        </w:numPr>
        <w:ind w:start="18pt"/>
        <w:rPr>
          <w:noProof w:val="0"/>
          <w:lang w:val="en-GB"/>
        </w:rPr>
      </w:pPr>
    </w:p>
    <w:p w14:paraId="65099EEB" w14:textId="19958EEB" w:rsidR="009303D9" w:rsidRPr="00A269F7" w:rsidRDefault="008F495F" w:rsidP="00B660D2">
      <w:pPr>
        <w:pStyle w:val="references"/>
        <w:numPr>
          <w:ilvl w:val="0"/>
          <w:numId w:val="0"/>
        </w:numPr>
        <w:ind w:start="18pt"/>
        <w:rPr>
          <w:noProof w:val="0"/>
          <w:lang w:val="en-GB"/>
        </w:rPr>
      </w:pPr>
      <w:r w:rsidRPr="00A269F7">
        <w:rPr>
          <w:noProof w:val="0"/>
          <w:lang w:val="en-GB"/>
        </w:rPr>
        <w:t xml:space="preserve">[14] SANS Institute, "2026 Cybersecurity Workforce Research Report," 2026. [Online]. Available: </w:t>
      </w:r>
      <w:hyperlink r:id="rId25" w:history="1">
        <w:r w:rsidR="00073B4A" w:rsidRPr="00A269F7">
          <w:rPr>
            <w:rStyle w:val="Hyperlink"/>
            <w:noProof w:val="0"/>
            <w:lang w:val="en-GB"/>
          </w:rPr>
          <w:t>https://industrialcyber.co/reports/sans-2026-report-flags-cybersecurity-skills-crisis-putting-critical-infrastructure-and-ot-sectors-at-measurable-breach-risk/</w:t>
        </w:r>
      </w:hyperlink>
    </w:p>
    <w:p w14:paraId="6AEB9F2B" w14:textId="77777777" w:rsidR="00073B4A" w:rsidRPr="00A269F7" w:rsidRDefault="00073B4A" w:rsidP="00B660D2">
      <w:pPr>
        <w:pStyle w:val="references"/>
        <w:numPr>
          <w:ilvl w:val="0"/>
          <w:numId w:val="0"/>
        </w:numPr>
        <w:ind w:start="18pt"/>
        <w:rPr>
          <w:noProof w:val="0"/>
          <w:lang w:val="en-GB"/>
        </w:rPr>
      </w:pPr>
    </w:p>
    <w:p w14:paraId="712CA2CA" w14:textId="3B531FEC" w:rsidR="009303D9" w:rsidRDefault="009303D9" w:rsidP="005B520E"/>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5406E0CE" w14:textId="77777777" w:rsidR="00501C45" w:rsidRPr="00A269F7" w:rsidRDefault="00501C45" w:rsidP="001A3B3D">
      <w:r w:rsidRPr="00A269F7">
        <w:separator/>
      </w:r>
    </w:p>
  </w:endnote>
  <w:endnote w:type="continuationSeparator" w:id="0">
    <w:p w14:paraId="232461C6" w14:textId="77777777" w:rsidR="00501C45" w:rsidRPr="00A269F7" w:rsidRDefault="00501C45" w:rsidP="001A3B3D">
      <w:r w:rsidRPr="00A269F7">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Light">
    <w:panose1 w:val="020F0302020204030204"/>
    <w:charset w:characterSet="iso-8859-1"/>
    <w:family w:val="swiss"/>
    <w:pitch w:val="variable"/>
    <w:sig w:usb0="E4002EFF" w:usb1="C200247B" w:usb2="00000009" w:usb3="00000000" w:csb0="000001FF" w:csb1="00000000"/>
  </w:font>
  <w:font w:name="Calibri">
    <w:panose1 w:val="020F0502020204030204"/>
    <w:charset w:characterSet="iso-8859-1"/>
    <w:family w:val="swiss"/>
    <w:pitch w:val="variable"/>
    <w:sig w:usb0="E4002EFF" w:usb1="C2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21A16600" w14:textId="640C949F" w:rsidR="001A3B3D" w:rsidRPr="00A269F7"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3FEB24B5" w14:textId="77777777" w:rsidR="00501C45" w:rsidRPr="00A269F7" w:rsidRDefault="00501C45" w:rsidP="001A3B3D">
      <w:r w:rsidRPr="00A269F7">
        <w:separator/>
      </w:r>
    </w:p>
  </w:footnote>
  <w:footnote w:type="continuationSeparator" w:id="0">
    <w:p w14:paraId="0DC6A6E7" w14:textId="77777777" w:rsidR="00501C45" w:rsidRPr="00A269F7" w:rsidRDefault="00501C45" w:rsidP="001A3B3D">
      <w:r w:rsidRPr="00A269F7">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029000F7"/>
    <w:multiLevelType w:val="multilevel"/>
    <w:tmpl w:val="4134D318"/>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12"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3"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5" w15:restartNumberingAfterBreak="0">
    <w:nsid w:val="284F13DF"/>
    <w:multiLevelType w:val="multilevel"/>
    <w:tmpl w:val="24A8B6D8"/>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16" w15:restartNumberingAfterBreak="0">
    <w:nsid w:val="2F9E09C4"/>
    <w:multiLevelType w:val="multilevel"/>
    <w:tmpl w:val="996EBA92"/>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17"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8"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9"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20"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1" w15:restartNumberingAfterBreak="0">
    <w:nsid w:val="4F220635"/>
    <w:multiLevelType w:val="multilevel"/>
    <w:tmpl w:val="BEE254BE"/>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22"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3"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4"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857473658">
    <w:abstractNumId w:val="17"/>
  </w:num>
  <w:num w:numId="2" w16cid:durableId="1684286342">
    <w:abstractNumId w:val="23"/>
  </w:num>
  <w:num w:numId="3" w16cid:durableId="384915869">
    <w:abstractNumId w:val="14"/>
  </w:num>
  <w:num w:numId="4" w16cid:durableId="606959823">
    <w:abstractNumId w:val="19"/>
  </w:num>
  <w:num w:numId="5" w16cid:durableId="426659257">
    <w:abstractNumId w:val="19"/>
  </w:num>
  <w:num w:numId="6" w16cid:durableId="63064885">
    <w:abstractNumId w:val="19"/>
  </w:num>
  <w:num w:numId="7" w16cid:durableId="1306667121">
    <w:abstractNumId w:val="19"/>
  </w:num>
  <w:num w:numId="8" w16cid:durableId="1136753816">
    <w:abstractNumId w:val="22"/>
  </w:num>
  <w:num w:numId="9" w16cid:durableId="1802502768">
    <w:abstractNumId w:val="24"/>
  </w:num>
  <w:num w:numId="10" w16cid:durableId="33621722">
    <w:abstractNumId w:val="18"/>
  </w:num>
  <w:num w:numId="11" w16cid:durableId="1105803754">
    <w:abstractNumId w:val="13"/>
  </w:num>
  <w:num w:numId="12" w16cid:durableId="424498508">
    <w:abstractNumId w:val="12"/>
  </w:num>
  <w:num w:numId="13" w16cid:durableId="1291664014">
    <w:abstractNumId w:val="0"/>
  </w:num>
  <w:num w:numId="14" w16cid:durableId="738984080">
    <w:abstractNumId w:val="10"/>
  </w:num>
  <w:num w:numId="15" w16cid:durableId="1885215507">
    <w:abstractNumId w:val="8"/>
  </w:num>
  <w:num w:numId="16" w16cid:durableId="1471752508">
    <w:abstractNumId w:val="7"/>
  </w:num>
  <w:num w:numId="17" w16cid:durableId="1158376264">
    <w:abstractNumId w:val="6"/>
  </w:num>
  <w:num w:numId="18" w16cid:durableId="527983738">
    <w:abstractNumId w:val="5"/>
  </w:num>
  <w:num w:numId="19" w16cid:durableId="917593952">
    <w:abstractNumId w:val="9"/>
  </w:num>
  <w:num w:numId="20" w16cid:durableId="1436486363">
    <w:abstractNumId w:val="4"/>
  </w:num>
  <w:num w:numId="21" w16cid:durableId="116412308">
    <w:abstractNumId w:val="3"/>
  </w:num>
  <w:num w:numId="22" w16cid:durableId="1471632573">
    <w:abstractNumId w:val="2"/>
  </w:num>
  <w:num w:numId="23" w16cid:durableId="2092389400">
    <w:abstractNumId w:val="1"/>
  </w:num>
  <w:num w:numId="24" w16cid:durableId="1401446984">
    <w:abstractNumId w:val="20"/>
  </w:num>
  <w:num w:numId="25" w16cid:durableId="2099137333">
    <w:abstractNumId w:val="15"/>
  </w:num>
  <w:num w:numId="26" w16cid:durableId="1593858668">
    <w:abstractNumId w:val="19"/>
  </w:num>
  <w:num w:numId="27" w16cid:durableId="1848789043">
    <w:abstractNumId w:val="19"/>
    <w:lvlOverride w:ilvl="0">
      <w:startOverride w:val="6"/>
    </w:lvlOverride>
  </w:num>
  <w:num w:numId="28" w16cid:durableId="621307152">
    <w:abstractNumId w:val="19"/>
    <w:lvlOverride w:ilvl="0">
      <w:startOverride w:val="6"/>
    </w:lvlOverride>
  </w:num>
  <w:num w:numId="29" w16cid:durableId="1596013787">
    <w:abstractNumId w:val="11"/>
  </w:num>
  <w:num w:numId="30" w16cid:durableId="2052415865">
    <w:abstractNumId w:val="16"/>
  </w:num>
  <w:num w:numId="31" w16cid:durableId="1238710480">
    <w:abstractNumId w:val="21"/>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781E"/>
    <w:rsid w:val="00073B4A"/>
    <w:rsid w:val="0008758A"/>
    <w:rsid w:val="000C1E68"/>
    <w:rsid w:val="000F6D39"/>
    <w:rsid w:val="0011242A"/>
    <w:rsid w:val="00136D57"/>
    <w:rsid w:val="001402D4"/>
    <w:rsid w:val="00152A0D"/>
    <w:rsid w:val="00152A26"/>
    <w:rsid w:val="00156A58"/>
    <w:rsid w:val="001A2EFD"/>
    <w:rsid w:val="001A3B3D"/>
    <w:rsid w:val="001A3D1E"/>
    <w:rsid w:val="001A3D2E"/>
    <w:rsid w:val="001B67DC"/>
    <w:rsid w:val="001F07A0"/>
    <w:rsid w:val="001F4870"/>
    <w:rsid w:val="00202487"/>
    <w:rsid w:val="00214536"/>
    <w:rsid w:val="002254A9"/>
    <w:rsid w:val="00233D97"/>
    <w:rsid w:val="002347A2"/>
    <w:rsid w:val="002551EF"/>
    <w:rsid w:val="002850E3"/>
    <w:rsid w:val="002C369D"/>
    <w:rsid w:val="002C39EC"/>
    <w:rsid w:val="002C4C63"/>
    <w:rsid w:val="00301E0D"/>
    <w:rsid w:val="0031363E"/>
    <w:rsid w:val="00354FCF"/>
    <w:rsid w:val="003936D6"/>
    <w:rsid w:val="003A19E2"/>
    <w:rsid w:val="003B2B40"/>
    <w:rsid w:val="003B4E04"/>
    <w:rsid w:val="003B79DD"/>
    <w:rsid w:val="003C3524"/>
    <w:rsid w:val="003D1B5E"/>
    <w:rsid w:val="003F5092"/>
    <w:rsid w:val="003F5A08"/>
    <w:rsid w:val="00400634"/>
    <w:rsid w:val="0041387D"/>
    <w:rsid w:val="00420716"/>
    <w:rsid w:val="004325FB"/>
    <w:rsid w:val="004432BA"/>
    <w:rsid w:val="0044407E"/>
    <w:rsid w:val="00447BB9"/>
    <w:rsid w:val="00455762"/>
    <w:rsid w:val="0046031D"/>
    <w:rsid w:val="00473AC9"/>
    <w:rsid w:val="00484B11"/>
    <w:rsid w:val="004D1971"/>
    <w:rsid w:val="004D72B5"/>
    <w:rsid w:val="004E16FC"/>
    <w:rsid w:val="00501C45"/>
    <w:rsid w:val="00502FAB"/>
    <w:rsid w:val="00532932"/>
    <w:rsid w:val="00532B30"/>
    <w:rsid w:val="0053550D"/>
    <w:rsid w:val="00551B7F"/>
    <w:rsid w:val="00561F44"/>
    <w:rsid w:val="0056610F"/>
    <w:rsid w:val="005726AA"/>
    <w:rsid w:val="00575BCA"/>
    <w:rsid w:val="00576DEF"/>
    <w:rsid w:val="005862DB"/>
    <w:rsid w:val="005B0344"/>
    <w:rsid w:val="005B520E"/>
    <w:rsid w:val="005E2800"/>
    <w:rsid w:val="005F4A35"/>
    <w:rsid w:val="00605825"/>
    <w:rsid w:val="006126E4"/>
    <w:rsid w:val="00645D22"/>
    <w:rsid w:val="00651A08"/>
    <w:rsid w:val="00654204"/>
    <w:rsid w:val="00670434"/>
    <w:rsid w:val="00682D06"/>
    <w:rsid w:val="00693F5A"/>
    <w:rsid w:val="006A46F3"/>
    <w:rsid w:val="006A58F5"/>
    <w:rsid w:val="006B6B66"/>
    <w:rsid w:val="006C6C3F"/>
    <w:rsid w:val="006D4D6C"/>
    <w:rsid w:val="006F4016"/>
    <w:rsid w:val="006F6D3D"/>
    <w:rsid w:val="00715BEA"/>
    <w:rsid w:val="0073295E"/>
    <w:rsid w:val="00734BCA"/>
    <w:rsid w:val="0073589B"/>
    <w:rsid w:val="00740EEA"/>
    <w:rsid w:val="00771FD1"/>
    <w:rsid w:val="00780091"/>
    <w:rsid w:val="007839ED"/>
    <w:rsid w:val="00794804"/>
    <w:rsid w:val="00794AF6"/>
    <w:rsid w:val="007954F6"/>
    <w:rsid w:val="007B33F1"/>
    <w:rsid w:val="007B6A1E"/>
    <w:rsid w:val="007B6DDA"/>
    <w:rsid w:val="007C0308"/>
    <w:rsid w:val="007C0887"/>
    <w:rsid w:val="007C2FF2"/>
    <w:rsid w:val="007C4B6E"/>
    <w:rsid w:val="007D6232"/>
    <w:rsid w:val="007E3A5D"/>
    <w:rsid w:val="007F1F99"/>
    <w:rsid w:val="007F2052"/>
    <w:rsid w:val="007F768F"/>
    <w:rsid w:val="008008AB"/>
    <w:rsid w:val="0080791D"/>
    <w:rsid w:val="00823A66"/>
    <w:rsid w:val="00836367"/>
    <w:rsid w:val="00836E64"/>
    <w:rsid w:val="00840750"/>
    <w:rsid w:val="008557F3"/>
    <w:rsid w:val="0087310F"/>
    <w:rsid w:val="00873603"/>
    <w:rsid w:val="00891AF1"/>
    <w:rsid w:val="008A2C7D"/>
    <w:rsid w:val="008A7AF0"/>
    <w:rsid w:val="008B6524"/>
    <w:rsid w:val="008C4B23"/>
    <w:rsid w:val="008E1681"/>
    <w:rsid w:val="008F495F"/>
    <w:rsid w:val="008F6E2C"/>
    <w:rsid w:val="009303D9"/>
    <w:rsid w:val="00933C64"/>
    <w:rsid w:val="00955609"/>
    <w:rsid w:val="00972203"/>
    <w:rsid w:val="009B0FD9"/>
    <w:rsid w:val="009D1886"/>
    <w:rsid w:val="009D4506"/>
    <w:rsid w:val="009F1D79"/>
    <w:rsid w:val="00A059B3"/>
    <w:rsid w:val="00A21FE7"/>
    <w:rsid w:val="00A269F7"/>
    <w:rsid w:val="00A3683F"/>
    <w:rsid w:val="00A536EE"/>
    <w:rsid w:val="00A73F19"/>
    <w:rsid w:val="00A95AA0"/>
    <w:rsid w:val="00AA779F"/>
    <w:rsid w:val="00AE3409"/>
    <w:rsid w:val="00AE56B6"/>
    <w:rsid w:val="00B11A60"/>
    <w:rsid w:val="00B22613"/>
    <w:rsid w:val="00B44A76"/>
    <w:rsid w:val="00B600DB"/>
    <w:rsid w:val="00B660D2"/>
    <w:rsid w:val="00B768D1"/>
    <w:rsid w:val="00BA0143"/>
    <w:rsid w:val="00BA1025"/>
    <w:rsid w:val="00BA3050"/>
    <w:rsid w:val="00BA5227"/>
    <w:rsid w:val="00BC3420"/>
    <w:rsid w:val="00BD670B"/>
    <w:rsid w:val="00BE1ACE"/>
    <w:rsid w:val="00BE7D3C"/>
    <w:rsid w:val="00BF3F70"/>
    <w:rsid w:val="00BF5FF6"/>
    <w:rsid w:val="00BF7B31"/>
    <w:rsid w:val="00C0207F"/>
    <w:rsid w:val="00C16117"/>
    <w:rsid w:val="00C3075A"/>
    <w:rsid w:val="00C64AC6"/>
    <w:rsid w:val="00C919A4"/>
    <w:rsid w:val="00C921EF"/>
    <w:rsid w:val="00CA4392"/>
    <w:rsid w:val="00CA61A9"/>
    <w:rsid w:val="00CC1915"/>
    <w:rsid w:val="00CC393F"/>
    <w:rsid w:val="00D0526D"/>
    <w:rsid w:val="00D127D9"/>
    <w:rsid w:val="00D2176E"/>
    <w:rsid w:val="00D632BE"/>
    <w:rsid w:val="00D72D06"/>
    <w:rsid w:val="00D7522C"/>
    <w:rsid w:val="00D7536F"/>
    <w:rsid w:val="00D764D7"/>
    <w:rsid w:val="00D76668"/>
    <w:rsid w:val="00D830BB"/>
    <w:rsid w:val="00DB1B73"/>
    <w:rsid w:val="00DD3819"/>
    <w:rsid w:val="00DF0316"/>
    <w:rsid w:val="00E07383"/>
    <w:rsid w:val="00E165BC"/>
    <w:rsid w:val="00E3211D"/>
    <w:rsid w:val="00E43543"/>
    <w:rsid w:val="00E61E12"/>
    <w:rsid w:val="00E7596C"/>
    <w:rsid w:val="00E878F2"/>
    <w:rsid w:val="00E92325"/>
    <w:rsid w:val="00E947F0"/>
    <w:rsid w:val="00E94F5F"/>
    <w:rsid w:val="00EB03DA"/>
    <w:rsid w:val="00EB13A7"/>
    <w:rsid w:val="00ED0149"/>
    <w:rsid w:val="00EF7DE3"/>
    <w:rsid w:val="00F03103"/>
    <w:rsid w:val="00F07BC7"/>
    <w:rsid w:val="00F271DE"/>
    <w:rsid w:val="00F627DA"/>
    <w:rsid w:val="00F7288F"/>
    <w:rsid w:val="00F847A6"/>
    <w:rsid w:val="00F87656"/>
    <w:rsid w:val="00F90849"/>
    <w:rsid w:val="00F9091B"/>
    <w:rsid w:val="00F9441B"/>
    <w:rsid w:val="00FA4C32"/>
    <w:rsid w:val="00FA5F02"/>
    <w:rsid w:val="00FC2C50"/>
    <w:rsid w:val="00FD4219"/>
    <w:rsid w:val="00FD7A5B"/>
    <w:rsid w:val="00FE7114"/>
    <w:rsid w:val="00FF6D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7EAA908"/>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GB"/>
    </w:rPr>
  </w:style>
  <w:style w:type="paragraph" w:styleId="Heading1">
    <w:name w:val="heading 1"/>
    <w:basedOn w:val="Normal"/>
    <w:next w:val="Normal"/>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character" w:styleId="Hyperlink">
    <w:name w:val="Hyperlink"/>
    <w:basedOn w:val="DefaultParagraphFont"/>
    <w:rsid w:val="00B660D2"/>
    <w:rPr>
      <w:color w:val="0563C1" w:themeColor="hyperlink"/>
      <w:u w:val="single"/>
    </w:rPr>
  </w:style>
  <w:style w:type="character" w:styleId="UnresolvedMention">
    <w:name w:val="Unresolved Mention"/>
    <w:basedOn w:val="DefaultParagraphFont"/>
    <w:uiPriority w:val="99"/>
    <w:semiHidden/>
    <w:unhideWhenUsed/>
    <w:rsid w:val="00B660D2"/>
    <w:rPr>
      <w:color w:val="605E5C"/>
      <w:shd w:val="clear" w:color="auto" w:fill="E1DFDD"/>
    </w:rPr>
  </w:style>
  <w:style w:type="character" w:styleId="Emphasis">
    <w:name w:val="Emphasis"/>
    <w:basedOn w:val="DefaultParagraphFont"/>
    <w:qFormat/>
    <w:rsid w:val="001402D4"/>
    <w:rPr>
      <w:i/>
      <w:iCs/>
    </w:rPr>
  </w:style>
  <w:style w:type="paragraph" w:styleId="Title">
    <w:name w:val="Title"/>
    <w:basedOn w:val="Normal"/>
    <w:next w:val="Normal"/>
    <w:link w:val="TitleChar"/>
    <w:qFormat/>
    <w:rsid w:val="001402D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1402D4"/>
    <w:rPr>
      <w:rFonts w:asciiTheme="majorHAnsi" w:eastAsiaTheme="majorEastAsia" w:hAnsiTheme="majorHAnsi" w:cstheme="majorBidi"/>
      <w:spacing w:val="-10"/>
      <w:kern w:val="28"/>
      <w:sz w:val="56"/>
      <w:szCs w:val="56"/>
    </w:rPr>
  </w:style>
  <w:style w:type="paragraph" w:styleId="Caption">
    <w:name w:val="caption"/>
    <w:basedOn w:val="Normal"/>
    <w:next w:val="Normal"/>
    <w:unhideWhenUsed/>
    <w:qFormat/>
    <w:rsid w:val="00532B30"/>
    <w:pPr>
      <w:spacing w:after="10pt"/>
    </w:pPr>
    <w:rPr>
      <w:i/>
      <w:iCs/>
      <w:color w:val="44546A" w:themeColor="text2"/>
      <w:sz w:val="18"/>
      <w:szCs w:val="18"/>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hyperlink" Target="https://www.ncsc.gov.uk/collection/ncsc-annual-review-2025" TargetMode="External"/><Relationship Id="rId18" Type="http://purl.oclc.org/ooxml/officeDocument/relationships/hyperlink" Target="https://www.fortinet.com/uk/blog/cloud-security/2026-cloud-security-report-data-reveals-complexity-gap" TargetMode="External"/><Relationship Id="rId26" Type="http://purl.oclc.org/ooxml/officeDocument/relationships/fontTable" Target="fontTable.xml"/><Relationship Id="rId3" Type="http://purl.oclc.org/ooxml/officeDocument/relationships/styles" Target="styles.xml"/><Relationship Id="rId21" Type="http://purl.oclc.org/ooxml/officeDocument/relationships/hyperlink" Target="https://www.cloudflare.com/learning/access-management/what-is-sase/" TargetMode="External"/><Relationship Id="rId7" Type="http://purl.oclc.org/ooxml/officeDocument/relationships/endnotes" Target="endnotes.xml"/><Relationship Id="rId12" Type="http://purl.oclc.org/ooxml/officeDocument/relationships/hyperlink" Target="https://www.verizon.com/business/resources/reports/dbir/" TargetMode="External"/><Relationship Id="rId17" Type="http://purl.oclc.org/ooxml/officeDocument/relationships/hyperlink" Target="https://www.bakerdonelson.com/webfiles/Publications/20250822_Cost-of-a-Data-Breach-Report-2025.pdf" TargetMode="External"/><Relationship Id="rId25" Type="http://purl.oclc.org/ooxml/officeDocument/relationships/hyperlink" Target="https://industrialcyber.co/reports/sans-2026-report-flags-cybersecurity-skills-crisis-putting-critical-infrastructure-and-ot-sectors-at-measurable-breach-risk/" TargetMode="External"/><Relationship Id="rId2" Type="http://purl.oclc.org/ooxml/officeDocument/relationships/numbering" Target="numbering.xml"/><Relationship Id="rId16" Type="http://purl.oclc.org/ooxml/officeDocument/relationships/hyperlink" Target="https://hoxhunt.com/guide/phishing-trends-report" TargetMode="External"/><Relationship Id="rId20" Type="http://purl.oclc.org/ooxml/officeDocument/relationships/hyperlink" Target="https://www.yubico.com/blog/the-265-roi-of-phishing-resistance-with-yubico-why-modern-enterprises-are-ditching-legacy-mfa-for-yubiKeys/" TargetMode="Externa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3.png"/><Relationship Id="rId24" Type="http://purl.oclc.org/ooxml/officeDocument/relationships/hyperlink" Target="https://www.eye.security/hubfs/1.%20Marketing%20Content/Downloads/Campaign/26_Q1_Trend%20Report/Resources/2026_Q1_IR%20Trend%20Report_46223_Eye_A4_CyberIncidents2026_InsightReport_V3.pdf" TargetMode="External"/><Relationship Id="rId5" Type="http://purl.oclc.org/ooxml/officeDocument/relationships/webSettings" Target="webSettings.xml"/><Relationship Id="rId15" Type="http://purl.oclc.org/ooxml/officeDocument/relationships/hyperlink" Target="https://cyble.com/press/uk-leads-europe-ransomware-attacks-cyble-q1-2026-report/" TargetMode="External"/><Relationship Id="rId23" Type="http://purl.oclc.org/ooxml/officeDocument/relationships/hyperlink" Target="https://www.ncsc.gov.uk/collection/incident-management" TargetMode="External"/><Relationship Id="rId10" Type="http://purl.oclc.org/ooxml/officeDocument/relationships/image" Target="media/image2.png"/><Relationship Id="rId19" Type="http://purl.oclc.org/ooxml/officeDocument/relationships/hyperlink" Target="https://www.cisa.gov/sites/default/files/publications/fact-sheet-implementing-phishing-resistant-mfa-508c.pdf" TargetMode="External"/><Relationship Id="rId4" Type="http://purl.oclc.org/ooxml/officeDocument/relationships/settings" Target="settings.xml"/><Relationship Id="rId9" Type="http://purl.oclc.org/ooxml/officeDocument/relationships/image" Target="media/image1.jpeg"/><Relationship Id="rId14" Type="http://purl.oclc.org/ooxml/officeDocument/relationships/hyperlink" Target="https://csrc.nist.gov/pubs/sp/800/207/final" TargetMode="External"/><Relationship Id="rId22" Type="http://purl.oclc.org/ooxml/officeDocument/relationships/hyperlink" Target="https://www.mandiant.com/m-trends" TargetMode="External"/><Relationship Id="rId27" Type="http://purl.oclc.org/ooxml/officeDocument/relationships/theme" Target="theme/theme1.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149</TotalTime>
  <Pages>6</Pages>
  <Words>1948</Words>
  <Characters>11106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Leighton Bowd (2320479)</cp:lastModifiedBy>
  <cp:revision>110</cp:revision>
  <dcterms:created xsi:type="dcterms:W3CDTF">2026-03-31T16:39:00Z</dcterms:created>
  <dcterms:modified xsi:type="dcterms:W3CDTF">2026-05-12T14:02:00Z</dcterms:modified>
</cp:coreProperties>
</file>

<file path=docProps/custom.xml><?xml version="1.0" encoding="utf-8"?>
<Properties xmlns="http://purl.oclc.org/ooxml/officeDocument/customProperties" xmlns:vt="http://purl.oclc.org/ooxml/officeDocument/docPropsVTypes">
  <property fmtid="{D5CDD505-2E9C-101B-9397-08002B2CF9AE}" pid="2" name="GrammarlyDocumentId">
    <vt:lpwstr>15024f9a-0deb-4ded-83d7-cef18ddb1ad6</vt:lpwstr>
  </property>
</Properties>
</file>