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D8631" w14:textId="77777777" w:rsidR="00104B9D" w:rsidRPr="00644BC2" w:rsidRDefault="00104B9D" w:rsidP="00104B9D">
      <w:pPr>
        <w:jc w:val="center"/>
        <w:rPr>
          <w:rFonts w:cstheme="minorHAnsi"/>
        </w:rPr>
      </w:pPr>
      <w:r w:rsidRPr="00644BC2">
        <w:rPr>
          <w:rFonts w:cstheme="minorHAnsi"/>
        </w:rPr>
        <w:t>Student name – Jannat dad</w:t>
      </w:r>
    </w:p>
    <w:p w14:paraId="5521E209" w14:textId="77777777" w:rsidR="00104B9D" w:rsidRPr="00644BC2" w:rsidRDefault="00104B9D" w:rsidP="00104B9D">
      <w:pPr>
        <w:jc w:val="center"/>
        <w:rPr>
          <w:rFonts w:cstheme="minorHAnsi"/>
        </w:rPr>
      </w:pPr>
      <w:r w:rsidRPr="00644BC2">
        <w:rPr>
          <w:rFonts w:cstheme="minorHAnsi"/>
        </w:rPr>
        <w:t>Student number – 2309162</w:t>
      </w:r>
    </w:p>
    <w:p w14:paraId="0FE9641D" w14:textId="77777777" w:rsidR="00104B9D" w:rsidRPr="00644BC2" w:rsidRDefault="00104B9D" w:rsidP="00104B9D">
      <w:pPr>
        <w:jc w:val="center"/>
        <w:rPr>
          <w:rFonts w:cstheme="minorHAnsi"/>
        </w:rPr>
      </w:pPr>
      <w:r w:rsidRPr="00644BC2">
        <w:rPr>
          <w:rFonts w:cstheme="minorHAnsi"/>
        </w:rPr>
        <w:t>Module name – Principles of Health and Social Care</w:t>
      </w:r>
    </w:p>
    <w:p w14:paraId="07B27525" w14:textId="77777777" w:rsidR="00104B9D" w:rsidRPr="00644BC2" w:rsidRDefault="00104B9D" w:rsidP="00104B9D">
      <w:pPr>
        <w:jc w:val="center"/>
        <w:rPr>
          <w:rFonts w:cstheme="minorHAnsi"/>
        </w:rPr>
      </w:pPr>
      <w:r w:rsidRPr="00644BC2">
        <w:rPr>
          <w:rFonts w:cstheme="minorHAnsi"/>
        </w:rPr>
        <w:t>Module code – BMPH 5016</w:t>
      </w:r>
    </w:p>
    <w:p w14:paraId="6444C04A" w14:textId="77777777" w:rsidR="00104B9D" w:rsidRPr="00644BC2" w:rsidRDefault="00104B9D" w:rsidP="00104B9D">
      <w:pPr>
        <w:jc w:val="center"/>
        <w:rPr>
          <w:rFonts w:cstheme="minorHAnsi"/>
        </w:rPr>
      </w:pPr>
      <w:r w:rsidRPr="00644BC2">
        <w:rPr>
          <w:rFonts w:cstheme="minorHAnsi"/>
        </w:rPr>
        <w:t xml:space="preserve">Lecturer name- Aishat Bakre </w:t>
      </w:r>
    </w:p>
    <w:p w14:paraId="1945B36B" w14:textId="77777777" w:rsidR="00C56242" w:rsidRDefault="00C56242"/>
    <w:p w14:paraId="78A0EBF8" w14:textId="77777777" w:rsidR="0063305B" w:rsidRDefault="0063305B"/>
    <w:p w14:paraId="47EC145A" w14:textId="77777777" w:rsidR="0063305B" w:rsidRDefault="0063305B"/>
    <w:p w14:paraId="0D53D766" w14:textId="77777777" w:rsidR="0063305B" w:rsidRDefault="0063305B"/>
    <w:p w14:paraId="6333D7B4" w14:textId="77777777" w:rsidR="0063305B" w:rsidRDefault="0063305B"/>
    <w:p w14:paraId="76A12455" w14:textId="77777777" w:rsidR="0063305B" w:rsidRDefault="0063305B"/>
    <w:p w14:paraId="3C23D4BA" w14:textId="77777777" w:rsidR="0063305B" w:rsidRDefault="0063305B"/>
    <w:p w14:paraId="59E3EF42" w14:textId="77777777" w:rsidR="0063305B" w:rsidRDefault="0063305B"/>
    <w:p w14:paraId="0092C055" w14:textId="77777777" w:rsidR="0063305B" w:rsidRDefault="0063305B"/>
    <w:p w14:paraId="44D705E5" w14:textId="77777777" w:rsidR="0063305B" w:rsidRDefault="0063305B"/>
    <w:p w14:paraId="038DAFAB" w14:textId="77777777" w:rsidR="0063305B" w:rsidRDefault="0063305B"/>
    <w:p w14:paraId="1D211546" w14:textId="77777777" w:rsidR="0063305B" w:rsidRDefault="0063305B"/>
    <w:p w14:paraId="5DF0D804" w14:textId="77777777" w:rsidR="0063305B" w:rsidRDefault="0063305B"/>
    <w:p w14:paraId="297B9874" w14:textId="77777777" w:rsidR="0063305B" w:rsidRDefault="0063305B"/>
    <w:p w14:paraId="26586DBA" w14:textId="77777777" w:rsidR="0063305B" w:rsidRDefault="0063305B"/>
    <w:p w14:paraId="37C93FE9" w14:textId="77777777" w:rsidR="0063305B" w:rsidRDefault="0063305B"/>
    <w:p w14:paraId="7000C0CA" w14:textId="77777777" w:rsidR="0063305B" w:rsidRDefault="0063305B"/>
    <w:p w14:paraId="24F4574B" w14:textId="77777777" w:rsidR="0063305B" w:rsidRDefault="0063305B"/>
    <w:p w14:paraId="52DE5ABF" w14:textId="77777777" w:rsidR="0063305B" w:rsidRDefault="0063305B"/>
    <w:p w14:paraId="028D25F1" w14:textId="77777777" w:rsidR="0063305B" w:rsidRDefault="0063305B"/>
    <w:p w14:paraId="0A54BF55" w14:textId="77777777" w:rsidR="0063305B" w:rsidRDefault="0063305B"/>
    <w:p w14:paraId="6B5F3AE1" w14:textId="77777777" w:rsidR="0063305B" w:rsidRDefault="0063305B"/>
    <w:p w14:paraId="4A3507F4" w14:textId="77777777" w:rsidR="0063305B" w:rsidRDefault="0063305B"/>
    <w:p w14:paraId="77794060" w14:textId="77777777" w:rsidR="0063305B" w:rsidRDefault="0063305B"/>
    <w:p w14:paraId="14D7E2A8" w14:textId="77777777" w:rsidR="0063305B" w:rsidRDefault="0063305B"/>
    <w:p w14:paraId="7634F69C" w14:textId="77777777" w:rsidR="0063305B" w:rsidRDefault="0063305B"/>
    <w:p w14:paraId="50798D77" w14:textId="156B3821" w:rsidR="0063305B" w:rsidRPr="004614CF" w:rsidRDefault="00334605">
      <w:pPr>
        <w:rPr>
          <w:b/>
          <w:bCs/>
        </w:rPr>
      </w:pPr>
      <w:r w:rsidRPr="004614CF">
        <w:rPr>
          <w:b/>
          <w:bCs/>
        </w:rPr>
        <w:lastRenderedPageBreak/>
        <w:t xml:space="preserve">Abstract </w:t>
      </w:r>
    </w:p>
    <w:p w14:paraId="681C2490" w14:textId="77777777" w:rsidR="000E5AD5" w:rsidRPr="000E5AD5" w:rsidRDefault="000E5AD5" w:rsidP="000E5AD5">
      <w:r w:rsidRPr="000E5AD5">
        <w:t xml:space="preserve">The goal of person-centred care (PCC) is to treat people with compassion, decency, and respect while making sure that their needs, values, and preferences are taken into consideration when making decisions regarding their care. It encourages patients to actively plan and manage their own health, which improves patient satisfaction and results. </w:t>
      </w:r>
      <w:proofErr w:type="gramStart"/>
      <w:r w:rsidRPr="000E5AD5">
        <w:t>In order to</w:t>
      </w:r>
      <w:proofErr w:type="gramEnd"/>
      <w:r w:rsidRPr="000E5AD5">
        <w:t xml:space="preserve"> provide coordinated and efficient care, partnership working (PW) entails cooperation between medical personnel, patients, families, and various organisations. It places a strong focus on respect for one another, communication, and group decision-making.</w:t>
      </w:r>
    </w:p>
    <w:p w14:paraId="2D13EBFE" w14:textId="6106EA10" w:rsidR="004614CF" w:rsidRDefault="004B75F2">
      <w:r w:rsidRPr="004B75F2">
        <w:t>Important conclusions show that PCC and PW raise patient safety, improve care quality, and boost confidence in medical services. Effective implementation, however, may be hampered by issues including inadequate training, scarce resources, and poor communication. To get past these obstacles, strong leadership and precise position descriptions are crucial.</w:t>
      </w:r>
    </w:p>
    <w:p w14:paraId="74FC626B" w14:textId="29F37414" w:rsidR="004614CF" w:rsidRPr="004614CF" w:rsidRDefault="004614CF">
      <w:pPr>
        <w:rPr>
          <w:b/>
          <w:bCs/>
        </w:rPr>
      </w:pPr>
      <w:r w:rsidRPr="004614CF">
        <w:rPr>
          <w:b/>
          <w:bCs/>
        </w:rPr>
        <w:t xml:space="preserve">Introduction </w:t>
      </w:r>
    </w:p>
    <w:p w14:paraId="388AF0F9" w14:textId="00845393" w:rsidR="00222EAD" w:rsidRDefault="005D7ED1">
      <w:r>
        <w:t xml:space="preserve">The key </w:t>
      </w:r>
      <w:r w:rsidR="009C31BA" w:rsidRPr="009C31BA">
        <w:t xml:space="preserve">points of </w:t>
      </w:r>
      <w:r w:rsidR="001E4CE1" w:rsidRPr="009C31BA">
        <w:t>person-centred</w:t>
      </w:r>
      <w:r w:rsidR="009C31BA" w:rsidRPr="009C31BA">
        <w:t xml:space="preserve"> care and partnership working main findings and recommendations</w:t>
      </w:r>
      <w:r w:rsidR="00122E5D">
        <w:t xml:space="preserve">, </w:t>
      </w:r>
      <w:r w:rsidR="00765741">
        <w:t xml:space="preserve">the clear structured summary </w:t>
      </w:r>
      <w:r w:rsidR="002D49D1">
        <w:t xml:space="preserve">of the key points are the main findings, and recommendations for person centred care </w:t>
      </w:r>
      <w:r w:rsidR="00222EAD">
        <w:t>and partnership working used in health and social care frameworks in the UK:</w:t>
      </w:r>
    </w:p>
    <w:p w14:paraId="3B925120" w14:textId="13AEB899" w:rsidR="006B48A6" w:rsidRDefault="00BF7434">
      <w:r>
        <w:t>Person centred care</w:t>
      </w:r>
      <w:r w:rsidR="00D81445">
        <w:t>, the</w:t>
      </w:r>
      <w:r>
        <w:t xml:space="preserve"> key points </w:t>
      </w:r>
      <w:r w:rsidR="00D81445">
        <w:t xml:space="preserve">are </w:t>
      </w:r>
      <w:r w:rsidR="001E4CE1">
        <w:t>Individual</w:t>
      </w:r>
      <w:r w:rsidR="00303398">
        <w:t xml:space="preserve"> needs first to care </w:t>
      </w:r>
      <w:r w:rsidR="00492139">
        <w:t xml:space="preserve">is tailored </w:t>
      </w:r>
      <w:r w:rsidR="00507A34">
        <w:t>to the persons pr</w:t>
      </w:r>
      <w:r w:rsidR="00DC7979">
        <w:t>eferences, values, culture</w:t>
      </w:r>
      <w:r w:rsidR="00AE6C4E">
        <w:t xml:space="preserve"> and life history.</w:t>
      </w:r>
      <w:r w:rsidR="00BC6FCD">
        <w:t xml:space="preserve"> </w:t>
      </w:r>
      <w:r w:rsidR="00AE6C4E">
        <w:t xml:space="preserve">Treat people as dignity respect individuals </w:t>
      </w:r>
      <w:r w:rsidR="00274704">
        <w:t>not just patients users</w:t>
      </w:r>
      <w:r w:rsidR="00A0276A">
        <w:t xml:space="preserve">, choices and control individuals should be involved in </w:t>
      </w:r>
      <w:r w:rsidR="001402BC">
        <w:t>decisions about their care and support. Consider physical</w:t>
      </w:r>
      <w:r w:rsidR="00A5449F">
        <w:t xml:space="preserve">, emotional, social </w:t>
      </w:r>
      <w:r w:rsidR="001E4CE1">
        <w:t>physical</w:t>
      </w:r>
      <w:r w:rsidR="00A5449F">
        <w:t xml:space="preserve"> needs and holistic approach.</w:t>
      </w:r>
      <w:r w:rsidR="00BC6FCD">
        <w:t xml:space="preserve"> </w:t>
      </w:r>
      <w:r w:rsidR="006B48A6">
        <w:t xml:space="preserve">Communication and </w:t>
      </w:r>
      <w:r w:rsidR="008D48B3">
        <w:t xml:space="preserve">empowerment supporting towards independence that should have </w:t>
      </w:r>
      <w:r w:rsidR="000277C4">
        <w:t xml:space="preserve">clear </w:t>
      </w:r>
      <w:r w:rsidR="00646B01">
        <w:t xml:space="preserve">accessible </w:t>
      </w:r>
      <w:r w:rsidR="000277C4">
        <w:t xml:space="preserve">honest </w:t>
      </w:r>
      <w:r w:rsidR="00646B01">
        <w:t>for individuals.</w:t>
      </w:r>
    </w:p>
    <w:p w14:paraId="7AAF4286" w14:textId="6AAB8CBA" w:rsidR="00B4703F" w:rsidRDefault="00EE4E71" w:rsidP="00B4703F">
      <w:r>
        <w:t>In this report</w:t>
      </w:r>
      <w:r w:rsidR="002D073E">
        <w:t xml:space="preserve"> </w:t>
      </w:r>
      <w:r w:rsidR="0087466F">
        <w:t>the professional setting</w:t>
      </w:r>
      <w:r>
        <w:t xml:space="preserve"> I am going to </w:t>
      </w:r>
      <w:r w:rsidR="00FD6F1C">
        <w:t>talk about</w:t>
      </w:r>
      <w:r w:rsidR="0087466F">
        <w:t xml:space="preserve"> is</w:t>
      </w:r>
      <w:r w:rsidR="00FD6F1C">
        <w:t xml:space="preserve"> Mental Health service</w:t>
      </w:r>
      <w:r w:rsidR="000B3E7E">
        <w:t>, the setting I have chosen is stress</w:t>
      </w:r>
      <w:r w:rsidR="006D25EA">
        <w:t>.</w:t>
      </w:r>
      <w:r w:rsidR="00B4703F" w:rsidRPr="00B4703F">
        <w:rPr>
          <w:rFonts w:ascii="Times New Roman" w:eastAsia="Times New Roman" w:hAnsi="Times New Roman" w:cs="Times New Roman"/>
          <w:kern w:val="0"/>
          <w:sz w:val="24"/>
          <w:szCs w:val="24"/>
          <w:lang w:eastAsia="en-GB"/>
          <w14:ligatures w14:val="none"/>
        </w:rPr>
        <w:t xml:space="preserve"> </w:t>
      </w:r>
      <w:r w:rsidR="00B4703F" w:rsidRPr="00B4703F">
        <w:t>The importance of paying attention to the person's experiences and emotions</w:t>
      </w:r>
      <w:r w:rsidR="00D86034">
        <w:t xml:space="preserve">, </w:t>
      </w:r>
      <w:r w:rsidR="00B4703F" w:rsidRPr="00B4703F">
        <w:t>Shared decision-making in medication and therapy</w:t>
      </w:r>
      <w:r w:rsidR="00D86034">
        <w:t xml:space="preserve"> </w:t>
      </w:r>
      <w:r w:rsidR="00B4703F" w:rsidRPr="00B4703F">
        <w:t>recovery-oriented strategy (rather than only managing symptoms)</w:t>
      </w:r>
      <w:r w:rsidR="00D86034">
        <w:t xml:space="preserve"> and r</w:t>
      </w:r>
      <w:r w:rsidR="00B4703F" w:rsidRPr="00B4703F">
        <w:t>espect for consent and autonomy</w:t>
      </w:r>
      <w:r w:rsidR="00D86034">
        <w:t>.</w:t>
      </w:r>
    </w:p>
    <w:p w14:paraId="0EFA3D57" w14:textId="50BDB078" w:rsidR="00B8482A" w:rsidRPr="00B8482A" w:rsidRDefault="00B8482A" w:rsidP="00B4703F">
      <w:pPr>
        <w:rPr>
          <w:b/>
          <w:bCs/>
        </w:rPr>
      </w:pPr>
      <w:r w:rsidRPr="00B8482A">
        <w:rPr>
          <w:b/>
          <w:bCs/>
        </w:rPr>
        <w:t>Definition of PCC</w:t>
      </w:r>
    </w:p>
    <w:p w14:paraId="4DFE199A" w14:textId="7151851D" w:rsidR="002E5809" w:rsidRDefault="00B8482A" w:rsidP="002E5809">
      <w:r w:rsidRPr="00B8482A">
        <w:t xml:space="preserve">The concept of Person-Centred Care (PCC) </w:t>
      </w:r>
      <w:proofErr w:type="spellStart"/>
      <w:r w:rsidRPr="00B8482A">
        <w:t>centers</w:t>
      </w:r>
      <w:proofErr w:type="spellEnd"/>
      <w:r w:rsidRPr="00B8482A">
        <w:t xml:space="preserve"> healthcare around the needs, preferences, and values of the individual. Stress management has several significant advantages, particularly when it comes to patient satisfaction and health results.</w:t>
      </w:r>
      <w:r w:rsidR="00010448">
        <w:t xml:space="preserve"> </w:t>
      </w:r>
      <w:r w:rsidR="002E5809" w:rsidRPr="002E5809">
        <w:t>Active participation Patients have a greater sense of control over their treatment programs, which is crucial for coping with stress.</w:t>
      </w:r>
    </w:p>
    <w:p w14:paraId="71B54464" w14:textId="3E1F7601" w:rsidR="00CA1746" w:rsidRDefault="00CA1746" w:rsidP="00CA1746">
      <w:r w:rsidRPr="00CA1746">
        <w:t>Improved communication Between patients and healthcare professionals, open, compassionate discussions lower anxiety and increase trust.</w:t>
      </w:r>
      <w:r w:rsidR="002E4156">
        <w:t xml:space="preserve"> </w:t>
      </w:r>
      <w:r w:rsidRPr="00CA1746">
        <w:t>Respect for uniqueness Instead of adopting a one-size-fits-all strategy, PCC recognises that stress triggers and coping mechanisms vary from individual to person.</w:t>
      </w:r>
    </w:p>
    <w:p w14:paraId="3663AEB3" w14:textId="4407EBCC" w:rsidR="00203C82" w:rsidRPr="00203C82" w:rsidRDefault="00203C82" w:rsidP="00203C82">
      <w:r w:rsidRPr="00203C82">
        <w:t>Longer consultation times</w:t>
      </w:r>
      <w:r>
        <w:t xml:space="preserve"> are </w:t>
      </w:r>
      <w:r w:rsidRPr="00203C82">
        <w:t>Compared to typical care, comprehending a patient's preferences, lifestyle, and stressors necessitates longer in-depth discussions.</w:t>
      </w:r>
      <w:r w:rsidRPr="00203C82">
        <w:br/>
        <w:t>Staffing shortages already plague many healthcare facilities, making it challenging to give each patient individualised care.</w:t>
      </w:r>
      <w:r w:rsidRPr="00203C82">
        <w:br/>
        <w:t>Cost of training</w:t>
      </w:r>
      <w:r>
        <w:t xml:space="preserve"> the</w:t>
      </w:r>
      <w:r w:rsidRPr="00203C82">
        <w:t xml:space="preserve"> Professionals require extra instruction in joint decision-making, empathy, and communication.</w:t>
      </w:r>
      <w:r w:rsidR="00771911">
        <w:t xml:space="preserve"> </w:t>
      </w:r>
      <w:r w:rsidRPr="00203C82">
        <w:t xml:space="preserve">Financial constraints </w:t>
      </w:r>
      <w:r w:rsidR="00771911">
        <w:t>h</w:t>
      </w:r>
      <w:r w:rsidRPr="00203C82">
        <w:t>ealthcare systems with limited funds may put volume and efficiency ahead of individualised care.</w:t>
      </w:r>
    </w:p>
    <w:p w14:paraId="65BCD5EB" w14:textId="20CFE8A2" w:rsidR="00075837" w:rsidRPr="00075837" w:rsidRDefault="0089026E" w:rsidP="00075837">
      <w:r w:rsidRPr="0089026E">
        <w:lastRenderedPageBreak/>
        <w:t xml:space="preserve">It is helpful to adapt the definition of Person-Centred Care (PCC) as well as its advantages and limits to a real-world context </w:t>
      </w:r>
      <w:r w:rsidR="004B438C" w:rsidRPr="0089026E">
        <w:t>to</w:t>
      </w:r>
      <w:r w:rsidRPr="0089026E">
        <w:t xml:space="preserve"> relate PCC to a practical situation.</w:t>
      </w:r>
      <w:r w:rsidR="00075837">
        <w:t xml:space="preserve"> In a professional setting the doctor </w:t>
      </w:r>
      <w:r w:rsidR="00075837" w:rsidRPr="00075837">
        <w:t>pays close attention to the patient's experiences with stress such as family problems or work pressure</w:t>
      </w:r>
      <w:r w:rsidR="00075837">
        <w:t xml:space="preserve"> </w:t>
      </w:r>
      <w:r w:rsidR="004B438C">
        <w:t>and</w:t>
      </w:r>
      <w:r w:rsidR="00075837">
        <w:t xml:space="preserve"> </w:t>
      </w:r>
      <w:r w:rsidR="004B438C" w:rsidRPr="00075837">
        <w:t>considers</w:t>
      </w:r>
      <w:r w:rsidR="00075837" w:rsidRPr="00075837">
        <w:t xml:space="preserve"> their individual circumstances, values, and interests.</w:t>
      </w:r>
      <w:r w:rsidR="004B438C">
        <w:t xml:space="preserve"> </w:t>
      </w:r>
      <w:r w:rsidR="00075837" w:rsidRPr="00075837">
        <w:t>involves them in choosing a stress-reduction strategy such as therapy, lifestyle modifications, or medication.</w:t>
      </w:r>
    </w:p>
    <w:p w14:paraId="53B79057" w14:textId="77777777" w:rsidR="00C62C04" w:rsidRPr="00C62C04" w:rsidRDefault="00C46187" w:rsidP="00C62C04">
      <w:r>
        <w:t xml:space="preserve"> </w:t>
      </w:r>
      <w:r w:rsidR="00C62C04" w:rsidRPr="00C62C04">
        <w:t>When talking about stress, which is frequently invisible, patients feel taken seriously.</w:t>
      </w:r>
      <w:r w:rsidR="00C62C04" w:rsidRPr="00C62C04">
        <w:br/>
        <w:t>For instance, if a doctor investigates a patient's work-related stress instead of just writing a prescription for medication, the patient may feel better supported.</w:t>
      </w:r>
    </w:p>
    <w:p w14:paraId="29DE607F" w14:textId="77777777" w:rsidR="008B0233" w:rsidRDefault="00094CB7" w:rsidP="0069327C">
      <w:pPr>
        <w:rPr>
          <w:b/>
          <w:bCs/>
        </w:rPr>
      </w:pPr>
      <w:r w:rsidRPr="00094CB7">
        <w:rPr>
          <w:b/>
          <w:bCs/>
        </w:rPr>
        <w:t xml:space="preserve">Relevant theories </w:t>
      </w:r>
    </w:p>
    <w:p w14:paraId="475483E0" w14:textId="1DCF0422" w:rsidR="0069327C" w:rsidRPr="008B0233" w:rsidRDefault="00782277" w:rsidP="0069327C">
      <w:pPr>
        <w:rPr>
          <w:b/>
          <w:bCs/>
        </w:rPr>
      </w:pPr>
      <w:r>
        <w:t xml:space="preserve"> </w:t>
      </w:r>
      <w:r w:rsidR="00633BFA" w:rsidRPr="00633BFA">
        <w:t xml:space="preserve">In health and social care, mental health is understood through </w:t>
      </w:r>
      <w:r w:rsidR="002F2F54" w:rsidRPr="00633BFA">
        <w:t>a few</w:t>
      </w:r>
      <w:r w:rsidR="00633BFA" w:rsidRPr="00633BFA">
        <w:t xml:space="preserve"> important ideas that assist practitioners in diagnosing disorders, explaining behaviour, and developing support plans. The primary ones that are connected to the care principles are as follows</w:t>
      </w:r>
      <w:r w:rsidR="0069327C">
        <w:t xml:space="preserve">; </w:t>
      </w:r>
      <w:r w:rsidR="0069327C" w:rsidRPr="0069327C">
        <w:t>Professionals benefit from mental health theorie</w:t>
      </w:r>
      <w:r w:rsidR="0069327C">
        <w:t>s, r</w:t>
      </w:r>
      <w:r w:rsidR="0069327C" w:rsidRPr="0069327C">
        <w:t>ecognis</w:t>
      </w:r>
      <w:r w:rsidR="0069327C">
        <w:t>ing</w:t>
      </w:r>
      <w:r w:rsidR="0069327C" w:rsidRPr="0069327C">
        <w:t xml:space="preserve"> the causes of mental illness</w:t>
      </w:r>
      <w:r w:rsidR="0069327C">
        <w:t xml:space="preserve">es, </w:t>
      </w:r>
      <w:r w:rsidR="002F2F54">
        <w:t>p</w:t>
      </w:r>
      <w:r w:rsidR="002F2F54" w:rsidRPr="0069327C">
        <w:t>lan</w:t>
      </w:r>
      <w:r w:rsidR="002F2F54">
        <w:t>ning</w:t>
      </w:r>
      <w:r w:rsidR="0069327C" w:rsidRPr="0069327C">
        <w:t xml:space="preserve"> the proper care and assistance</w:t>
      </w:r>
      <w:r w:rsidR="0069327C">
        <w:t xml:space="preserve"> and p</w:t>
      </w:r>
      <w:r w:rsidR="0069327C" w:rsidRPr="0069327C">
        <w:t>rovid</w:t>
      </w:r>
      <w:r w:rsidR="0069327C">
        <w:t>ing</w:t>
      </w:r>
      <w:r w:rsidR="0069327C" w:rsidRPr="0069327C">
        <w:t xml:space="preserve"> care based on fundamental values such as holistic support, equality, dignity, and person-centred care.</w:t>
      </w:r>
    </w:p>
    <w:p w14:paraId="6D039291" w14:textId="77777777" w:rsidR="004D3E4A" w:rsidRDefault="004D3E4A" w:rsidP="004D3E4A">
      <w:r w:rsidRPr="004D3E4A">
        <w:t>Urie Bronfenbrenner's Ecological Model is the theory that has the strongest connection to mental health because it offers a thorough explanation of how social, cultural, and environmental elements interact to affect mental wellbeing. But because it emphasises how social injustices affect mental health outcomes, the Social Model of Health is also very pertinent.</w:t>
      </w:r>
    </w:p>
    <w:p w14:paraId="645129D8" w14:textId="77777777" w:rsidR="00867F6E" w:rsidRPr="00867F6E" w:rsidRDefault="00867F6E" w:rsidP="00867F6E">
      <w:r w:rsidRPr="00867F6E">
        <w:t>it highlights the intricate relationship between people and their surroundings, Urie Bronfenbrenner's Ecological Model of Human Development is extremely pertinent to comprehending mental health. According to the theory, a variety of factors, including as family, social interactions, community structures, and broader socioeconomic and cultural settings, influence mental health and wellness. Because of this, it is especially useful in the fields of health and social care, where a comprehensive understanding of people is crucial.</w:t>
      </w:r>
    </w:p>
    <w:p w14:paraId="153FC03C" w14:textId="6EDC8177" w:rsidR="00A81E6A" w:rsidRDefault="00A81E6A" w:rsidP="00A6405B">
      <w:r w:rsidRPr="00A81E6A">
        <w:t>a comprehensive understanding of people within the context of their environments, Urie Bronfenbrenner's Ecological Model of Human Development firmly supports the tenets of Person-Centred Care (PCC). Bronfenbrenner's multi-layered approach reinforces the core principles of PCC, which include valuing individuals, respecting their choices, and customising care to match their specific needs.</w:t>
      </w:r>
    </w:p>
    <w:p w14:paraId="7023916D" w14:textId="10D6A334" w:rsidR="00A6405B" w:rsidRDefault="00A6405B" w:rsidP="00A6405B">
      <w:r w:rsidRPr="00A6405B">
        <w:t xml:space="preserve">Holistic care, which </w:t>
      </w:r>
      <w:proofErr w:type="gramStart"/>
      <w:r w:rsidRPr="00A6405B">
        <w:t>takes into account</w:t>
      </w:r>
      <w:proofErr w:type="gramEnd"/>
      <w:r w:rsidRPr="00A6405B">
        <w:t xml:space="preserve"> every facet of a person's life, is the cornerstone of PCC. This is consistent with Bronfenbrenner's model, which identifies several systems that affect a person's wellbeing, such as the macrosystem cultural and societal values, </w:t>
      </w:r>
      <w:proofErr w:type="spellStart"/>
      <w:r w:rsidRPr="00A6405B">
        <w:t>exosystem</w:t>
      </w:r>
      <w:proofErr w:type="spellEnd"/>
      <w:r w:rsidRPr="00A6405B">
        <w:t xml:space="preserve"> (indirect influences like services), mesosystem connections between environments, and microsystem family and close relationships. This guarantees that while planning care, medical professionals </w:t>
      </w:r>
      <w:proofErr w:type="gramStart"/>
      <w:r w:rsidRPr="00A6405B">
        <w:t>take into account</w:t>
      </w:r>
      <w:proofErr w:type="gramEnd"/>
      <w:r w:rsidRPr="00A6405B">
        <w:t xml:space="preserve"> broader elements including family dynamics, social support, and cultural background rather than just symptoms.</w:t>
      </w:r>
    </w:p>
    <w:p w14:paraId="5D77904C" w14:textId="77777777" w:rsidR="00203C03" w:rsidRDefault="00203C03" w:rsidP="00940DB4">
      <w:pPr>
        <w:spacing w:after="0" w:line="240" w:lineRule="auto"/>
      </w:pPr>
    </w:p>
    <w:p w14:paraId="02EC7CC5" w14:textId="71121333" w:rsidR="00940DB4" w:rsidRPr="00203C03" w:rsidRDefault="00940DB4" w:rsidP="00940DB4">
      <w:pPr>
        <w:spacing w:after="0" w:line="240" w:lineRule="auto"/>
        <w:rPr>
          <w:rFonts w:ascii="Arial" w:eastAsia="Arial" w:hAnsi="Arial" w:cs="Arial"/>
          <w:b/>
          <w:bCs/>
          <w:sz w:val="20"/>
          <w:szCs w:val="20"/>
        </w:rPr>
      </w:pPr>
      <w:r w:rsidRPr="00203C03">
        <w:rPr>
          <w:rFonts w:ascii="Arial" w:eastAsia="Arial" w:hAnsi="Arial" w:cs="Arial"/>
          <w:b/>
          <w:bCs/>
          <w:sz w:val="20"/>
          <w:szCs w:val="20"/>
        </w:rPr>
        <w:t>Ethical Fundamentals</w:t>
      </w:r>
    </w:p>
    <w:p w14:paraId="30B3572C" w14:textId="77777777" w:rsidR="00FF1B58" w:rsidRDefault="00FF1B58" w:rsidP="00940DB4">
      <w:pPr>
        <w:spacing w:after="0" w:line="240" w:lineRule="auto"/>
        <w:rPr>
          <w:rFonts w:ascii="Arial" w:eastAsia="Arial" w:hAnsi="Arial" w:cs="Arial"/>
          <w:b/>
          <w:bCs/>
        </w:rPr>
      </w:pPr>
    </w:p>
    <w:p w14:paraId="7A95901B" w14:textId="77777777" w:rsidR="00E56EFD" w:rsidRDefault="00E56EFD" w:rsidP="00E56EFD">
      <w:r w:rsidRPr="00E56EFD">
        <w:t xml:space="preserve">In health and social care, ethical principles are essential because they help practitioners provide safe, efficient, and rights-respecting care. These guidelines guarantee that people are treated with respect and that their welfare is given top priority while upholding professional standards. High-quality, </w:t>
      </w:r>
      <w:r w:rsidRPr="00E56EFD">
        <w:lastRenderedPageBreak/>
        <w:t>person-centred care is based on fundamental ethical concepts such as autonomy, beneficence, non-maleficence, justice, confidentiality, and accountability.</w:t>
      </w:r>
    </w:p>
    <w:p w14:paraId="67F1E5A2" w14:textId="77777777" w:rsidR="00D800AF" w:rsidRDefault="00D800AF" w:rsidP="00D800AF">
      <w:r w:rsidRPr="00D800AF">
        <w:t xml:space="preserve">The right of an individual to make their own decisions regarding their care and treatment is referred to as autonomy. Because it honours autonomy and individual preference, this idea is essential to person-centred care. </w:t>
      </w:r>
      <w:proofErr w:type="gramStart"/>
      <w:r w:rsidRPr="00D800AF">
        <w:t>In reality, before</w:t>
      </w:r>
      <w:proofErr w:type="gramEnd"/>
      <w:r w:rsidRPr="00D800AF">
        <w:t xml:space="preserve"> any intervention occurs, professionals must make sure that people are fully informed about their options and have given their consent. Respecting autonomy can be difficult at times, especially when a person makes choices that experts think are not in their best interests. Nevertheless, unless there are safety or legal issues, it is essential that their rights are respected.</w:t>
      </w:r>
    </w:p>
    <w:p w14:paraId="41FDD87A" w14:textId="77777777" w:rsidR="00934C9C" w:rsidRPr="00934C9C" w:rsidRDefault="00934C9C" w:rsidP="00934C9C">
      <w:r w:rsidRPr="00934C9C">
        <w:t>Promoting an individual's well-being and working in their best interests are key components of beneficence. Whether through efficient treatment, emotional support, or enhancing quality of life, health and social care providers must strive to deliver care that benefits the individual. According to this idea, practitioners must prioritise the needs of people under their care and use their knowledge and abilities to produce positive outcomes.</w:t>
      </w:r>
    </w:p>
    <w:p w14:paraId="73C3D282" w14:textId="77777777" w:rsidR="002F1A22" w:rsidRPr="002F1A22" w:rsidRDefault="002F1A22" w:rsidP="002F1A22">
      <w:r w:rsidRPr="002F1A22">
        <w:t>"Do no harm" is the definition of non-maleficence. According to this notion, professionals must thoroughly consider the advantages and disadvantages of each course of action and refrain from causing bodily or psychological harm. Non-maleficence can be upheld, for instance, by providing medication securely, according to proper protocols, and avoiding negligence. When a treatment may have adverse consequences but ultimately improve long-term health, for example, there may be a conflict between beneficence and non-maleficence; in these circumstances, cautious judgement is needed.</w:t>
      </w:r>
    </w:p>
    <w:p w14:paraId="71D54C2C" w14:textId="77777777" w:rsidR="00692BAB" w:rsidRPr="00692BAB" w:rsidRDefault="00692BAB" w:rsidP="00692BAB">
      <w:r w:rsidRPr="00692BAB">
        <w:t xml:space="preserve">Equality and fairness in the provision of care are referred to as justice. It guarantees that no one is subjected to discrimination </w:t>
      </w:r>
      <w:proofErr w:type="gramStart"/>
      <w:r w:rsidRPr="00692BAB">
        <w:t>on the basis of</w:t>
      </w:r>
      <w:proofErr w:type="gramEnd"/>
      <w:r w:rsidRPr="00692BAB">
        <w:t xml:space="preserve"> age, gender, ethnicity, or socioeconomic status and that everyone has equal access to services. </w:t>
      </w:r>
      <w:proofErr w:type="gramStart"/>
      <w:r w:rsidRPr="00692BAB">
        <w:t>In order to</w:t>
      </w:r>
      <w:proofErr w:type="gramEnd"/>
      <w:r w:rsidRPr="00692BAB">
        <w:t xml:space="preserve"> alleviate health disparities and guarantee that resources are dispersed equitably among communities, justice is especially crucial.</w:t>
      </w:r>
    </w:p>
    <w:p w14:paraId="3413710F" w14:textId="77777777" w:rsidR="007750CF" w:rsidRPr="007750CF" w:rsidRDefault="007750CF" w:rsidP="007750CF">
      <w:r w:rsidRPr="007750CF">
        <w:t>Person-Centred Care (PCC) and Person-Centred Values/Working (PW) are strongly related to ethical concepts like autonomy, beneficence, non-maleficence, and justice since they both emphasise advancing the rights, dignity, and well-being of individuals. These values offer the moral framework that guarantees care is customised for each patient while upholding professional standards.</w:t>
      </w:r>
    </w:p>
    <w:p w14:paraId="42C6B039" w14:textId="77777777" w:rsidR="00970EEF" w:rsidRPr="00970EEF" w:rsidRDefault="00970EEF" w:rsidP="00970EEF">
      <w:r w:rsidRPr="00970EEF">
        <w:t xml:space="preserve">Professionals commonly encounter moral conundrums in mental health settings, such as community mental health teams or inpatient psychiatric hospitals, where it is necessary to strike a balance between competing principles autonomy, beneficence, non-maleficence, and justice. </w:t>
      </w:r>
      <w:proofErr w:type="gramStart"/>
      <w:r w:rsidRPr="00970EEF">
        <w:t>In order to</w:t>
      </w:r>
      <w:proofErr w:type="gramEnd"/>
      <w:r w:rsidRPr="00970EEF">
        <w:t xml:space="preserve"> resolve these issues in a person-centred and moral manner, it is crucial to </w:t>
      </w:r>
      <w:proofErr w:type="gramStart"/>
      <w:r w:rsidRPr="00970EEF">
        <w:t>take into account</w:t>
      </w:r>
      <w:proofErr w:type="gramEnd"/>
      <w:r w:rsidRPr="00970EEF">
        <w:t xml:space="preserve"> various points of view, including those of patients, families, and professionals.</w:t>
      </w:r>
    </w:p>
    <w:p w14:paraId="4928A556" w14:textId="332F6CDC" w:rsidR="007233AB" w:rsidRDefault="000A0087" w:rsidP="00D800AF">
      <w:r w:rsidRPr="000A0087">
        <w:rPr>
          <w:b/>
          <w:bCs/>
          <w:lang w:val="en-US"/>
        </w:rPr>
        <w:t xml:space="preserve">Evaluation of Partnership </w:t>
      </w:r>
      <w:proofErr w:type="gramStart"/>
      <w:r w:rsidRPr="000A0087">
        <w:rPr>
          <w:b/>
          <w:bCs/>
          <w:lang w:val="en-US"/>
        </w:rPr>
        <w:t>working</w:t>
      </w:r>
      <w:proofErr w:type="gramEnd"/>
    </w:p>
    <w:p w14:paraId="535C1B9C" w14:textId="39E5BBFC" w:rsidR="007C2053" w:rsidRPr="007C2053" w:rsidRDefault="00C8573C" w:rsidP="007C2053">
      <w:r w:rsidRPr="007C2053">
        <w:t xml:space="preserve">Health </w:t>
      </w:r>
      <w:r w:rsidR="007C2053" w:rsidRPr="007C2053">
        <w:t>and social care, Person-Centred Working (PW) emphasises viewing each person as an individual rather than merely a patient or service user. It engages people in making decisions about their care and places a strong emphasis on respecting their needs, choices, values, and rights. For PW to provide individualised, comprehensive, and empowering care, professionals, patients, families, and communities must work together.</w:t>
      </w:r>
      <w:r>
        <w:t xml:space="preserve"> </w:t>
      </w:r>
    </w:p>
    <w:p w14:paraId="21FEA9BB" w14:textId="77777777" w:rsidR="00A313D1" w:rsidRPr="00A313D1" w:rsidRDefault="00A313D1" w:rsidP="00A313D1">
      <w:r w:rsidRPr="00A313D1">
        <w:t xml:space="preserve">In the health and social care sectors, person-centred working is essential to providing complete, moral, and patient-specific treatment. By incorporating PW principles through systems like ICSs, </w:t>
      </w:r>
      <w:r w:rsidRPr="00A313D1">
        <w:lastRenderedPageBreak/>
        <w:t>professionals may build a truly person-centred care environment that improves welfare, fosters autonomy, improves communication, and offers more equal services.</w:t>
      </w:r>
    </w:p>
    <w:p w14:paraId="1F7789C3" w14:textId="77777777" w:rsidR="003053C4" w:rsidRPr="003053C4" w:rsidRDefault="003053C4" w:rsidP="003053C4">
      <w:r w:rsidRPr="003053C4">
        <w:t>Person-centred working is essential in the health and social care sectors because it ensures that care is moral, thorough, and considerate of each person's needs. Professionals may create a fully person-centred care environment by enhancing welfare, promoting autonomy, improving communication, and delivering more equitable services by incorporating PW principles through systems like ICSs.</w:t>
      </w:r>
    </w:p>
    <w:p w14:paraId="5BC768AB" w14:textId="46C3704A" w:rsidR="00307164" w:rsidRPr="00762D6F" w:rsidRDefault="00762D6F" w:rsidP="00D800AF">
      <w:pPr>
        <w:rPr>
          <w:b/>
          <w:bCs/>
        </w:rPr>
      </w:pPr>
      <w:r w:rsidRPr="00762D6F">
        <w:rPr>
          <w:b/>
          <w:bCs/>
        </w:rPr>
        <w:t>Policy and legislation</w:t>
      </w:r>
    </w:p>
    <w:p w14:paraId="52FBE031" w14:textId="77777777" w:rsidR="005B4039" w:rsidRPr="005B4039" w:rsidRDefault="005B4039" w:rsidP="005B4039">
      <w:r w:rsidRPr="005B4039">
        <w:t>Policies and laws provide the framework, norms, and legal requirements for the delivery of health and social care services. They are crucial in ensuring that care is safe, equitable, and person-centred while also protecting the rights of service users and providers. Important laws dealing to mental health care include the Mental Health Act of 1983, the Health and Care Act of 2022, and the Health and Social Care Act of 2012.</w:t>
      </w:r>
    </w:p>
    <w:p w14:paraId="6653C218" w14:textId="11E4E9B9" w:rsidR="00A804A9" w:rsidRDefault="00A804A9" w:rsidP="00A804A9">
      <w:r w:rsidRPr="00A804A9">
        <w:t xml:space="preserve">The Health and Care Act of 2022 </w:t>
      </w:r>
      <w:r w:rsidRPr="00A804A9">
        <w:t>aim</w:t>
      </w:r>
      <w:r w:rsidRPr="00A804A9">
        <w:t xml:space="preserve"> to integrate health and social care, improve service quality and accessibility, and empower local decision-making. supports Integrated Care Systems (ICSs), which bring together the National Health Service (NHS), local governments, and voluntary services to coordinate care based on individual needs. </w:t>
      </w:r>
      <w:r w:rsidRPr="00A804A9">
        <w:br/>
        <w:t>increases patient and service user involvement in healthcare decisions by promoting thorough care planning.</w:t>
      </w:r>
    </w:p>
    <w:p w14:paraId="717DAC17" w14:textId="77777777" w:rsidR="009C5731" w:rsidRPr="009C5731" w:rsidRDefault="009C5731" w:rsidP="009C5731">
      <w:r w:rsidRPr="009C5731">
        <w:t xml:space="preserve">The rights, care, and treatment of people with mental illnesses—including circumstances in which they might be detained or treated against their will—are governed by the Mental Health Act. </w:t>
      </w:r>
      <w:r w:rsidRPr="009C5731">
        <w:br/>
        <w:t>provides legal safeguards for patient rights, ensuring that moral behaviour is consistent with autonomy, beneficence, and non-maleficence.</w:t>
      </w:r>
    </w:p>
    <w:p w14:paraId="3A7A9605" w14:textId="1DB23359" w:rsidR="00524329" w:rsidRPr="00D07EBD" w:rsidRDefault="00D07EBD" w:rsidP="00A804A9">
      <w:pPr>
        <w:rPr>
          <w:b/>
          <w:bCs/>
        </w:rPr>
      </w:pPr>
      <w:r>
        <w:t xml:space="preserve"> </w:t>
      </w:r>
      <w:r w:rsidRPr="00D07EBD">
        <w:rPr>
          <w:b/>
          <w:bCs/>
        </w:rPr>
        <w:t xml:space="preserve">Recommendations </w:t>
      </w:r>
    </w:p>
    <w:p w14:paraId="0529D0D0" w14:textId="77777777" w:rsidR="003A2B9F" w:rsidRPr="003A2B9F" w:rsidRDefault="00132B2D" w:rsidP="003A2B9F">
      <w:r w:rsidRPr="00132B2D">
        <w:t>Encourage legislation that prioritises workforce development, finance, and mental health integration. Laws like the Health and Care Act 2022 lay the groundwork for integration; further policy development may specifically include PCC and PW in commissioning and performance metrics (NHS, 2023).</w:t>
      </w:r>
      <w:r w:rsidR="003A2B9F">
        <w:t xml:space="preserve"> </w:t>
      </w:r>
      <w:r w:rsidR="003A2B9F" w:rsidRPr="003A2B9F">
        <w:t>Policies requiring patient participation in service planning, financing for cooperative programs, and staff support systems could be beneficial to mental health wards and community teams.</w:t>
      </w:r>
    </w:p>
    <w:p w14:paraId="532FF1A5" w14:textId="474E3F12" w:rsidR="00CC077C" w:rsidRPr="00CC077C" w:rsidRDefault="00817F02" w:rsidP="00CC077C">
      <w:r w:rsidRPr="00817F02">
        <w:t>The advantages for patient outcomes, service efficiency, and ethical practice make these initiatives crucial for the advancement of mental health care in the future, despite potential obstacles including funding constraints, staff shortages, and digital isolation.</w:t>
      </w:r>
      <w:r>
        <w:t xml:space="preserve"> </w:t>
      </w:r>
      <w:r w:rsidRPr="00817F02">
        <w:t xml:space="preserve">These suggestions seek to improve person-centred, moral, and efficient mental health services in the United </w:t>
      </w:r>
      <w:proofErr w:type="gramStart"/>
      <w:r w:rsidRPr="00817F02">
        <w:t>Kingdom .</w:t>
      </w:r>
      <w:proofErr w:type="gramEnd"/>
      <w:r w:rsidR="00CC077C">
        <w:t xml:space="preserve"> </w:t>
      </w:r>
      <w:r w:rsidR="00CC077C" w:rsidRPr="00CC077C">
        <w:t>Using technology to increase accessibility and participation</w:t>
      </w:r>
      <w:r w:rsidR="005B3786">
        <w:t xml:space="preserve"> and </w:t>
      </w:r>
      <w:r w:rsidR="00CC077C" w:rsidRPr="00CC077C">
        <w:t>workforce development and training</w:t>
      </w:r>
      <w:r w:rsidR="005B3786">
        <w:t xml:space="preserve"> and </w:t>
      </w:r>
      <w:proofErr w:type="gramStart"/>
      <w:r w:rsidR="00CC077C" w:rsidRPr="00CC077C">
        <w:t>Fostering</w:t>
      </w:r>
      <w:proofErr w:type="gramEnd"/>
      <w:r w:rsidR="00203C03">
        <w:t xml:space="preserve"> </w:t>
      </w:r>
      <w:r w:rsidR="00CC077C" w:rsidRPr="00CC077C">
        <w:t>cooperative alliances</w:t>
      </w:r>
      <w:r w:rsidR="005B3786">
        <w:t xml:space="preserve">. It </w:t>
      </w:r>
      <w:r w:rsidR="00CC077C" w:rsidRPr="00CC077C">
        <w:t>Encourag</w:t>
      </w:r>
      <w:r w:rsidR="005B3786">
        <w:t>es</w:t>
      </w:r>
      <w:r w:rsidR="00CC077C" w:rsidRPr="00CC077C">
        <w:t xml:space="preserve"> practice that is informed by research</w:t>
      </w:r>
      <w:r w:rsidR="005B3786">
        <w:t xml:space="preserve"> by p</w:t>
      </w:r>
      <w:r w:rsidR="00CC077C" w:rsidRPr="00CC077C">
        <w:t>romoting the creation of policies</w:t>
      </w:r>
      <w:r w:rsidR="00203C03">
        <w:t>.</w:t>
      </w:r>
    </w:p>
    <w:p w14:paraId="67A13707" w14:textId="46111F5E" w:rsidR="00D07EBD" w:rsidRDefault="00203C03" w:rsidP="00A804A9">
      <w:pPr>
        <w:rPr>
          <w:b/>
          <w:bCs/>
        </w:rPr>
      </w:pPr>
      <w:r w:rsidRPr="00203C03">
        <w:rPr>
          <w:b/>
          <w:bCs/>
        </w:rPr>
        <w:t xml:space="preserve">Conclusion </w:t>
      </w:r>
    </w:p>
    <w:p w14:paraId="12E615E0" w14:textId="3D95842D" w:rsidR="00232DE0" w:rsidRPr="00232DE0" w:rsidRDefault="00232DE0" w:rsidP="00232DE0">
      <w:r w:rsidRPr="00232DE0">
        <w:t xml:space="preserve">This report has explored the importance of Person-Centred Care (PCC) and Person-Centred Working (PW) in health and social care, with a focus on mental health services. It has demonstrated that PCC and PW are essential for delivering ethically sound, thorough, and effective treatment, putting the patient at the </w:t>
      </w:r>
      <w:r w:rsidR="00C8573C" w:rsidRPr="00232DE0">
        <w:t>centre</w:t>
      </w:r>
      <w:r w:rsidRPr="00232DE0">
        <w:t xml:space="preserve"> of all decision-making and ensuring that their needs, preferences, and rights are respected.</w:t>
      </w:r>
    </w:p>
    <w:p w14:paraId="79CD5C3B" w14:textId="77777777" w:rsidR="00FE1DB9" w:rsidRDefault="0055658F" w:rsidP="00FE1DB9">
      <w:r w:rsidRPr="0055658F">
        <w:lastRenderedPageBreak/>
        <w:t>challenges and ethical dilemmas, include finding a balance between patient autonomy and risk management, resource limitations, and barriers to service integration.</w:t>
      </w:r>
      <w:r w:rsidR="00E06B62">
        <w:t xml:space="preserve"> </w:t>
      </w:r>
      <w:r w:rsidR="00E06B62" w:rsidRPr="00E06B62">
        <w:t>The ethical principles of autonomy, beneficence, non-maleficence, and fairness serve as the foundation for PCC and PW</w:t>
      </w:r>
      <w:r w:rsidR="00E06B62">
        <w:t xml:space="preserve">, </w:t>
      </w:r>
      <w:r w:rsidR="00E06B62" w:rsidRPr="00E06B62">
        <w:t>How</w:t>
      </w:r>
      <w:r w:rsidR="00E06B62">
        <w:t xml:space="preserve"> the</w:t>
      </w:r>
      <w:r w:rsidR="00E06B62" w:rsidRPr="00E06B62">
        <w:t xml:space="preserve"> laws and regulations that impact service delivery and safeguard patient rights include the Health and Social Care Act of 2012, the Mental Health Act of 1983 (as amended), and the Health and Care Act of 2022.</w:t>
      </w:r>
      <w:r w:rsidR="00FE1DB9">
        <w:t xml:space="preserve"> </w:t>
      </w:r>
      <w:r w:rsidR="00FE1DB9" w:rsidRPr="00FE1DB9">
        <w:t>the advantages of PCC and PW for teamwork, communication, wellbeing, and resource efficiency in practical settings such as community mental health teams and inpatient psychiatric institutions.</w:t>
      </w:r>
    </w:p>
    <w:p w14:paraId="03F964F3" w14:textId="77777777" w:rsidR="009E1ADC" w:rsidRPr="009E1ADC" w:rsidRDefault="009E1ADC" w:rsidP="009E1ADC">
      <w:r w:rsidRPr="009E1ADC">
        <w:t>In summary, consistent implementation of PCC and PW throughout mental health services ensures patient-</w:t>
      </w:r>
      <w:proofErr w:type="spellStart"/>
      <w:r w:rsidRPr="009E1ADC">
        <w:t>centered</w:t>
      </w:r>
      <w:proofErr w:type="spellEnd"/>
      <w:r w:rsidRPr="009E1ADC">
        <w:t xml:space="preserve">, ethical, and integrative care. These tactics not only improve patient outcomes but also help staff produce high-quality care and steer organisations toward equitable and efficient service delivery. By overcoming challenges and putting recommendations into practice, health and social care services may continue to advance toward a system that really places the person at the </w:t>
      </w:r>
      <w:proofErr w:type="spellStart"/>
      <w:r w:rsidRPr="009E1ADC">
        <w:t>center</w:t>
      </w:r>
      <w:proofErr w:type="spellEnd"/>
      <w:r w:rsidRPr="009E1ADC">
        <w:t xml:space="preserve"> of care, achieving the objective outlined at the beginning of the study.</w:t>
      </w:r>
    </w:p>
    <w:p w14:paraId="36EFB37D" w14:textId="77777777" w:rsidR="00FE1DB9" w:rsidRPr="00FE1DB9" w:rsidRDefault="00FE1DB9" w:rsidP="00FE1DB9"/>
    <w:p w14:paraId="4EE835D0" w14:textId="56582B35" w:rsidR="00E06B62" w:rsidRPr="00E06B62" w:rsidRDefault="00E06B62" w:rsidP="00E06B62"/>
    <w:p w14:paraId="672F40CD" w14:textId="616BDCA3" w:rsidR="0099036F" w:rsidRPr="00A804A9" w:rsidRDefault="0099036F" w:rsidP="00A804A9"/>
    <w:p w14:paraId="0DE4A742" w14:textId="77777777" w:rsidR="00307164" w:rsidRDefault="00307164" w:rsidP="00D800AF"/>
    <w:p w14:paraId="1DA34CE9" w14:textId="77777777" w:rsidR="00307164" w:rsidRDefault="00307164" w:rsidP="00D800AF"/>
    <w:p w14:paraId="56EFCE6F" w14:textId="77777777" w:rsidR="00A162B5" w:rsidRDefault="00A162B5" w:rsidP="00D800AF">
      <w:pPr>
        <w:rPr>
          <w:b/>
          <w:bCs/>
        </w:rPr>
      </w:pPr>
    </w:p>
    <w:p w14:paraId="53901270" w14:textId="77777777" w:rsidR="00A162B5" w:rsidRDefault="00A162B5" w:rsidP="00D800AF">
      <w:pPr>
        <w:rPr>
          <w:b/>
          <w:bCs/>
        </w:rPr>
      </w:pPr>
    </w:p>
    <w:p w14:paraId="4580C460" w14:textId="77777777" w:rsidR="00A162B5" w:rsidRDefault="00A162B5" w:rsidP="00D800AF">
      <w:pPr>
        <w:rPr>
          <w:b/>
          <w:bCs/>
        </w:rPr>
      </w:pPr>
    </w:p>
    <w:p w14:paraId="5CA09B36" w14:textId="77777777" w:rsidR="00A162B5" w:rsidRDefault="00A162B5" w:rsidP="00D800AF">
      <w:pPr>
        <w:rPr>
          <w:b/>
          <w:bCs/>
        </w:rPr>
      </w:pPr>
    </w:p>
    <w:p w14:paraId="03DCA292" w14:textId="77777777" w:rsidR="00A162B5" w:rsidRDefault="00A162B5" w:rsidP="00D800AF">
      <w:pPr>
        <w:rPr>
          <w:b/>
          <w:bCs/>
        </w:rPr>
      </w:pPr>
    </w:p>
    <w:p w14:paraId="61529D13" w14:textId="77777777" w:rsidR="00A162B5" w:rsidRDefault="00A162B5" w:rsidP="00D800AF">
      <w:pPr>
        <w:rPr>
          <w:b/>
          <w:bCs/>
        </w:rPr>
      </w:pPr>
    </w:p>
    <w:p w14:paraId="4FFAEF17" w14:textId="77777777" w:rsidR="00A162B5" w:rsidRDefault="00A162B5" w:rsidP="00D800AF">
      <w:pPr>
        <w:rPr>
          <w:b/>
          <w:bCs/>
        </w:rPr>
      </w:pPr>
    </w:p>
    <w:p w14:paraId="1255E237" w14:textId="77777777" w:rsidR="00C8573C" w:rsidRDefault="00C8573C" w:rsidP="00D800AF">
      <w:pPr>
        <w:rPr>
          <w:b/>
          <w:bCs/>
        </w:rPr>
      </w:pPr>
    </w:p>
    <w:p w14:paraId="7C09F3AB" w14:textId="77777777" w:rsidR="00C8573C" w:rsidRDefault="00C8573C" w:rsidP="00D800AF">
      <w:pPr>
        <w:rPr>
          <w:b/>
          <w:bCs/>
        </w:rPr>
      </w:pPr>
    </w:p>
    <w:p w14:paraId="3C26B7C3" w14:textId="77777777" w:rsidR="00C8573C" w:rsidRDefault="00C8573C" w:rsidP="00D800AF">
      <w:pPr>
        <w:rPr>
          <w:b/>
          <w:bCs/>
        </w:rPr>
      </w:pPr>
    </w:p>
    <w:p w14:paraId="11B8B115" w14:textId="77777777" w:rsidR="00C8573C" w:rsidRDefault="00C8573C" w:rsidP="00D800AF">
      <w:pPr>
        <w:rPr>
          <w:b/>
          <w:bCs/>
        </w:rPr>
      </w:pPr>
    </w:p>
    <w:p w14:paraId="1FC0F413" w14:textId="77777777" w:rsidR="00C8573C" w:rsidRDefault="00C8573C" w:rsidP="00D800AF">
      <w:pPr>
        <w:rPr>
          <w:b/>
          <w:bCs/>
        </w:rPr>
      </w:pPr>
    </w:p>
    <w:p w14:paraId="3051A6B3" w14:textId="77777777" w:rsidR="00C8573C" w:rsidRDefault="00C8573C" w:rsidP="00D800AF">
      <w:pPr>
        <w:rPr>
          <w:b/>
          <w:bCs/>
        </w:rPr>
      </w:pPr>
    </w:p>
    <w:p w14:paraId="6D44AE44" w14:textId="77777777" w:rsidR="00C8573C" w:rsidRDefault="00C8573C" w:rsidP="00D800AF">
      <w:pPr>
        <w:rPr>
          <w:b/>
          <w:bCs/>
        </w:rPr>
      </w:pPr>
    </w:p>
    <w:p w14:paraId="34B728AF" w14:textId="77777777" w:rsidR="00C8573C" w:rsidRDefault="00C8573C" w:rsidP="00D800AF">
      <w:pPr>
        <w:rPr>
          <w:b/>
          <w:bCs/>
        </w:rPr>
      </w:pPr>
    </w:p>
    <w:p w14:paraId="39B08098" w14:textId="77777777" w:rsidR="00C8573C" w:rsidRDefault="00C8573C" w:rsidP="00D800AF">
      <w:pPr>
        <w:rPr>
          <w:b/>
          <w:bCs/>
        </w:rPr>
      </w:pPr>
    </w:p>
    <w:p w14:paraId="1680594A" w14:textId="71A09CE9" w:rsidR="00307164" w:rsidRPr="004D4CBA" w:rsidRDefault="004D4CBA" w:rsidP="00D800AF">
      <w:pPr>
        <w:rPr>
          <w:b/>
          <w:bCs/>
        </w:rPr>
      </w:pPr>
      <w:r w:rsidRPr="004D4CBA">
        <w:rPr>
          <w:b/>
          <w:bCs/>
        </w:rPr>
        <w:lastRenderedPageBreak/>
        <w:t xml:space="preserve">References </w:t>
      </w:r>
    </w:p>
    <w:p w14:paraId="74E4713E" w14:textId="449077C2" w:rsidR="004D4CBA" w:rsidRDefault="00505B7C" w:rsidP="00C704EA">
      <w:r w:rsidRPr="00505B7C">
        <w:t xml:space="preserve">Beauchamp, T.L. and Childress, J.F. (2019) </w:t>
      </w:r>
      <w:r w:rsidRPr="00C704EA">
        <w:rPr>
          <w:i/>
          <w:iCs/>
        </w:rPr>
        <w:t>Principles of Biomedical Ethics</w:t>
      </w:r>
      <w:r w:rsidRPr="00505B7C">
        <w:t>. 8th ed. Oxford: Oxford University Press.</w:t>
      </w:r>
    </w:p>
    <w:p w14:paraId="35A90928" w14:textId="2E61833F" w:rsidR="0013662E" w:rsidRPr="0013662E" w:rsidRDefault="0013662E" w:rsidP="00C704EA">
      <w:r w:rsidRPr="0013662E">
        <w:t xml:space="preserve">McCormack, B. and McCance, T. (2017) </w:t>
      </w:r>
      <w:r w:rsidRPr="00C704EA">
        <w:rPr>
          <w:i/>
          <w:iCs/>
        </w:rPr>
        <w:t>Person-Centred Practice in Nursing and Health Care</w:t>
      </w:r>
      <w:r w:rsidRPr="0013662E">
        <w:t xml:space="preserve">. 2nd ed. Oxford: Wiley-Blackwell. </w:t>
      </w:r>
    </w:p>
    <w:p w14:paraId="0CDA6319" w14:textId="263FB651" w:rsidR="00505B7C" w:rsidRDefault="001104B9" w:rsidP="00C704EA">
      <w:r w:rsidRPr="001104B9">
        <w:t xml:space="preserve">Wright, N. and Morgan, A. (2019) </w:t>
      </w:r>
      <w:r w:rsidRPr="00C704EA">
        <w:rPr>
          <w:i/>
          <w:iCs/>
        </w:rPr>
        <w:t>Theories for Mental Health Nursing</w:t>
      </w:r>
      <w:r w:rsidRPr="001104B9">
        <w:t>. London: SAGE</w:t>
      </w:r>
    </w:p>
    <w:p w14:paraId="5A509622" w14:textId="40134129" w:rsidR="001104B9" w:rsidRDefault="00AE0F6C" w:rsidP="00C704EA">
      <w:r w:rsidRPr="00AE0F6C">
        <w:t>Health and Social Care Act 2012</w:t>
      </w:r>
      <w:r w:rsidRPr="00AE0F6C">
        <w:br/>
        <w:t xml:space="preserve">UK Government (2012) </w:t>
      </w:r>
      <w:r w:rsidRPr="00C704EA">
        <w:rPr>
          <w:i/>
          <w:iCs/>
        </w:rPr>
        <w:t>Health and Social Care Act 2012</w:t>
      </w:r>
      <w:r w:rsidRPr="00AE0F6C">
        <w:t>. London: The Stationery Office.</w:t>
      </w:r>
    </w:p>
    <w:p w14:paraId="15917C54" w14:textId="20D21FC6" w:rsidR="00F3620C" w:rsidRDefault="00916A04" w:rsidP="00C704EA">
      <w:r w:rsidRPr="00916A04">
        <w:t>Mental Health Act 1983</w:t>
      </w:r>
      <w:r w:rsidRPr="00916A04">
        <w:br/>
        <w:t xml:space="preserve">UK Government (1983) </w:t>
      </w:r>
      <w:r w:rsidRPr="00C704EA">
        <w:rPr>
          <w:i/>
          <w:iCs/>
        </w:rPr>
        <w:t>Mental Health Act 1983</w:t>
      </w:r>
      <w:r w:rsidRPr="00916A04">
        <w:t>. London: The Stationery Office.</w:t>
      </w:r>
    </w:p>
    <w:p w14:paraId="2E1CB04E" w14:textId="61984DAC" w:rsidR="003B6E52" w:rsidRDefault="009011FB" w:rsidP="00C704EA">
      <w:hyperlink r:id="rId5" w:history="1">
        <w:r w:rsidRPr="009011FB">
          <w:rPr>
            <w:rStyle w:val="Hyperlink"/>
          </w:rPr>
          <w:t>Mental health at work</w:t>
        </w:r>
      </w:hyperlink>
    </w:p>
    <w:p w14:paraId="529610B6" w14:textId="07A65BEC" w:rsidR="009011FB" w:rsidRDefault="003A1768" w:rsidP="00C704EA">
      <w:r w:rsidRPr="003A1768">
        <w:t xml:space="preserve">UK Government (2015) </w:t>
      </w:r>
      <w:r w:rsidRPr="00C704EA">
        <w:rPr>
          <w:i/>
          <w:iCs/>
        </w:rPr>
        <w:t>Code of Practice: Mental Health Act 1983</w:t>
      </w:r>
      <w:r w:rsidRPr="003A1768">
        <w:t>. London: The Stationery Office.</w:t>
      </w:r>
    </w:p>
    <w:p w14:paraId="387104AB" w14:textId="0345B878" w:rsidR="003A1768" w:rsidRDefault="00A162B5" w:rsidP="00C704EA">
      <w:r w:rsidRPr="00A162B5">
        <w:t xml:space="preserve">National Institute for Health and Care Excellence (NICE) (2022) </w:t>
      </w:r>
      <w:r w:rsidRPr="00C704EA">
        <w:rPr>
          <w:i/>
          <w:iCs/>
        </w:rPr>
        <w:t>Patient experience in adult NHS services</w:t>
      </w:r>
      <w:r w:rsidRPr="00A162B5">
        <w:t xml:space="preserve">. Available at: </w:t>
      </w:r>
      <w:hyperlink r:id="rId6" w:tgtFrame="_new" w:history="1">
        <w:r w:rsidRPr="00A162B5">
          <w:rPr>
            <w:rStyle w:val="Hyperlink"/>
          </w:rPr>
          <w:t>https://www.nice.org.uk</w:t>
        </w:r>
      </w:hyperlink>
      <w:r w:rsidRPr="00A162B5">
        <w:t xml:space="preserve"> (Accessed: </w:t>
      </w:r>
      <w:r>
        <w:t>11</w:t>
      </w:r>
      <w:r w:rsidRPr="00A162B5">
        <w:t xml:space="preserve"> March 2026).</w:t>
      </w:r>
    </w:p>
    <w:p w14:paraId="021FA449" w14:textId="09BF7F23" w:rsidR="00A162B5" w:rsidRDefault="00184BE3" w:rsidP="00C704EA">
      <w:r w:rsidRPr="00184BE3">
        <w:t xml:space="preserve">NHS (2023) </w:t>
      </w:r>
      <w:r w:rsidRPr="00C704EA">
        <w:rPr>
          <w:i/>
          <w:iCs/>
        </w:rPr>
        <w:t>The NHS Constitution for England</w:t>
      </w:r>
      <w:r w:rsidRPr="00184BE3">
        <w:t>. London: Department of Health and Social Care.</w:t>
      </w:r>
    </w:p>
    <w:p w14:paraId="4E277EBD" w14:textId="209188A9" w:rsidR="00307164" w:rsidRDefault="00234EC8" w:rsidP="00C704EA">
      <w:r w:rsidRPr="00234EC8">
        <w:t xml:space="preserve">UK Government (2022) </w:t>
      </w:r>
      <w:r w:rsidRPr="00C704EA">
        <w:rPr>
          <w:i/>
          <w:iCs/>
        </w:rPr>
        <w:t>Health and Care Act 2022</w:t>
      </w:r>
      <w:r w:rsidRPr="00234EC8">
        <w:t>. London: The Stationery Office.</w:t>
      </w:r>
    </w:p>
    <w:p w14:paraId="4F362B93" w14:textId="5C5E920E" w:rsidR="00234EC8" w:rsidRDefault="00BC23D7" w:rsidP="00C704EA">
      <w:r w:rsidRPr="00BC23D7">
        <w:t xml:space="preserve">Gillard, S., Edwards, C., Gibson, S. et al. (2014) </w:t>
      </w:r>
      <w:r w:rsidRPr="00C704EA">
        <w:rPr>
          <w:i/>
          <w:iCs/>
        </w:rPr>
        <w:t>New Ways of Working in Mental Health Services</w:t>
      </w:r>
      <w:r w:rsidRPr="00BC23D7">
        <w:t>. Southampton: NIHR Journals Library.</w:t>
      </w:r>
    </w:p>
    <w:p w14:paraId="7250BDFD" w14:textId="1848B183" w:rsidR="00734029" w:rsidRDefault="00E2354D" w:rsidP="00C704EA">
      <w:r w:rsidRPr="00E2354D">
        <w:t xml:space="preserve">Department of Health and Social Care (2019) </w:t>
      </w:r>
      <w:r w:rsidRPr="00C704EA">
        <w:rPr>
          <w:i/>
          <w:iCs/>
        </w:rPr>
        <w:t>NHS Long Term Plan</w:t>
      </w:r>
      <w:r w:rsidRPr="00E2354D">
        <w:t>. London: DHSC.</w:t>
      </w:r>
    </w:p>
    <w:p w14:paraId="1075B4A9" w14:textId="5EE03365" w:rsidR="00BC23D7" w:rsidRDefault="0002734A" w:rsidP="00C704EA">
      <w:r w:rsidRPr="0002734A">
        <w:t xml:space="preserve">Hollis, C., Falconer, C.J., Martin, J.L. et al. (2015) ‘Technological innovations in mental healthcare: harnessing the digital revolution’, </w:t>
      </w:r>
      <w:r w:rsidRPr="00C704EA">
        <w:rPr>
          <w:i/>
          <w:iCs/>
        </w:rPr>
        <w:t>British Journal of Psychiatry</w:t>
      </w:r>
      <w:r w:rsidRPr="0002734A">
        <w:t>, 206(4), pp. 263–265.</w:t>
      </w:r>
    </w:p>
    <w:p w14:paraId="46D92898" w14:textId="710F4C55" w:rsidR="00083387" w:rsidRDefault="004541FD" w:rsidP="00C704EA">
      <w:r w:rsidRPr="004541FD">
        <w:t xml:space="preserve">Care Quality Commission (CQC) (2020) </w:t>
      </w:r>
      <w:r w:rsidRPr="00C704EA">
        <w:rPr>
          <w:i/>
          <w:iCs/>
        </w:rPr>
        <w:t>The State of Health Care and Adult Social Care in England 2019/20</w:t>
      </w:r>
      <w:r w:rsidRPr="004541FD">
        <w:t>. London: CQC.</w:t>
      </w:r>
    </w:p>
    <w:p w14:paraId="1FAA2763" w14:textId="3DB1C5BC" w:rsidR="00307164" w:rsidRDefault="00C704EA" w:rsidP="00C704EA">
      <w:r w:rsidRPr="00C704EA">
        <w:t xml:space="preserve">Royal College of Psychiatrists (2017) </w:t>
      </w:r>
      <w:r w:rsidRPr="00C704EA">
        <w:rPr>
          <w:i/>
          <w:iCs/>
        </w:rPr>
        <w:t>Person-Centred Approaches in Mental Health Services</w:t>
      </w:r>
      <w:r w:rsidRPr="00C704EA">
        <w:t xml:space="preserve">. London: </w:t>
      </w:r>
      <w:proofErr w:type="spellStart"/>
      <w:r w:rsidRPr="00C704EA">
        <w:t>RCPsych</w:t>
      </w:r>
      <w:proofErr w:type="spellEnd"/>
      <w:r w:rsidRPr="00C704EA">
        <w:t>.</w:t>
      </w:r>
    </w:p>
    <w:p w14:paraId="011CBD47" w14:textId="77777777" w:rsidR="00C704EA" w:rsidRDefault="00C704EA" w:rsidP="00C704EA"/>
    <w:p w14:paraId="380E9366" w14:textId="77777777" w:rsidR="00C704EA" w:rsidRDefault="00C704EA" w:rsidP="00D800AF"/>
    <w:p w14:paraId="1F5F3EA6" w14:textId="77777777" w:rsidR="00307164" w:rsidRDefault="00307164" w:rsidP="00D800AF"/>
    <w:p w14:paraId="3FD7C356" w14:textId="77777777" w:rsidR="00307164" w:rsidRDefault="00307164" w:rsidP="00D800AF"/>
    <w:p w14:paraId="2FAB4639" w14:textId="77777777" w:rsidR="00307164" w:rsidRDefault="00307164" w:rsidP="00D800AF"/>
    <w:p w14:paraId="35E79910" w14:textId="77777777" w:rsidR="00307164" w:rsidRPr="00D800AF" w:rsidRDefault="00307164" w:rsidP="00D800AF"/>
    <w:p w14:paraId="61184BCE" w14:textId="77777777" w:rsidR="00FF1B58" w:rsidRPr="00E56EFD" w:rsidRDefault="00FF1B58" w:rsidP="00E56EFD"/>
    <w:p w14:paraId="50F93B75" w14:textId="2E78E7D6" w:rsidR="009D5791" w:rsidRPr="009D5791" w:rsidRDefault="009D5791" w:rsidP="009D5791"/>
    <w:p w14:paraId="392B7DD8" w14:textId="78126D02" w:rsidR="002F2F54" w:rsidRPr="0069327C" w:rsidRDefault="002F2F54" w:rsidP="0069327C"/>
    <w:p w14:paraId="65FAD1F1" w14:textId="4C1464BB" w:rsidR="00010448" w:rsidRDefault="00010448" w:rsidP="002E5809"/>
    <w:p w14:paraId="3D16E388" w14:textId="77777777" w:rsidR="00554369" w:rsidRPr="002E5809" w:rsidRDefault="00554369" w:rsidP="002E5809"/>
    <w:p w14:paraId="09E5B80E" w14:textId="77777777" w:rsidR="00B8482A" w:rsidRPr="00B8482A" w:rsidRDefault="00B8482A" w:rsidP="00B8482A"/>
    <w:p w14:paraId="4C06FFE1" w14:textId="77777777" w:rsidR="00B8482A" w:rsidRDefault="00B8482A" w:rsidP="00B4703F"/>
    <w:p w14:paraId="7A8B4A84" w14:textId="77777777" w:rsidR="00BC6FCD" w:rsidRDefault="00BC6FCD" w:rsidP="00B4703F"/>
    <w:p w14:paraId="5DEDA21E" w14:textId="77777777" w:rsidR="00D86034" w:rsidRPr="00B4703F" w:rsidRDefault="00D86034" w:rsidP="00B4703F"/>
    <w:p w14:paraId="5B59F315" w14:textId="30980A03" w:rsidR="0092690A" w:rsidRPr="00B4703F" w:rsidRDefault="0092690A">
      <w:pPr>
        <w:rPr>
          <w:b/>
          <w:bCs/>
        </w:rPr>
      </w:pPr>
    </w:p>
    <w:p w14:paraId="2B3A3397" w14:textId="77777777" w:rsidR="00326CB6" w:rsidRDefault="00326CB6"/>
    <w:p w14:paraId="05294D12" w14:textId="77777777" w:rsidR="00222EAD" w:rsidRDefault="00222EAD"/>
    <w:p w14:paraId="221F7311" w14:textId="77777777" w:rsidR="0063305B" w:rsidRDefault="0063305B"/>
    <w:sectPr w:rsidR="006330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103B6D"/>
    <w:multiLevelType w:val="hybridMultilevel"/>
    <w:tmpl w:val="22464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FF6F9C"/>
    <w:multiLevelType w:val="hybridMultilevel"/>
    <w:tmpl w:val="06622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1329342">
    <w:abstractNumId w:val="1"/>
  </w:num>
  <w:num w:numId="2" w16cid:durableId="1901330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B9D"/>
    <w:rsid w:val="00000A91"/>
    <w:rsid w:val="00010448"/>
    <w:rsid w:val="000121C0"/>
    <w:rsid w:val="0002734A"/>
    <w:rsid w:val="000277C4"/>
    <w:rsid w:val="00054700"/>
    <w:rsid w:val="00075837"/>
    <w:rsid w:val="00083387"/>
    <w:rsid w:val="00094CB7"/>
    <w:rsid w:val="000A0087"/>
    <w:rsid w:val="000B3E7E"/>
    <w:rsid w:val="000B5419"/>
    <w:rsid w:val="000E5AD5"/>
    <w:rsid w:val="00104B9D"/>
    <w:rsid w:val="001104B9"/>
    <w:rsid w:val="00122E5D"/>
    <w:rsid w:val="00132B2D"/>
    <w:rsid w:val="0013662E"/>
    <w:rsid w:val="001402BC"/>
    <w:rsid w:val="00153CDA"/>
    <w:rsid w:val="00184BE3"/>
    <w:rsid w:val="001C3536"/>
    <w:rsid w:val="001E4CE1"/>
    <w:rsid w:val="00203C03"/>
    <w:rsid w:val="00203C82"/>
    <w:rsid w:val="00222EAD"/>
    <w:rsid w:val="00232DE0"/>
    <w:rsid w:val="00234EC8"/>
    <w:rsid w:val="00266FC8"/>
    <w:rsid w:val="00274704"/>
    <w:rsid w:val="002D073E"/>
    <w:rsid w:val="002D49D1"/>
    <w:rsid w:val="002E4156"/>
    <w:rsid w:val="002E5809"/>
    <w:rsid w:val="002F16BD"/>
    <w:rsid w:val="002F1A22"/>
    <w:rsid w:val="002F2F54"/>
    <w:rsid w:val="00303398"/>
    <w:rsid w:val="003053C4"/>
    <w:rsid w:val="00307164"/>
    <w:rsid w:val="00316197"/>
    <w:rsid w:val="00321246"/>
    <w:rsid w:val="00326CB6"/>
    <w:rsid w:val="00334605"/>
    <w:rsid w:val="003A1768"/>
    <w:rsid w:val="003A2B9F"/>
    <w:rsid w:val="003B328E"/>
    <w:rsid w:val="003B6E52"/>
    <w:rsid w:val="004541FD"/>
    <w:rsid w:val="004614CF"/>
    <w:rsid w:val="0046490E"/>
    <w:rsid w:val="00476D66"/>
    <w:rsid w:val="00492139"/>
    <w:rsid w:val="004B438C"/>
    <w:rsid w:val="004B75F2"/>
    <w:rsid w:val="004D3E4A"/>
    <w:rsid w:val="004D4CBA"/>
    <w:rsid w:val="00505B7C"/>
    <w:rsid w:val="00507A34"/>
    <w:rsid w:val="00524329"/>
    <w:rsid w:val="00554369"/>
    <w:rsid w:val="0055658F"/>
    <w:rsid w:val="0057103F"/>
    <w:rsid w:val="005A57F5"/>
    <w:rsid w:val="005B3786"/>
    <w:rsid w:val="005B4039"/>
    <w:rsid w:val="005D7ED1"/>
    <w:rsid w:val="00631EAE"/>
    <w:rsid w:val="0063305B"/>
    <w:rsid w:val="00633BFA"/>
    <w:rsid w:val="00646B01"/>
    <w:rsid w:val="00692BAB"/>
    <w:rsid w:val="0069327C"/>
    <w:rsid w:val="006B48A6"/>
    <w:rsid w:val="006C2823"/>
    <w:rsid w:val="006D25EA"/>
    <w:rsid w:val="006E26D8"/>
    <w:rsid w:val="007233AB"/>
    <w:rsid w:val="00734029"/>
    <w:rsid w:val="00762D6F"/>
    <w:rsid w:val="00765741"/>
    <w:rsid w:val="00771911"/>
    <w:rsid w:val="007750CF"/>
    <w:rsid w:val="00782277"/>
    <w:rsid w:val="00792A86"/>
    <w:rsid w:val="007C2053"/>
    <w:rsid w:val="007E206A"/>
    <w:rsid w:val="007F2422"/>
    <w:rsid w:val="007F3C97"/>
    <w:rsid w:val="00817F02"/>
    <w:rsid w:val="008374AF"/>
    <w:rsid w:val="00867F6E"/>
    <w:rsid w:val="0087466F"/>
    <w:rsid w:val="00876D51"/>
    <w:rsid w:val="00886993"/>
    <w:rsid w:val="0089026E"/>
    <w:rsid w:val="008B0233"/>
    <w:rsid w:val="008D48B3"/>
    <w:rsid w:val="008F3CE9"/>
    <w:rsid w:val="009011FB"/>
    <w:rsid w:val="00916A04"/>
    <w:rsid w:val="00921D45"/>
    <w:rsid w:val="0092690A"/>
    <w:rsid w:val="00934C9C"/>
    <w:rsid w:val="00940DB4"/>
    <w:rsid w:val="00970EEF"/>
    <w:rsid w:val="009846DF"/>
    <w:rsid w:val="0099036F"/>
    <w:rsid w:val="009C31BA"/>
    <w:rsid w:val="009C5731"/>
    <w:rsid w:val="009D5791"/>
    <w:rsid w:val="009E1ADC"/>
    <w:rsid w:val="00A00F5B"/>
    <w:rsid w:val="00A0276A"/>
    <w:rsid w:val="00A162B5"/>
    <w:rsid w:val="00A313D1"/>
    <w:rsid w:val="00A5449F"/>
    <w:rsid w:val="00A634F5"/>
    <w:rsid w:val="00A6405B"/>
    <w:rsid w:val="00A804A9"/>
    <w:rsid w:val="00A81E6A"/>
    <w:rsid w:val="00AC04EF"/>
    <w:rsid w:val="00AE0F6C"/>
    <w:rsid w:val="00AE6C4E"/>
    <w:rsid w:val="00B4703F"/>
    <w:rsid w:val="00B8482A"/>
    <w:rsid w:val="00BC23D7"/>
    <w:rsid w:val="00BC6FCD"/>
    <w:rsid w:val="00BF0849"/>
    <w:rsid w:val="00BF7434"/>
    <w:rsid w:val="00C23B69"/>
    <w:rsid w:val="00C4317B"/>
    <w:rsid w:val="00C46187"/>
    <w:rsid w:val="00C56242"/>
    <w:rsid w:val="00C62C04"/>
    <w:rsid w:val="00C704EA"/>
    <w:rsid w:val="00C740DC"/>
    <w:rsid w:val="00C8573C"/>
    <w:rsid w:val="00CA1746"/>
    <w:rsid w:val="00CC077C"/>
    <w:rsid w:val="00CC15A2"/>
    <w:rsid w:val="00CC7B23"/>
    <w:rsid w:val="00D07EBD"/>
    <w:rsid w:val="00D800AF"/>
    <w:rsid w:val="00D81445"/>
    <w:rsid w:val="00D86034"/>
    <w:rsid w:val="00DC3F52"/>
    <w:rsid w:val="00DC7979"/>
    <w:rsid w:val="00E06B62"/>
    <w:rsid w:val="00E2354D"/>
    <w:rsid w:val="00E41C4C"/>
    <w:rsid w:val="00E56EFD"/>
    <w:rsid w:val="00EE4E71"/>
    <w:rsid w:val="00EF0A9A"/>
    <w:rsid w:val="00F05C9B"/>
    <w:rsid w:val="00F12A08"/>
    <w:rsid w:val="00F3620C"/>
    <w:rsid w:val="00F55B1D"/>
    <w:rsid w:val="00F6270E"/>
    <w:rsid w:val="00FD6F1C"/>
    <w:rsid w:val="00FE1DB9"/>
    <w:rsid w:val="00FF1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EE221"/>
  <w15:chartTrackingRefBased/>
  <w15:docId w15:val="{4BAB1592-0F7C-4CBF-B120-507B9E5CE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B9D"/>
  </w:style>
  <w:style w:type="paragraph" w:styleId="Heading1">
    <w:name w:val="heading 1"/>
    <w:basedOn w:val="Normal"/>
    <w:next w:val="Normal"/>
    <w:link w:val="Heading1Char"/>
    <w:uiPriority w:val="9"/>
    <w:qFormat/>
    <w:rsid w:val="00104B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4B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4B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4B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4B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4B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B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B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B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B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4B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4B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4B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4B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4B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B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B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B9D"/>
    <w:rPr>
      <w:rFonts w:eastAsiaTheme="majorEastAsia" w:cstheme="majorBidi"/>
      <w:color w:val="272727" w:themeColor="text1" w:themeTint="D8"/>
    </w:rPr>
  </w:style>
  <w:style w:type="paragraph" w:styleId="Title">
    <w:name w:val="Title"/>
    <w:basedOn w:val="Normal"/>
    <w:next w:val="Normal"/>
    <w:link w:val="TitleChar"/>
    <w:uiPriority w:val="10"/>
    <w:qFormat/>
    <w:rsid w:val="00104B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B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B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B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B9D"/>
    <w:pPr>
      <w:spacing w:before="160"/>
      <w:jc w:val="center"/>
    </w:pPr>
    <w:rPr>
      <w:i/>
      <w:iCs/>
      <w:color w:val="404040" w:themeColor="text1" w:themeTint="BF"/>
    </w:rPr>
  </w:style>
  <w:style w:type="character" w:customStyle="1" w:styleId="QuoteChar">
    <w:name w:val="Quote Char"/>
    <w:basedOn w:val="DefaultParagraphFont"/>
    <w:link w:val="Quote"/>
    <w:uiPriority w:val="29"/>
    <w:rsid w:val="00104B9D"/>
    <w:rPr>
      <w:i/>
      <w:iCs/>
      <w:color w:val="404040" w:themeColor="text1" w:themeTint="BF"/>
    </w:rPr>
  </w:style>
  <w:style w:type="paragraph" w:styleId="ListParagraph">
    <w:name w:val="List Paragraph"/>
    <w:basedOn w:val="Normal"/>
    <w:uiPriority w:val="34"/>
    <w:qFormat/>
    <w:rsid w:val="00104B9D"/>
    <w:pPr>
      <w:ind w:left="720"/>
      <w:contextualSpacing/>
    </w:pPr>
  </w:style>
  <w:style w:type="character" w:styleId="IntenseEmphasis">
    <w:name w:val="Intense Emphasis"/>
    <w:basedOn w:val="DefaultParagraphFont"/>
    <w:uiPriority w:val="21"/>
    <w:qFormat/>
    <w:rsid w:val="00104B9D"/>
    <w:rPr>
      <w:i/>
      <w:iCs/>
      <w:color w:val="2F5496" w:themeColor="accent1" w:themeShade="BF"/>
    </w:rPr>
  </w:style>
  <w:style w:type="paragraph" w:styleId="IntenseQuote">
    <w:name w:val="Intense Quote"/>
    <w:basedOn w:val="Normal"/>
    <w:next w:val="Normal"/>
    <w:link w:val="IntenseQuoteChar"/>
    <w:uiPriority w:val="30"/>
    <w:qFormat/>
    <w:rsid w:val="00104B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4B9D"/>
    <w:rPr>
      <w:i/>
      <w:iCs/>
      <w:color w:val="2F5496" w:themeColor="accent1" w:themeShade="BF"/>
    </w:rPr>
  </w:style>
  <w:style w:type="character" w:styleId="IntenseReference">
    <w:name w:val="Intense Reference"/>
    <w:basedOn w:val="DefaultParagraphFont"/>
    <w:uiPriority w:val="32"/>
    <w:qFormat/>
    <w:rsid w:val="00104B9D"/>
    <w:rPr>
      <w:b/>
      <w:bCs/>
      <w:smallCaps/>
      <w:color w:val="2F5496" w:themeColor="accent1" w:themeShade="BF"/>
      <w:spacing w:val="5"/>
    </w:rPr>
  </w:style>
  <w:style w:type="table" w:styleId="TableGrid">
    <w:name w:val="Table Grid"/>
    <w:basedOn w:val="TableNormal"/>
    <w:uiPriority w:val="59"/>
    <w:rsid w:val="00940DB4"/>
    <w:pPr>
      <w:spacing w:after="0" w:line="240" w:lineRule="auto"/>
    </w:pPr>
    <w:rPr>
      <w:rFonts w:eastAsiaTheme="minorEastAsia"/>
      <w:kern w:val="0"/>
      <w:sz w:val="24"/>
      <w:szCs w:val="24"/>
      <w:lang w:val="en-US" w:eastAsia="ja-JP"/>
      <w14:ligatures w14:val="none"/>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9011FB"/>
    <w:rPr>
      <w:color w:val="0563C1" w:themeColor="hyperlink"/>
      <w:u w:val="single"/>
    </w:rPr>
  </w:style>
  <w:style w:type="character" w:styleId="UnresolvedMention">
    <w:name w:val="Unresolved Mention"/>
    <w:basedOn w:val="DefaultParagraphFont"/>
    <w:uiPriority w:val="99"/>
    <w:semiHidden/>
    <w:unhideWhenUsed/>
    <w:rsid w:val="009011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ce.org.uk" TargetMode="External"/><Relationship Id="rId5" Type="http://schemas.openxmlformats.org/officeDocument/2006/relationships/hyperlink" Target="https://www.who.int/news-room/fact-sheets/detail/mental-health-at-wor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2553</Words>
  <Characters>14557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Dad</dc:creator>
  <cp:keywords/>
  <dc:description/>
  <cp:lastModifiedBy>Jannat Dad</cp:lastModifiedBy>
  <cp:revision>2</cp:revision>
  <dcterms:created xsi:type="dcterms:W3CDTF">2026-03-28T04:24:00Z</dcterms:created>
  <dcterms:modified xsi:type="dcterms:W3CDTF">2026-03-28T04:24:00Z</dcterms:modified>
</cp:coreProperties>
</file>