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C4A777" w14:textId="3BEB249C" w:rsidR="00BF3296" w:rsidRDefault="00BF3296" w:rsidP="00BF3296">
      <w:pPr>
        <w:spacing w:line="360" w:lineRule="auto"/>
        <w:jc w:val="both"/>
        <w:rPr>
          <w:rFonts w:ascii="Times New Roman" w:hAnsi="Times New Roman" w:cs="Times New Roman"/>
        </w:rPr>
      </w:pPr>
    </w:p>
    <w:p w14:paraId="40CE45CE" w14:textId="77777777" w:rsidR="008428C1" w:rsidRDefault="008428C1" w:rsidP="00BF3296">
      <w:pPr>
        <w:spacing w:line="360" w:lineRule="auto"/>
        <w:jc w:val="both"/>
        <w:rPr>
          <w:rFonts w:ascii="Times New Roman" w:hAnsi="Times New Roman" w:cs="Times New Roman"/>
        </w:rPr>
      </w:pPr>
    </w:p>
    <w:p w14:paraId="2336F249" w14:textId="77777777" w:rsidR="00CB0F4D" w:rsidRDefault="00CB0F4D" w:rsidP="00CB0F4D">
      <w:pPr>
        <w:pStyle w:val="NoSpacing"/>
        <w:spacing w:before="1540" w:after="240"/>
        <w:jc w:val="center"/>
        <w:rPr>
          <w:color w:val="156082" w:themeColor="accent1"/>
        </w:rPr>
      </w:pPr>
      <w:r>
        <w:rPr>
          <w:noProof/>
          <w:color w:val="156082" w:themeColor="accent1"/>
          <w:lang w:val="en-GB" w:eastAsia="en-GB"/>
        </w:rPr>
        <w:drawing>
          <wp:inline distT="0" distB="0" distL="0" distR="0" wp14:anchorId="7FF56F25" wp14:editId="05B5DA9A">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320D6B3AC8A5446A8A3501C7E3CDC91C"/>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DF9AD9E" w14:textId="63DBBA73" w:rsidR="00CB0F4D" w:rsidRDefault="007A2246" w:rsidP="00CB0F4D">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westword Plc</w:t>
          </w:r>
        </w:p>
      </w:sdtContent>
    </w:sdt>
    <w:sdt>
      <w:sdtPr>
        <w:rPr>
          <w:color w:val="156082"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Content>
        <w:p w14:paraId="3E864ABC" w14:textId="315C1574" w:rsidR="00CB0F4D" w:rsidRDefault="003D7D08" w:rsidP="00CB0F4D">
          <w:pPr>
            <w:pStyle w:val="NoSpacing"/>
            <w:jc w:val="center"/>
            <w:rPr>
              <w:color w:val="156082" w:themeColor="accent1"/>
              <w:sz w:val="28"/>
              <w:szCs w:val="28"/>
            </w:rPr>
          </w:pPr>
          <w:r>
            <w:rPr>
              <w:color w:val="156082" w:themeColor="accent1"/>
              <w:sz w:val="28"/>
              <w:szCs w:val="28"/>
            </w:rPr>
            <w:t>ASSIGNMENT</w:t>
          </w:r>
        </w:p>
      </w:sdtContent>
    </w:sdt>
    <w:p w14:paraId="40EDDAF3" w14:textId="2FA2E686" w:rsidR="00CB0F4D" w:rsidRDefault="00CB0F4D" w:rsidP="00CB0F4D">
      <w:pPr>
        <w:pStyle w:val="NoSpacing"/>
        <w:spacing w:before="480"/>
        <w:jc w:val="center"/>
        <w:rPr>
          <w:color w:val="156082" w:themeColor="accent1"/>
        </w:rPr>
      </w:pPr>
      <w:r>
        <w:rPr>
          <w:noProof/>
          <w:color w:val="156082" w:themeColor="accent1"/>
          <w:lang w:val="en-GB" w:eastAsia="en-GB"/>
        </w:rPr>
        <w:drawing>
          <wp:inline distT="0" distB="0" distL="0" distR="0" wp14:anchorId="02D7FBC5" wp14:editId="4C1D8327">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2FEB966" w14:textId="77777777" w:rsidR="0046750B" w:rsidRPr="0046750B" w:rsidRDefault="0046750B" w:rsidP="0046750B">
      <w:pPr>
        <w:spacing w:line="360" w:lineRule="auto"/>
        <w:jc w:val="both"/>
        <w:rPr>
          <w:rFonts w:ascii="Times New Roman" w:hAnsi="Times New Roman" w:cs="Times New Roman"/>
          <w:b/>
        </w:rPr>
      </w:pPr>
    </w:p>
    <w:p w14:paraId="0EA5AAAA" w14:textId="77777777" w:rsidR="008428C1" w:rsidRDefault="008428C1" w:rsidP="00BF3296">
      <w:pPr>
        <w:spacing w:line="360" w:lineRule="auto"/>
        <w:jc w:val="both"/>
        <w:rPr>
          <w:rFonts w:ascii="Times New Roman" w:hAnsi="Times New Roman" w:cs="Times New Roman"/>
        </w:rPr>
      </w:pPr>
    </w:p>
    <w:p w14:paraId="4927EC18" w14:textId="77777777" w:rsidR="008428C1" w:rsidRDefault="008428C1" w:rsidP="00BF3296">
      <w:pPr>
        <w:spacing w:line="360" w:lineRule="auto"/>
        <w:jc w:val="both"/>
        <w:rPr>
          <w:rFonts w:ascii="Times New Roman" w:hAnsi="Times New Roman" w:cs="Times New Roman"/>
        </w:rPr>
      </w:pPr>
    </w:p>
    <w:p w14:paraId="60EEFAD9" w14:textId="77777777" w:rsidR="008428C1" w:rsidRDefault="008428C1" w:rsidP="00BF3296">
      <w:pPr>
        <w:spacing w:line="360" w:lineRule="auto"/>
        <w:jc w:val="both"/>
        <w:rPr>
          <w:rFonts w:ascii="Times New Roman" w:hAnsi="Times New Roman" w:cs="Times New Roman"/>
        </w:rPr>
      </w:pPr>
    </w:p>
    <w:p w14:paraId="4B1CB65E" w14:textId="0578AA7B" w:rsidR="008428C1" w:rsidRPr="008400D3" w:rsidRDefault="008400D3" w:rsidP="008400D3">
      <w:pPr>
        <w:spacing w:line="360" w:lineRule="auto"/>
        <w:jc w:val="center"/>
        <w:rPr>
          <w:rFonts w:ascii="Times New Roman" w:hAnsi="Times New Roman" w:cs="Times New Roman"/>
          <w:color w:val="4C94D8" w:themeColor="text2" w:themeTint="80"/>
          <w:sz w:val="40"/>
          <w:szCs w:val="40"/>
        </w:rPr>
      </w:pPr>
      <w:r w:rsidRPr="008400D3">
        <w:rPr>
          <w:rFonts w:ascii="Arial" w:hAnsi="Arial" w:cs="Arial"/>
          <w:color w:val="4C94D8" w:themeColor="text2" w:themeTint="80"/>
          <w:sz w:val="40"/>
          <w:szCs w:val="40"/>
        </w:rPr>
        <w:t>Finance for Business Managers</w:t>
      </w:r>
    </w:p>
    <w:p w14:paraId="673F2D06" w14:textId="77777777" w:rsidR="008428C1" w:rsidRDefault="008428C1" w:rsidP="00BF3296">
      <w:pPr>
        <w:spacing w:line="360" w:lineRule="auto"/>
        <w:jc w:val="both"/>
        <w:rPr>
          <w:rFonts w:ascii="Times New Roman" w:hAnsi="Times New Roman" w:cs="Times New Roman"/>
        </w:rPr>
      </w:pPr>
    </w:p>
    <w:p w14:paraId="430BF338" w14:textId="77777777" w:rsidR="008428C1" w:rsidRDefault="008428C1" w:rsidP="00BF3296">
      <w:pPr>
        <w:spacing w:line="360" w:lineRule="auto"/>
        <w:jc w:val="both"/>
        <w:rPr>
          <w:rFonts w:ascii="Times New Roman" w:hAnsi="Times New Roman" w:cs="Times New Roman"/>
        </w:rPr>
      </w:pPr>
    </w:p>
    <w:p w14:paraId="5CB12EC7" w14:textId="77777777" w:rsidR="008428C1" w:rsidRDefault="008428C1" w:rsidP="00BF3296">
      <w:pPr>
        <w:spacing w:line="360" w:lineRule="auto"/>
        <w:jc w:val="both"/>
        <w:rPr>
          <w:rFonts w:ascii="Times New Roman" w:hAnsi="Times New Roman" w:cs="Times New Roman"/>
        </w:rPr>
      </w:pPr>
    </w:p>
    <w:p w14:paraId="3C0D0BE6" w14:textId="177273E8" w:rsidR="008428C1" w:rsidRDefault="003D7D08" w:rsidP="00BF3296">
      <w:pPr>
        <w:spacing w:line="360" w:lineRule="auto"/>
        <w:jc w:val="both"/>
        <w:rPr>
          <w:rFonts w:ascii="Times New Roman" w:hAnsi="Times New Roman" w:cs="Times New Roman"/>
        </w:rPr>
      </w:pPr>
      <w:r>
        <w:rPr>
          <w:noProof/>
          <w:color w:val="156082" w:themeColor="accent1"/>
          <w:lang w:eastAsia="en-GB"/>
        </w:rPr>
        <mc:AlternateContent>
          <mc:Choice Requires="wps">
            <w:drawing>
              <wp:anchor distT="0" distB="0" distL="114300" distR="114300" simplePos="0" relativeHeight="251659264" behindDoc="0" locked="0" layoutInCell="1" allowOverlap="1" wp14:anchorId="2C8FF8AC" wp14:editId="1CD53ADD">
                <wp:simplePos x="0" y="0"/>
                <wp:positionH relativeFrom="margin">
                  <wp:align>right</wp:align>
                </wp:positionH>
                <wp:positionV relativeFrom="page">
                  <wp:posOffset>8372476</wp:posOffset>
                </wp:positionV>
                <wp:extent cx="5731510" cy="770890"/>
                <wp:effectExtent l="0" t="0" r="0" b="10160"/>
                <wp:wrapNone/>
                <wp:docPr id="142" name="Text Box 142"/>
                <wp:cNvGraphicFramePr/>
                <a:graphic xmlns:a="http://schemas.openxmlformats.org/drawingml/2006/main">
                  <a:graphicData uri="http://schemas.microsoft.com/office/word/2010/wordprocessingShape">
                    <wps:wsp>
                      <wps:cNvSpPr txBox="1"/>
                      <wps:spPr>
                        <a:xfrm>
                          <a:off x="0" y="0"/>
                          <a:ext cx="5731510" cy="7708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1-12T00:00:00Z">
                                <w:dateFormat w:val="MMMM d, yyyy"/>
                                <w:lid w:val="en-US"/>
                                <w:storeMappedDataAs w:val="dateTime"/>
                                <w:calendar w:val="gregorian"/>
                              </w:date>
                            </w:sdtPr>
                            <w:sdtContent>
                              <w:p w14:paraId="6F3255CF" w14:textId="7A087963" w:rsidR="00CB0F4D" w:rsidRDefault="003D7D08" w:rsidP="00CB0F4D">
                                <w:pPr>
                                  <w:pStyle w:val="NoSpacing"/>
                                  <w:spacing w:after="40"/>
                                  <w:jc w:val="center"/>
                                  <w:rPr>
                                    <w:caps/>
                                    <w:color w:val="156082" w:themeColor="accent1"/>
                                    <w:sz w:val="28"/>
                                    <w:szCs w:val="28"/>
                                  </w:rPr>
                                </w:pPr>
                                <w:r>
                                  <w:rPr>
                                    <w:caps/>
                                    <w:color w:val="156082" w:themeColor="accent1"/>
                                    <w:sz w:val="28"/>
                                    <w:szCs w:val="28"/>
                                  </w:rPr>
                                  <w:t>January 12, 2026</w:t>
                                </w:r>
                              </w:p>
                            </w:sdtContent>
                          </w:sdt>
                          <w:p w14:paraId="7912EBDE" w14:textId="77777777" w:rsidR="00CB0F4D" w:rsidRDefault="00CB0F4D" w:rsidP="00CB0F4D">
                            <w:pPr>
                              <w:pStyle w:val="NoSpacing"/>
                              <w:jc w:val="center"/>
                              <w:rPr>
                                <w:color w:val="156082" w:themeColor="accent1"/>
                              </w:rPr>
                            </w:pPr>
                            <w:sdt>
                              <w:sdtPr>
                                <w:rPr>
                                  <w:caps/>
                                  <w:color w:val="156082"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Pr>
                                    <w:caps/>
                                    <w:color w:val="156082" w:themeColor="accent1"/>
                                  </w:rPr>
                                  <w:t xml:space="preserve">     </w:t>
                                </w:r>
                              </w:sdtContent>
                            </w:sdt>
                          </w:p>
                          <w:p w14:paraId="65EFA5A6" w14:textId="77777777" w:rsidR="00CB0F4D" w:rsidRDefault="00CB0F4D" w:rsidP="00CB0F4D">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156082"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2C8FF8AC" id="_x0000_t202" coordsize="21600,21600" o:spt="202" path="m,l,21600r21600,l21600,xe">
                <v:stroke joinstyle="miter"/>
                <v:path gradientshapeok="t" o:connecttype="rect"/>
              </v:shapetype>
              <v:shape id="Text Box 142" o:spid="_x0000_s1026" type="#_x0000_t202" style="position:absolute;left:0;text-align:left;margin-left:400.1pt;margin-top:659.25pt;width:451.3pt;height:60.7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" filled="f" stroked="f" strokeweight=".5pt">
                <v:textbox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1-12T00:00:00Z">
                          <w:dateFormat w:val="MMMM d, yyyy"/>
                          <w:lid w:val="en-US"/>
                          <w:storeMappedDataAs w:val="dateTime"/>
                          <w:calendar w:val="gregorian"/>
                        </w:date>
                      </w:sdtPr>
                      <w:sdtContent>
                        <w:p w14:paraId="6F3255CF" w14:textId="7A087963" w:rsidR="00CB0F4D" w:rsidRDefault="003D7D08" w:rsidP="00CB0F4D">
                          <w:pPr>
                            <w:pStyle w:val="NoSpacing"/>
                            <w:spacing w:after="40"/>
                            <w:jc w:val="center"/>
                            <w:rPr>
                              <w:caps/>
                              <w:color w:val="156082" w:themeColor="accent1"/>
                              <w:sz w:val="28"/>
                              <w:szCs w:val="28"/>
                            </w:rPr>
                          </w:pPr>
                          <w:r>
                            <w:rPr>
                              <w:caps/>
                              <w:color w:val="156082" w:themeColor="accent1"/>
                              <w:sz w:val="28"/>
                              <w:szCs w:val="28"/>
                            </w:rPr>
                            <w:t>January 12, 2026</w:t>
                          </w:r>
                        </w:p>
                      </w:sdtContent>
                    </w:sdt>
                    <w:p w14:paraId="7912EBDE" w14:textId="77777777" w:rsidR="00CB0F4D" w:rsidRDefault="00CB0F4D" w:rsidP="00CB0F4D">
                      <w:pPr>
                        <w:pStyle w:val="NoSpacing"/>
                        <w:jc w:val="center"/>
                        <w:rPr>
                          <w:color w:val="156082" w:themeColor="accent1"/>
                        </w:rPr>
                      </w:pPr>
                      <w:sdt>
                        <w:sdtPr>
                          <w:rPr>
                            <w:caps/>
                            <w:color w:val="156082"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Pr>
                              <w:caps/>
                              <w:color w:val="156082" w:themeColor="accent1"/>
                            </w:rPr>
                            <w:t xml:space="preserve">     </w:t>
                          </w:r>
                        </w:sdtContent>
                      </w:sdt>
                    </w:p>
                    <w:p w14:paraId="65EFA5A6" w14:textId="77777777" w:rsidR="00CB0F4D" w:rsidRDefault="00CB0F4D" w:rsidP="00CB0F4D">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156082" w:themeColor="accent1"/>
                            </w:rPr>
                            <w:t xml:space="preserve">     </w:t>
                          </w:r>
                        </w:sdtContent>
                      </w:sdt>
                    </w:p>
                  </w:txbxContent>
                </v:textbox>
                <w10:wrap anchorx="margin" anchory="page"/>
              </v:shape>
            </w:pict>
          </mc:Fallback>
        </mc:AlternateContent>
      </w:r>
    </w:p>
    <w:p w14:paraId="216D33F4" w14:textId="5611A4B7" w:rsidR="008428C1" w:rsidRPr="0046750B" w:rsidRDefault="008428C1" w:rsidP="00BF3296">
      <w:pPr>
        <w:spacing w:line="360" w:lineRule="auto"/>
        <w:jc w:val="both"/>
        <w:rPr>
          <w:rFonts w:ascii="Times New Roman" w:hAnsi="Times New Roman" w:cs="Times New Roman"/>
          <w:b/>
          <w:bCs/>
        </w:rPr>
      </w:pPr>
    </w:p>
    <w:p w14:paraId="2DB8CCD9" w14:textId="23913237" w:rsidR="008428C1" w:rsidRDefault="00C2098E" w:rsidP="00BF3296">
      <w:pPr>
        <w:spacing w:line="360" w:lineRule="auto"/>
        <w:jc w:val="both"/>
        <w:rPr>
          <w:rFonts w:ascii="Times New Roman" w:hAnsi="Times New Roman" w:cs="Times New Roman"/>
          <w:b/>
          <w:bCs/>
        </w:rPr>
      </w:pPr>
      <w:bookmarkStart w:id="0" w:name="_Toc218455396"/>
      <w:bookmarkStart w:id="1" w:name="_Toc218468528"/>
      <w:bookmarkStart w:id="2" w:name="_Toc218601086"/>
      <w:r>
        <w:rPr>
          <w:noProof/>
        </w:rPr>
        <w:lastRenderedPageBreak/>
        <w:drawing>
          <wp:inline distT="0" distB="0" distL="0" distR="0" wp14:anchorId="14403C21" wp14:editId="5EC878F8">
            <wp:extent cx="5943600" cy="1807845"/>
            <wp:effectExtent l="19050" t="0" r="19050" b="535305"/>
            <wp:docPr id="1" name="Picture 1" descr="Doctor of Business Administration (Full-time)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ctor of Business Administration (Full-time) | University of Wales Trinity  Saint Davi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180784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bookmarkEnd w:id="0"/>
      <w:bookmarkEnd w:id="1"/>
      <w:bookmarkEnd w:id="2"/>
    </w:p>
    <w:p w14:paraId="16C12EC4" w14:textId="77777777" w:rsidR="001A26CD" w:rsidRDefault="001A26CD" w:rsidP="001A26CD">
      <w:pPr>
        <w:spacing w:after="0" w:line="360" w:lineRule="auto"/>
        <w:jc w:val="both"/>
        <w:outlineLvl w:val="1"/>
        <w:rPr>
          <w:rFonts w:ascii="Times New Roman" w:eastAsia="Times New Roman" w:hAnsi="Times New Roman" w:cs="Times New Roman"/>
          <w:color w:val="1F1F1F"/>
          <w:kern w:val="0"/>
          <w:bdr w:val="none" w:sz="0" w:space="0" w:color="auto" w:frame="1"/>
          <w:lang w:val="en-US"/>
          <w14:ligatures w14:val="none"/>
        </w:rPr>
      </w:pPr>
    </w:p>
    <w:p w14:paraId="0C2BC7A2" w14:textId="77777777" w:rsidR="001A26CD" w:rsidRDefault="001A26CD" w:rsidP="001A26CD">
      <w:r>
        <w:rPr>
          <w:noProof/>
        </w:rPr>
        <mc:AlternateContent>
          <mc:Choice Requires="wps">
            <w:drawing>
              <wp:anchor distT="0" distB="0" distL="114300" distR="114300" simplePos="0" relativeHeight="251663360" behindDoc="0" locked="0" layoutInCell="1" allowOverlap="1" wp14:anchorId="3CF0A656" wp14:editId="772A0921">
                <wp:simplePos x="0" y="0"/>
                <wp:positionH relativeFrom="column">
                  <wp:posOffset>-9526</wp:posOffset>
                </wp:positionH>
                <wp:positionV relativeFrom="paragraph">
                  <wp:posOffset>59690</wp:posOffset>
                </wp:positionV>
                <wp:extent cx="6296025" cy="28575"/>
                <wp:effectExtent l="0" t="0" r="28575" b="28575"/>
                <wp:wrapNone/>
                <wp:docPr id="3" name="Straight Connector 3"/>
                <wp:cNvGraphicFramePr/>
                <a:graphic xmlns:a="http://schemas.openxmlformats.org/drawingml/2006/main">
                  <a:graphicData uri="http://schemas.microsoft.com/office/word/2010/wordprocessingShape">
                    <wps:wsp>
                      <wps:cNvCnPr/>
                      <wps:spPr>
                        <a:xfrm>
                          <a:off x="0" y="0"/>
                          <a:ext cx="6296025" cy="28575"/>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0B53326F" id="Straight Connector 3"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75pt,4.7pt" to="495pt,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" strokecolor="black [3200]" strokeweight="2pt">
                <v:stroke joinstyle="miter"/>
              </v:line>
            </w:pict>
          </mc:Fallback>
        </mc:AlternateContent>
      </w:r>
    </w:p>
    <w:p w14:paraId="06964EB2" w14:textId="688F7E4B" w:rsidR="001A26CD" w:rsidRPr="004E3911" w:rsidRDefault="00C65CF5" w:rsidP="001A26CD">
      <w:pPr>
        <w:jc w:val="center"/>
        <w:rPr>
          <w:rFonts w:ascii="Times New Roman" w:hAnsi="Times New Roman" w:cs="Times New Roman"/>
          <w:i/>
          <w:iCs/>
          <w:sz w:val="32"/>
          <w:szCs w:val="32"/>
        </w:rPr>
      </w:pPr>
      <w:r w:rsidRPr="004E3911">
        <w:rPr>
          <w:rFonts w:ascii="Times New Roman" w:hAnsi="Times New Roman" w:cs="Times New Roman"/>
          <w:sz w:val="32"/>
          <w:szCs w:val="32"/>
        </w:rPr>
        <w:t>Finance for Business Managers</w:t>
      </w:r>
      <w:r w:rsidR="001A26CD" w:rsidRPr="004E3911">
        <w:rPr>
          <w:rFonts w:ascii="Times New Roman" w:hAnsi="Times New Roman" w:cs="Times New Roman"/>
          <w:i/>
          <w:iCs/>
          <w:sz w:val="32"/>
          <w:szCs w:val="32"/>
        </w:rPr>
        <w:t xml:space="preserve"> </w:t>
      </w:r>
      <w:r w:rsidR="001A26CD" w:rsidRPr="004E3911">
        <w:rPr>
          <w:rFonts w:ascii="Times New Roman" w:hAnsi="Times New Roman" w:cs="Times New Roman"/>
          <w:sz w:val="32"/>
          <w:szCs w:val="32"/>
        </w:rPr>
        <w:t>(</w:t>
      </w:r>
      <w:r w:rsidR="004E3911" w:rsidRPr="004E3911">
        <w:rPr>
          <w:rFonts w:ascii="Times New Roman" w:hAnsi="Times New Roman" w:cs="Times New Roman"/>
          <w:bCs/>
          <w:sz w:val="32"/>
          <w:szCs w:val="32"/>
        </w:rPr>
        <w:t>BMMB7005D</w:t>
      </w:r>
      <w:r w:rsidR="001A26CD" w:rsidRPr="004E3911">
        <w:rPr>
          <w:rFonts w:ascii="Times New Roman" w:hAnsi="Times New Roman" w:cs="Times New Roman"/>
          <w:bCs/>
          <w:sz w:val="32"/>
          <w:szCs w:val="32"/>
        </w:rPr>
        <w:t>)</w:t>
      </w:r>
    </w:p>
    <w:p w14:paraId="4F55C905" w14:textId="77777777" w:rsidR="001A26CD" w:rsidRDefault="001A26CD" w:rsidP="001A26CD">
      <w:r>
        <w:rPr>
          <w:noProof/>
        </w:rPr>
        <mc:AlternateContent>
          <mc:Choice Requires="wps">
            <w:drawing>
              <wp:anchor distT="0" distB="0" distL="114300" distR="114300" simplePos="0" relativeHeight="251661312" behindDoc="0" locked="0" layoutInCell="1" allowOverlap="1" wp14:anchorId="22AD39AA" wp14:editId="6A8A0034">
                <wp:simplePos x="0" y="0"/>
                <wp:positionH relativeFrom="margin">
                  <wp:posOffset>-635</wp:posOffset>
                </wp:positionH>
                <wp:positionV relativeFrom="paragraph">
                  <wp:posOffset>27940</wp:posOffset>
                </wp:positionV>
                <wp:extent cx="6276975" cy="19050"/>
                <wp:effectExtent l="0" t="0" r="28575" b="19050"/>
                <wp:wrapNone/>
                <wp:docPr id="5" name="Straight Connector 5"/>
                <wp:cNvGraphicFramePr/>
                <a:graphic xmlns:a="http://schemas.openxmlformats.org/drawingml/2006/main">
                  <a:graphicData uri="http://schemas.microsoft.com/office/word/2010/wordprocessingShape">
                    <wps:wsp>
                      <wps:cNvCnPr/>
                      <wps:spPr>
                        <a:xfrm flipV="1">
                          <a:off x="0" y="0"/>
                          <a:ext cx="6276975" cy="1905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72B8E754" id="Straight Connector 5" o:spid="_x0000_s1026" style="position:absolute;flip:y;z-index:251661312;visibility:visible;mso-wrap-style:square;mso-wrap-distance-left:9pt;mso-wrap-distance-top:0;mso-wrap-distance-right:9pt;mso-wrap-distance-bottom:0;mso-position-horizontal:absolute;mso-position-horizontal-relative:margin;mso-position-vertical:absolute;mso-position-vertical-relative:text" from="-.05pt,2.2pt" to="494.2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" strokecolor="black [3200]" strokeweight="2pt">
                <v:stroke joinstyle="miter"/>
                <w10:wrap anchorx="margin"/>
              </v:line>
            </w:pict>
          </mc:Fallback>
        </mc:AlternateContent>
      </w:r>
    </w:p>
    <w:p w14:paraId="290DB429" w14:textId="5A1616AB" w:rsidR="001A26CD" w:rsidRPr="001A42B9" w:rsidRDefault="001A26CD" w:rsidP="001A26CD">
      <w:pPr>
        <w:jc w:val="center"/>
        <w:rPr>
          <w:rFonts w:ascii="Times New Roman" w:eastAsia="Times New Roman" w:hAnsi="Times New Roman" w:cs="Times New Roman"/>
          <w:i/>
          <w:iCs/>
          <w:kern w:val="36"/>
          <w:sz w:val="32"/>
          <w:szCs w:val="32"/>
        </w:rPr>
      </w:pPr>
      <w:r w:rsidRPr="001A42B9">
        <w:rPr>
          <w:rFonts w:ascii="Times New Roman" w:hAnsi="Times New Roman" w:cs="Times New Roman"/>
          <w:i/>
          <w:iCs/>
          <w:sz w:val="32"/>
          <w:szCs w:val="32"/>
        </w:rPr>
        <w:t>Assignment on</w:t>
      </w:r>
      <w:r w:rsidR="004E3911" w:rsidRPr="001A42B9">
        <w:rPr>
          <w:rFonts w:ascii="Times New Roman" w:hAnsi="Times New Roman" w:cs="Times New Roman"/>
          <w:i/>
          <w:iCs/>
          <w:sz w:val="32"/>
          <w:szCs w:val="32"/>
        </w:rPr>
        <w:t xml:space="preserve"> </w:t>
      </w:r>
      <w:r w:rsidR="001A42B9" w:rsidRPr="0002649F">
        <w:rPr>
          <w:rFonts w:ascii="Times New Roman" w:hAnsi="Times New Roman" w:cs="Times New Roman"/>
          <w:i/>
          <w:iCs/>
          <w:sz w:val="32"/>
          <w:szCs w:val="32"/>
        </w:rPr>
        <w:t>Westward Plc</w:t>
      </w:r>
    </w:p>
    <w:p w14:paraId="0DC55F97" w14:textId="77777777" w:rsidR="001A26CD" w:rsidRPr="0061012B" w:rsidRDefault="001A26CD" w:rsidP="001A26CD">
      <w:pPr>
        <w:rPr>
          <w:rFonts w:ascii="Times New Roman" w:hAnsi="Times New Roman" w:cs="Times New Roman"/>
          <w:i/>
          <w:iCs/>
          <w:sz w:val="32"/>
          <w:szCs w:val="32"/>
        </w:rPr>
      </w:pPr>
      <w:r>
        <w:rPr>
          <w:rFonts w:ascii="Times New Roman" w:hAnsi="Times New Roman" w:cs="Times New Roman"/>
          <w:i/>
          <w:iCs/>
          <w:noProof/>
          <w:sz w:val="32"/>
          <w:szCs w:val="32"/>
        </w:rPr>
        <mc:AlternateContent>
          <mc:Choice Requires="wps">
            <w:drawing>
              <wp:anchor distT="0" distB="0" distL="114300" distR="114300" simplePos="0" relativeHeight="251662336" behindDoc="0" locked="0" layoutInCell="1" allowOverlap="1" wp14:anchorId="4B36B5BD" wp14:editId="0CE6EE40">
                <wp:simplePos x="0" y="0"/>
                <wp:positionH relativeFrom="column">
                  <wp:posOffset>9524</wp:posOffset>
                </wp:positionH>
                <wp:positionV relativeFrom="paragraph">
                  <wp:posOffset>106680</wp:posOffset>
                </wp:positionV>
                <wp:extent cx="6315075" cy="9525"/>
                <wp:effectExtent l="0" t="0" r="28575" b="28575"/>
                <wp:wrapNone/>
                <wp:docPr id="6" name="Straight Connector 6"/>
                <wp:cNvGraphicFramePr/>
                <a:graphic xmlns:a="http://schemas.openxmlformats.org/drawingml/2006/main">
                  <a:graphicData uri="http://schemas.microsoft.com/office/word/2010/wordprocessingShape">
                    <wps:wsp>
                      <wps:cNvCnPr/>
                      <wps:spPr>
                        <a:xfrm flipV="1">
                          <a:off x="0" y="0"/>
                          <a:ext cx="6315075" cy="9525"/>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74BB95F8" id="Straight Connector 6" o:spid="_x0000_s1026" style="position:absolute;flip:y;z-index:251662336;visibility:visible;mso-wrap-style:square;mso-wrap-distance-left:9pt;mso-wrap-distance-top:0;mso-wrap-distance-right:9pt;mso-wrap-distance-bottom:0;mso-position-horizontal:absolute;mso-position-horizontal-relative:text;mso-position-vertical:absolute;mso-position-vertical-relative:text" from=".75pt,8.4pt" to="498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" strokecolor="black [3200]" strokeweight="2pt">
                <v:stroke joinstyle="miter"/>
              </v:line>
            </w:pict>
          </mc:Fallback>
        </mc:AlternateContent>
      </w:r>
    </w:p>
    <w:p w14:paraId="67F0DD66" w14:textId="77777777" w:rsidR="001A26CD" w:rsidRPr="00D74182" w:rsidRDefault="001A26CD" w:rsidP="001A26CD">
      <w:pPr>
        <w:jc w:val="center"/>
        <w:rPr>
          <w:rFonts w:ascii="Times New Roman" w:hAnsi="Times New Roman" w:cs="Times New Roman"/>
          <w:b/>
          <w:bCs/>
          <w:sz w:val="28"/>
          <w:szCs w:val="28"/>
        </w:rPr>
      </w:pPr>
      <w:r w:rsidRPr="00D74182">
        <w:rPr>
          <w:rFonts w:ascii="Times New Roman" w:hAnsi="Times New Roman" w:cs="Times New Roman"/>
          <w:b/>
          <w:bCs/>
          <w:sz w:val="28"/>
          <w:szCs w:val="28"/>
        </w:rPr>
        <w:t>Prepared By:</w:t>
      </w:r>
    </w:p>
    <w:p w14:paraId="1E6A7F14" w14:textId="77777777" w:rsidR="001A26CD" w:rsidRPr="00A01D1C" w:rsidRDefault="001A26CD" w:rsidP="001A26CD">
      <w:pPr>
        <w:jc w:val="center"/>
        <w:rPr>
          <w:rFonts w:ascii="Times New Roman" w:hAnsi="Times New Roman" w:cs="Times New Roman"/>
          <w:sz w:val="28"/>
          <w:szCs w:val="28"/>
        </w:rPr>
      </w:pPr>
      <w:r w:rsidRPr="00A01D1C">
        <w:rPr>
          <w:rFonts w:ascii="Times New Roman" w:hAnsi="Times New Roman" w:cs="Times New Roman"/>
          <w:sz w:val="28"/>
          <w:szCs w:val="28"/>
        </w:rPr>
        <w:t>Antar Podder</w:t>
      </w:r>
    </w:p>
    <w:p w14:paraId="7699E0C1" w14:textId="77777777" w:rsidR="001A26CD" w:rsidRPr="00A01D1C" w:rsidRDefault="001A26CD" w:rsidP="001A26CD">
      <w:pPr>
        <w:jc w:val="center"/>
        <w:rPr>
          <w:rFonts w:ascii="Times New Roman" w:hAnsi="Times New Roman" w:cs="Times New Roman"/>
          <w:sz w:val="28"/>
          <w:szCs w:val="28"/>
        </w:rPr>
      </w:pPr>
      <w:r w:rsidRPr="00A01D1C">
        <w:rPr>
          <w:rFonts w:ascii="Times New Roman" w:hAnsi="Times New Roman" w:cs="Times New Roman"/>
          <w:sz w:val="28"/>
          <w:szCs w:val="28"/>
        </w:rPr>
        <w:t>Student ID: 2505892</w:t>
      </w:r>
    </w:p>
    <w:p w14:paraId="085038B0" w14:textId="77777777" w:rsidR="001A26CD" w:rsidRPr="00A01D1C" w:rsidRDefault="001A26CD" w:rsidP="001A26CD">
      <w:pPr>
        <w:jc w:val="center"/>
        <w:rPr>
          <w:rFonts w:ascii="Times New Roman" w:hAnsi="Times New Roman" w:cs="Times New Roman"/>
          <w:sz w:val="28"/>
          <w:szCs w:val="28"/>
        </w:rPr>
      </w:pPr>
      <w:r w:rsidRPr="00A01D1C">
        <w:rPr>
          <w:rFonts w:ascii="Times New Roman" w:hAnsi="Times New Roman" w:cs="Times New Roman"/>
          <w:sz w:val="28"/>
          <w:szCs w:val="28"/>
        </w:rPr>
        <w:t>Program: MSc in Financial Management</w:t>
      </w:r>
    </w:p>
    <w:p w14:paraId="089B730F" w14:textId="77777777" w:rsidR="001A26CD" w:rsidRPr="00A01D1C" w:rsidRDefault="001A26CD" w:rsidP="001A26CD">
      <w:pPr>
        <w:jc w:val="center"/>
        <w:rPr>
          <w:rFonts w:ascii="Times New Roman" w:hAnsi="Times New Roman" w:cs="Times New Roman"/>
          <w:sz w:val="28"/>
          <w:szCs w:val="28"/>
        </w:rPr>
      </w:pPr>
      <w:r w:rsidRPr="00A01D1C">
        <w:rPr>
          <w:rFonts w:ascii="Times New Roman" w:hAnsi="Times New Roman" w:cs="Times New Roman"/>
          <w:sz w:val="28"/>
          <w:szCs w:val="28"/>
        </w:rPr>
        <w:t>University of Wales Trinity Saint David</w:t>
      </w:r>
    </w:p>
    <w:p w14:paraId="4E99C5FD" w14:textId="77777777" w:rsidR="001A26CD" w:rsidRDefault="001A26CD" w:rsidP="001A26CD">
      <w:pPr>
        <w:rPr>
          <w:rFonts w:ascii="Times New Roman" w:hAnsi="Times New Roman" w:cs="Times New Roman"/>
        </w:rPr>
      </w:pPr>
    </w:p>
    <w:p w14:paraId="7C4D55F2" w14:textId="77777777" w:rsidR="001A26CD" w:rsidRPr="00D74182" w:rsidRDefault="001A26CD" w:rsidP="001A26CD">
      <w:pPr>
        <w:jc w:val="center"/>
        <w:rPr>
          <w:rFonts w:ascii="Times New Roman" w:hAnsi="Times New Roman" w:cs="Times New Roman"/>
          <w:b/>
          <w:bCs/>
          <w:sz w:val="28"/>
          <w:szCs w:val="28"/>
        </w:rPr>
      </w:pPr>
      <w:r w:rsidRPr="00D74182">
        <w:rPr>
          <w:rFonts w:ascii="Times New Roman" w:hAnsi="Times New Roman" w:cs="Times New Roman"/>
          <w:b/>
          <w:bCs/>
          <w:sz w:val="28"/>
          <w:szCs w:val="28"/>
        </w:rPr>
        <w:t>Prepared For:</w:t>
      </w:r>
    </w:p>
    <w:p w14:paraId="64099C56" w14:textId="70261E5B" w:rsidR="001A42B9" w:rsidRPr="00AB073B" w:rsidRDefault="00AB073B" w:rsidP="001A26CD">
      <w:pPr>
        <w:jc w:val="center"/>
        <w:rPr>
          <w:rFonts w:ascii="Times New Roman" w:hAnsi="Times New Roman" w:cs="Times New Roman"/>
          <w:bCs/>
          <w:sz w:val="28"/>
          <w:szCs w:val="28"/>
        </w:rPr>
      </w:pPr>
      <w:r w:rsidRPr="00AB073B">
        <w:rPr>
          <w:rFonts w:ascii="Times New Roman" w:hAnsi="Times New Roman" w:cs="Times New Roman"/>
          <w:sz w:val="28"/>
          <w:szCs w:val="28"/>
        </w:rPr>
        <w:t>Marie Pitson</w:t>
      </w:r>
    </w:p>
    <w:p w14:paraId="65C47606" w14:textId="4291878A" w:rsidR="001A26CD" w:rsidRPr="00D154D3" w:rsidRDefault="001A26CD" w:rsidP="001A26CD">
      <w:pPr>
        <w:jc w:val="center"/>
        <w:rPr>
          <w:rFonts w:ascii="Times New Roman" w:hAnsi="Times New Roman" w:cs="Times New Roman"/>
          <w:sz w:val="28"/>
          <w:szCs w:val="28"/>
        </w:rPr>
      </w:pPr>
      <w:r w:rsidRPr="00A01D1C">
        <w:rPr>
          <w:rFonts w:ascii="Times New Roman" w:hAnsi="Times New Roman" w:cs="Times New Roman"/>
          <w:sz w:val="28"/>
          <w:szCs w:val="28"/>
        </w:rPr>
        <w:t>University of Wales Trinity Saint David</w:t>
      </w:r>
    </w:p>
    <w:p w14:paraId="5ED15A37" w14:textId="77777777" w:rsidR="00C2098E" w:rsidRPr="003D5196" w:rsidRDefault="00C2098E" w:rsidP="00BF3296">
      <w:pPr>
        <w:spacing w:line="360" w:lineRule="auto"/>
        <w:jc w:val="both"/>
        <w:rPr>
          <w:rFonts w:ascii="Times New Roman" w:hAnsi="Times New Roman" w:cs="Times New Roman"/>
          <w:b/>
          <w:bCs/>
        </w:rPr>
      </w:pPr>
    </w:p>
    <w:p w14:paraId="7B58CA28" w14:textId="77777777" w:rsidR="0046750B" w:rsidRDefault="0046750B" w:rsidP="00BF3296">
      <w:pPr>
        <w:spacing w:line="360" w:lineRule="auto"/>
        <w:jc w:val="both"/>
        <w:rPr>
          <w:rFonts w:ascii="Times New Roman" w:hAnsi="Times New Roman" w:cs="Times New Roman"/>
        </w:rPr>
      </w:pPr>
    </w:p>
    <w:p w14:paraId="5FA95BE2" w14:textId="77777777" w:rsidR="0046750B" w:rsidRPr="0046750B" w:rsidRDefault="0046750B" w:rsidP="00E47A6F">
      <w:pPr>
        <w:pStyle w:val="Heading1"/>
      </w:pPr>
      <w:bookmarkStart w:id="3" w:name="_Toc218984722"/>
      <w:r w:rsidRPr="0046750B">
        <w:lastRenderedPageBreak/>
        <w:t>Executive Summary</w:t>
      </w:r>
      <w:bookmarkEnd w:id="3"/>
    </w:p>
    <w:p w14:paraId="7F36E74E" w14:textId="77777777" w:rsidR="0046750B" w:rsidRPr="0046750B" w:rsidRDefault="0046750B" w:rsidP="0046750B">
      <w:pPr>
        <w:spacing w:line="360" w:lineRule="auto"/>
        <w:jc w:val="both"/>
        <w:rPr>
          <w:rFonts w:ascii="Times New Roman" w:hAnsi="Times New Roman" w:cs="Times New Roman"/>
        </w:rPr>
      </w:pPr>
      <w:r w:rsidRPr="0046750B">
        <w:rPr>
          <w:rFonts w:ascii="Times New Roman" w:hAnsi="Times New Roman" w:cs="Times New Roman"/>
        </w:rPr>
        <w:t xml:space="preserve">This report contains two evaluations and assessments of two different businesses. In part 1 it conducts a financial performance and position analysis of Coca-Cola HBC for the two years 2023 and 2024. In part 2 of this report, it is the appraisal of investment opportunities of the company Westward plc, for its three available expansion options. </w:t>
      </w:r>
    </w:p>
    <w:p w14:paraId="7854A55A" w14:textId="77777777" w:rsidR="0046750B" w:rsidRPr="0046750B" w:rsidRDefault="0046750B" w:rsidP="0046750B">
      <w:pPr>
        <w:spacing w:line="360" w:lineRule="auto"/>
        <w:jc w:val="both"/>
        <w:rPr>
          <w:rFonts w:ascii="Times New Roman" w:hAnsi="Times New Roman" w:cs="Times New Roman"/>
        </w:rPr>
      </w:pPr>
      <w:r w:rsidRPr="0046750B">
        <w:rPr>
          <w:rFonts w:ascii="Times New Roman" w:hAnsi="Times New Roman" w:cs="Times New Roman"/>
        </w:rPr>
        <w:t xml:space="preserve">In the part 1 of this report, it shows that Coca-Cola HBC improved its business performance from the year 2023 to the year 2024. It shows that the organization’s strategy of price control, production efficiency, and others significantly contributed to its increased profitability. The company also increased in the value it offered for its shareholders and for itself. The company also employed a high-risk high-reward strategy where it deliberately kept its liquidity low due to its stable cash flows. Moreover, it also kept its inventory for longer days in 2024 than in 2023 and also billed its payables later as well. This is a strategy for a temporary increase in the liquidity but comes with some risks. The company remained largely solvent despite its high gearing rates. </w:t>
      </w:r>
      <w:proofErr w:type="gramStart"/>
      <w:r w:rsidRPr="0046750B">
        <w:rPr>
          <w:rFonts w:ascii="Times New Roman" w:hAnsi="Times New Roman" w:cs="Times New Roman"/>
        </w:rPr>
        <w:t>Overall</w:t>
      </w:r>
      <w:proofErr w:type="gramEnd"/>
      <w:r w:rsidRPr="0046750B">
        <w:rPr>
          <w:rFonts w:ascii="Times New Roman" w:hAnsi="Times New Roman" w:cs="Times New Roman"/>
        </w:rPr>
        <w:t xml:space="preserve"> the company is in a strong position. </w:t>
      </w:r>
    </w:p>
    <w:p w14:paraId="62585E03" w14:textId="14160353" w:rsidR="0046750B" w:rsidRPr="0046750B" w:rsidRDefault="0046750B" w:rsidP="0046750B">
      <w:pPr>
        <w:spacing w:line="360" w:lineRule="auto"/>
        <w:jc w:val="both"/>
        <w:rPr>
          <w:rFonts w:ascii="Times New Roman" w:hAnsi="Times New Roman" w:cs="Times New Roman"/>
        </w:rPr>
      </w:pPr>
      <w:r w:rsidRPr="0046750B">
        <w:rPr>
          <w:rFonts w:ascii="Times New Roman" w:hAnsi="Times New Roman" w:cs="Times New Roman"/>
        </w:rPr>
        <w:t>In the part 2 of this report, the company is Westward plc, and it is considering expansion across three mutually exclusive areas. The report utilizes various discounted and non-discounted techniques to assess the viability of these investment options. It uses NPV (Net Present Value) as its primary tool, due to the technique allowing for more realistic and holistic account of the company’s financial future. IRR and Payback Period offers supporting role for NPV. They provided the decision-makers with the additional information necessary to make an informed decision</w:t>
      </w:r>
      <w:sdt>
        <w:sdtPr>
          <w:rPr>
            <w:rFonts w:ascii="Times New Roman" w:hAnsi="Times New Roman" w:cs="Times New Roman"/>
          </w:rPr>
          <w:id w:val="586123523"/>
          <w:citation/>
        </w:sdtPr>
        <w:sdtEndPr/>
        <w:sdtContent>
          <w:r w:rsidRPr="0046750B">
            <w:rPr>
              <w:rFonts w:ascii="Times New Roman" w:hAnsi="Times New Roman" w:cs="Times New Roman"/>
            </w:rPr>
            <w:fldChar w:fldCharType="begin"/>
          </w:r>
          <w:r w:rsidRPr="0046750B">
            <w:rPr>
              <w:rFonts w:ascii="Times New Roman" w:hAnsi="Times New Roman" w:cs="Times New Roman"/>
              <w:lang w:val="en-US"/>
            </w:rPr>
            <w:instrText xml:space="preserve"> CITATION Bra181 \l 1033 </w:instrText>
          </w:r>
          <w:r w:rsidRPr="0046750B">
            <w:rPr>
              <w:rFonts w:ascii="Times New Roman" w:hAnsi="Times New Roman" w:cs="Times New Roman"/>
            </w:rPr>
            <w:fldChar w:fldCharType="separate"/>
          </w:r>
          <w:r w:rsidR="00734073">
            <w:rPr>
              <w:rFonts w:ascii="Times New Roman" w:hAnsi="Times New Roman" w:cs="Times New Roman"/>
              <w:noProof/>
              <w:lang w:val="en-US"/>
            </w:rPr>
            <w:t xml:space="preserve"> </w:t>
          </w:r>
          <w:r w:rsidR="00734073" w:rsidRPr="00734073">
            <w:rPr>
              <w:rFonts w:ascii="Times New Roman" w:hAnsi="Times New Roman" w:cs="Times New Roman"/>
              <w:noProof/>
              <w:lang w:val="en-US"/>
            </w:rPr>
            <w:t>(Brainkart, 2018)</w:t>
          </w:r>
          <w:r w:rsidRPr="0046750B">
            <w:rPr>
              <w:rFonts w:ascii="Times New Roman" w:hAnsi="Times New Roman" w:cs="Times New Roman"/>
            </w:rPr>
            <w:fldChar w:fldCharType="end"/>
          </w:r>
        </w:sdtContent>
      </w:sdt>
      <w:r w:rsidRPr="0046750B">
        <w:rPr>
          <w:rFonts w:ascii="Times New Roman" w:hAnsi="Times New Roman" w:cs="Times New Roman"/>
        </w:rPr>
        <w:t xml:space="preserve">. Finally, the report also goes into the market environmental and internal factors that may affect the business growth of the company, and thus the company must take into account. </w:t>
      </w:r>
    </w:p>
    <w:p w14:paraId="5F201818" w14:textId="77777777" w:rsidR="0046750B" w:rsidRDefault="0046750B" w:rsidP="00BF3296">
      <w:pPr>
        <w:spacing w:line="360" w:lineRule="auto"/>
        <w:jc w:val="both"/>
        <w:rPr>
          <w:rFonts w:ascii="Times New Roman" w:hAnsi="Times New Roman" w:cs="Times New Roman"/>
        </w:rPr>
      </w:pPr>
    </w:p>
    <w:p w14:paraId="2C42D27E" w14:textId="77777777" w:rsidR="0046750B" w:rsidRDefault="0046750B" w:rsidP="00BF3296">
      <w:pPr>
        <w:spacing w:line="360" w:lineRule="auto"/>
        <w:jc w:val="both"/>
        <w:rPr>
          <w:rFonts w:ascii="Times New Roman" w:hAnsi="Times New Roman" w:cs="Times New Roman"/>
        </w:rPr>
      </w:pPr>
    </w:p>
    <w:p w14:paraId="6B9B4FFC" w14:textId="77777777" w:rsidR="0046750B" w:rsidRDefault="0046750B" w:rsidP="00BF3296">
      <w:pPr>
        <w:spacing w:line="360" w:lineRule="auto"/>
        <w:jc w:val="both"/>
        <w:rPr>
          <w:rFonts w:ascii="Times New Roman" w:hAnsi="Times New Roman" w:cs="Times New Roman"/>
        </w:rPr>
      </w:pPr>
    </w:p>
    <w:p w14:paraId="7A421C95" w14:textId="77777777" w:rsidR="008428C1" w:rsidRDefault="008428C1" w:rsidP="00BF3296">
      <w:pPr>
        <w:spacing w:line="360" w:lineRule="auto"/>
        <w:jc w:val="both"/>
        <w:rPr>
          <w:rFonts w:ascii="Times New Roman" w:hAnsi="Times New Roman" w:cs="Times New Roman"/>
        </w:rPr>
      </w:pPr>
    </w:p>
    <w:sdt>
      <w:sdtPr>
        <w:rPr>
          <w:rFonts w:asciiTheme="minorHAnsi" w:eastAsiaTheme="minorHAnsi" w:hAnsiTheme="minorHAnsi" w:cstheme="minorBidi"/>
          <w:color w:val="auto"/>
          <w:kern w:val="2"/>
          <w:sz w:val="24"/>
          <w:szCs w:val="24"/>
          <w:lang w:val="en-GB"/>
          <w14:ligatures w14:val="standardContextual"/>
        </w:rPr>
        <w:id w:val="1228722684"/>
        <w:docPartObj>
          <w:docPartGallery w:val="Table of Contents"/>
          <w:docPartUnique/>
        </w:docPartObj>
      </w:sdtPr>
      <w:sdtEndPr>
        <w:rPr>
          <w:rFonts w:ascii="Times New Roman" w:hAnsi="Times New Roman" w:cs="Times New Roman"/>
          <w:b/>
          <w:bCs/>
          <w:noProof/>
        </w:rPr>
      </w:sdtEndPr>
      <w:sdtContent>
        <w:p w14:paraId="77296407" w14:textId="38D37E3A" w:rsidR="0046750B" w:rsidRPr="00FE4D86" w:rsidRDefault="0046750B">
          <w:pPr>
            <w:pStyle w:val="TOCHeading"/>
            <w:rPr>
              <w:rFonts w:ascii="Times New Roman" w:hAnsi="Times New Roman" w:cs="Times New Roman"/>
            </w:rPr>
          </w:pPr>
          <w:r w:rsidRPr="00FE4D86">
            <w:rPr>
              <w:rFonts w:ascii="Times New Roman" w:hAnsi="Times New Roman" w:cs="Times New Roman"/>
            </w:rPr>
            <w:t>Contents</w:t>
          </w:r>
        </w:p>
        <w:p w14:paraId="6B113DAD" w14:textId="67BE6743" w:rsidR="006F591F" w:rsidRDefault="0046750B">
          <w:pPr>
            <w:pStyle w:val="TOC1"/>
            <w:tabs>
              <w:tab w:val="right" w:leader="dot" w:pos="9350"/>
            </w:tabs>
            <w:rPr>
              <w:rFonts w:eastAsiaTheme="minorEastAsia"/>
              <w:noProof/>
              <w:kern w:val="0"/>
              <w:sz w:val="22"/>
              <w:szCs w:val="22"/>
              <w:lang w:val="en-US"/>
              <w14:ligatures w14:val="none"/>
            </w:rPr>
          </w:pPr>
          <w:r w:rsidRPr="00FE4D86">
            <w:rPr>
              <w:rFonts w:ascii="Times New Roman" w:hAnsi="Times New Roman" w:cs="Times New Roman"/>
            </w:rPr>
            <w:fldChar w:fldCharType="begin"/>
          </w:r>
          <w:r w:rsidRPr="00FE4D86">
            <w:rPr>
              <w:rFonts w:ascii="Times New Roman" w:hAnsi="Times New Roman" w:cs="Times New Roman"/>
            </w:rPr>
            <w:instrText xml:space="preserve"> TOC \o "1-3" \h \z \u </w:instrText>
          </w:r>
          <w:r w:rsidRPr="00FE4D86">
            <w:rPr>
              <w:rFonts w:ascii="Times New Roman" w:hAnsi="Times New Roman" w:cs="Times New Roman"/>
            </w:rPr>
            <w:fldChar w:fldCharType="separate"/>
          </w:r>
          <w:hyperlink w:anchor="_Toc218984722" w:history="1">
            <w:r w:rsidR="006F591F" w:rsidRPr="002875BB">
              <w:rPr>
                <w:rStyle w:val="Hyperlink"/>
                <w:noProof/>
              </w:rPr>
              <w:t>Executive Summary</w:t>
            </w:r>
            <w:r w:rsidR="006F591F">
              <w:rPr>
                <w:noProof/>
                <w:webHidden/>
              </w:rPr>
              <w:tab/>
            </w:r>
            <w:r w:rsidR="006F591F">
              <w:rPr>
                <w:noProof/>
                <w:webHidden/>
              </w:rPr>
              <w:fldChar w:fldCharType="begin"/>
            </w:r>
            <w:r w:rsidR="006F591F">
              <w:rPr>
                <w:noProof/>
                <w:webHidden/>
              </w:rPr>
              <w:instrText xml:space="preserve"> PAGEREF _Toc218984722 \h </w:instrText>
            </w:r>
            <w:r w:rsidR="006F591F">
              <w:rPr>
                <w:noProof/>
                <w:webHidden/>
              </w:rPr>
            </w:r>
            <w:r w:rsidR="006F591F">
              <w:rPr>
                <w:noProof/>
                <w:webHidden/>
              </w:rPr>
              <w:fldChar w:fldCharType="separate"/>
            </w:r>
            <w:r w:rsidR="006F591F">
              <w:rPr>
                <w:noProof/>
                <w:webHidden/>
              </w:rPr>
              <w:t>3</w:t>
            </w:r>
            <w:r w:rsidR="006F591F">
              <w:rPr>
                <w:noProof/>
                <w:webHidden/>
              </w:rPr>
              <w:fldChar w:fldCharType="end"/>
            </w:r>
          </w:hyperlink>
        </w:p>
        <w:p w14:paraId="0F7808DE" w14:textId="2349DB34" w:rsidR="006F591F" w:rsidRDefault="006F591F">
          <w:pPr>
            <w:pStyle w:val="TOC1"/>
            <w:tabs>
              <w:tab w:val="right" w:leader="dot" w:pos="9350"/>
            </w:tabs>
            <w:rPr>
              <w:rFonts w:eastAsiaTheme="minorEastAsia"/>
              <w:noProof/>
              <w:kern w:val="0"/>
              <w:sz w:val="22"/>
              <w:szCs w:val="22"/>
              <w:lang w:val="en-US"/>
              <w14:ligatures w14:val="none"/>
            </w:rPr>
          </w:pPr>
          <w:hyperlink w:anchor="_Toc218984723" w:history="1">
            <w:r w:rsidRPr="002875BB">
              <w:rPr>
                <w:rStyle w:val="Hyperlink"/>
                <w:noProof/>
              </w:rPr>
              <w:t>Introduction</w:t>
            </w:r>
            <w:r>
              <w:rPr>
                <w:noProof/>
                <w:webHidden/>
              </w:rPr>
              <w:tab/>
            </w:r>
            <w:r>
              <w:rPr>
                <w:noProof/>
                <w:webHidden/>
              </w:rPr>
              <w:fldChar w:fldCharType="begin"/>
            </w:r>
            <w:r>
              <w:rPr>
                <w:noProof/>
                <w:webHidden/>
              </w:rPr>
              <w:instrText xml:space="preserve"> PAGEREF _Toc218984723 \h </w:instrText>
            </w:r>
            <w:r>
              <w:rPr>
                <w:noProof/>
                <w:webHidden/>
              </w:rPr>
            </w:r>
            <w:r>
              <w:rPr>
                <w:noProof/>
                <w:webHidden/>
              </w:rPr>
              <w:fldChar w:fldCharType="separate"/>
            </w:r>
            <w:r>
              <w:rPr>
                <w:noProof/>
                <w:webHidden/>
              </w:rPr>
              <w:t>6</w:t>
            </w:r>
            <w:r>
              <w:rPr>
                <w:noProof/>
                <w:webHidden/>
              </w:rPr>
              <w:fldChar w:fldCharType="end"/>
            </w:r>
          </w:hyperlink>
        </w:p>
        <w:p w14:paraId="0AF8D93C" w14:textId="021BC9E1" w:rsidR="006F591F" w:rsidRDefault="006F591F">
          <w:pPr>
            <w:pStyle w:val="TOC1"/>
            <w:tabs>
              <w:tab w:val="right" w:leader="dot" w:pos="9350"/>
            </w:tabs>
            <w:rPr>
              <w:rFonts w:eastAsiaTheme="minorEastAsia"/>
              <w:noProof/>
              <w:kern w:val="0"/>
              <w:sz w:val="22"/>
              <w:szCs w:val="22"/>
              <w:lang w:val="en-US"/>
              <w14:ligatures w14:val="none"/>
            </w:rPr>
          </w:pPr>
          <w:hyperlink w:anchor="_Toc218984724" w:history="1">
            <w:r w:rsidRPr="002875BB">
              <w:rPr>
                <w:rStyle w:val="Hyperlink"/>
                <w:noProof/>
              </w:rPr>
              <w:t>Main Findings</w:t>
            </w:r>
            <w:r>
              <w:rPr>
                <w:noProof/>
                <w:webHidden/>
              </w:rPr>
              <w:tab/>
            </w:r>
            <w:r>
              <w:rPr>
                <w:noProof/>
                <w:webHidden/>
              </w:rPr>
              <w:fldChar w:fldCharType="begin"/>
            </w:r>
            <w:r>
              <w:rPr>
                <w:noProof/>
                <w:webHidden/>
              </w:rPr>
              <w:instrText xml:space="preserve"> PAGEREF _Toc218984724 \h </w:instrText>
            </w:r>
            <w:r>
              <w:rPr>
                <w:noProof/>
                <w:webHidden/>
              </w:rPr>
            </w:r>
            <w:r>
              <w:rPr>
                <w:noProof/>
                <w:webHidden/>
              </w:rPr>
              <w:fldChar w:fldCharType="separate"/>
            </w:r>
            <w:r>
              <w:rPr>
                <w:noProof/>
                <w:webHidden/>
              </w:rPr>
              <w:t>7</w:t>
            </w:r>
            <w:r>
              <w:rPr>
                <w:noProof/>
                <w:webHidden/>
              </w:rPr>
              <w:fldChar w:fldCharType="end"/>
            </w:r>
          </w:hyperlink>
        </w:p>
        <w:p w14:paraId="07B28933" w14:textId="1951FAF6" w:rsidR="006F591F" w:rsidRDefault="006F591F">
          <w:pPr>
            <w:pStyle w:val="TOC1"/>
            <w:tabs>
              <w:tab w:val="right" w:leader="dot" w:pos="9350"/>
            </w:tabs>
            <w:rPr>
              <w:rFonts w:eastAsiaTheme="minorEastAsia"/>
              <w:noProof/>
              <w:kern w:val="0"/>
              <w:sz w:val="22"/>
              <w:szCs w:val="22"/>
              <w:lang w:val="en-US"/>
              <w14:ligatures w14:val="none"/>
            </w:rPr>
          </w:pPr>
          <w:hyperlink w:anchor="_Toc218984725" w:history="1">
            <w:r w:rsidRPr="002875BB">
              <w:rPr>
                <w:rStyle w:val="Hyperlink"/>
                <w:noProof/>
              </w:rPr>
              <w:t>Part 1</w:t>
            </w:r>
            <w:r>
              <w:rPr>
                <w:noProof/>
                <w:webHidden/>
              </w:rPr>
              <w:tab/>
            </w:r>
            <w:r>
              <w:rPr>
                <w:noProof/>
                <w:webHidden/>
              </w:rPr>
              <w:fldChar w:fldCharType="begin"/>
            </w:r>
            <w:r>
              <w:rPr>
                <w:noProof/>
                <w:webHidden/>
              </w:rPr>
              <w:instrText xml:space="preserve"> PAGEREF _Toc218984725 \h </w:instrText>
            </w:r>
            <w:r>
              <w:rPr>
                <w:noProof/>
                <w:webHidden/>
              </w:rPr>
            </w:r>
            <w:r>
              <w:rPr>
                <w:noProof/>
                <w:webHidden/>
              </w:rPr>
              <w:fldChar w:fldCharType="separate"/>
            </w:r>
            <w:r>
              <w:rPr>
                <w:noProof/>
                <w:webHidden/>
              </w:rPr>
              <w:t>7</w:t>
            </w:r>
            <w:r>
              <w:rPr>
                <w:noProof/>
                <w:webHidden/>
              </w:rPr>
              <w:fldChar w:fldCharType="end"/>
            </w:r>
          </w:hyperlink>
        </w:p>
        <w:p w14:paraId="6746180E" w14:textId="2768B466" w:rsidR="006F591F" w:rsidRDefault="006F591F">
          <w:pPr>
            <w:pStyle w:val="TOC2"/>
            <w:tabs>
              <w:tab w:val="right" w:leader="dot" w:pos="9350"/>
            </w:tabs>
            <w:rPr>
              <w:rFonts w:eastAsiaTheme="minorEastAsia"/>
              <w:noProof/>
              <w:kern w:val="0"/>
              <w:sz w:val="22"/>
              <w:szCs w:val="22"/>
              <w:lang w:val="en-US"/>
              <w14:ligatures w14:val="none"/>
            </w:rPr>
          </w:pPr>
          <w:hyperlink w:anchor="_Toc218984726" w:history="1">
            <w:r w:rsidRPr="002875BB">
              <w:rPr>
                <w:rStyle w:val="Hyperlink"/>
                <w:noProof/>
              </w:rPr>
              <w:t>Profitability Analysis</w:t>
            </w:r>
            <w:r>
              <w:rPr>
                <w:noProof/>
                <w:webHidden/>
              </w:rPr>
              <w:tab/>
            </w:r>
            <w:r>
              <w:rPr>
                <w:noProof/>
                <w:webHidden/>
              </w:rPr>
              <w:fldChar w:fldCharType="begin"/>
            </w:r>
            <w:r>
              <w:rPr>
                <w:noProof/>
                <w:webHidden/>
              </w:rPr>
              <w:instrText xml:space="preserve"> PAGEREF _Toc218984726 \h </w:instrText>
            </w:r>
            <w:r>
              <w:rPr>
                <w:noProof/>
                <w:webHidden/>
              </w:rPr>
            </w:r>
            <w:r>
              <w:rPr>
                <w:noProof/>
                <w:webHidden/>
              </w:rPr>
              <w:fldChar w:fldCharType="separate"/>
            </w:r>
            <w:r>
              <w:rPr>
                <w:noProof/>
                <w:webHidden/>
              </w:rPr>
              <w:t>7</w:t>
            </w:r>
            <w:r>
              <w:rPr>
                <w:noProof/>
                <w:webHidden/>
              </w:rPr>
              <w:fldChar w:fldCharType="end"/>
            </w:r>
          </w:hyperlink>
        </w:p>
        <w:p w14:paraId="0715C993" w14:textId="18FCF3D4" w:rsidR="006F591F" w:rsidRDefault="006F591F">
          <w:pPr>
            <w:pStyle w:val="TOC3"/>
            <w:tabs>
              <w:tab w:val="right" w:leader="dot" w:pos="9350"/>
            </w:tabs>
            <w:rPr>
              <w:rFonts w:eastAsiaTheme="minorEastAsia"/>
              <w:noProof/>
              <w:kern w:val="0"/>
              <w:sz w:val="22"/>
              <w:szCs w:val="22"/>
              <w:lang w:val="en-US"/>
              <w14:ligatures w14:val="none"/>
            </w:rPr>
          </w:pPr>
          <w:hyperlink w:anchor="_Toc218984727" w:history="1">
            <w:r w:rsidRPr="002875BB">
              <w:rPr>
                <w:rStyle w:val="Hyperlink"/>
                <w:noProof/>
              </w:rPr>
              <w:t>Revenue and Margin Performance</w:t>
            </w:r>
            <w:r>
              <w:rPr>
                <w:noProof/>
                <w:webHidden/>
              </w:rPr>
              <w:tab/>
            </w:r>
            <w:r>
              <w:rPr>
                <w:noProof/>
                <w:webHidden/>
              </w:rPr>
              <w:fldChar w:fldCharType="begin"/>
            </w:r>
            <w:r>
              <w:rPr>
                <w:noProof/>
                <w:webHidden/>
              </w:rPr>
              <w:instrText xml:space="preserve"> PAGEREF _Toc218984727 \h </w:instrText>
            </w:r>
            <w:r>
              <w:rPr>
                <w:noProof/>
                <w:webHidden/>
              </w:rPr>
            </w:r>
            <w:r>
              <w:rPr>
                <w:noProof/>
                <w:webHidden/>
              </w:rPr>
              <w:fldChar w:fldCharType="separate"/>
            </w:r>
            <w:r>
              <w:rPr>
                <w:noProof/>
                <w:webHidden/>
              </w:rPr>
              <w:t>7</w:t>
            </w:r>
            <w:r>
              <w:rPr>
                <w:noProof/>
                <w:webHidden/>
              </w:rPr>
              <w:fldChar w:fldCharType="end"/>
            </w:r>
          </w:hyperlink>
        </w:p>
        <w:p w14:paraId="69E2C2DF" w14:textId="59623BA1" w:rsidR="006F591F" w:rsidRDefault="006F591F">
          <w:pPr>
            <w:pStyle w:val="TOC3"/>
            <w:tabs>
              <w:tab w:val="right" w:leader="dot" w:pos="9350"/>
            </w:tabs>
            <w:rPr>
              <w:rFonts w:eastAsiaTheme="minorEastAsia"/>
              <w:noProof/>
              <w:kern w:val="0"/>
              <w:sz w:val="22"/>
              <w:szCs w:val="22"/>
              <w:lang w:val="en-US"/>
              <w14:ligatures w14:val="none"/>
            </w:rPr>
          </w:pPr>
          <w:hyperlink w:anchor="_Toc218984728" w:history="1">
            <w:r w:rsidRPr="002875BB">
              <w:rPr>
                <w:rStyle w:val="Hyperlink"/>
                <w:noProof/>
              </w:rPr>
              <w:t>Operating and Net Profitability</w:t>
            </w:r>
            <w:r>
              <w:rPr>
                <w:noProof/>
                <w:webHidden/>
              </w:rPr>
              <w:tab/>
            </w:r>
            <w:r>
              <w:rPr>
                <w:noProof/>
                <w:webHidden/>
              </w:rPr>
              <w:fldChar w:fldCharType="begin"/>
            </w:r>
            <w:r>
              <w:rPr>
                <w:noProof/>
                <w:webHidden/>
              </w:rPr>
              <w:instrText xml:space="preserve"> PAGEREF _Toc218984728 \h </w:instrText>
            </w:r>
            <w:r>
              <w:rPr>
                <w:noProof/>
                <w:webHidden/>
              </w:rPr>
            </w:r>
            <w:r>
              <w:rPr>
                <w:noProof/>
                <w:webHidden/>
              </w:rPr>
              <w:fldChar w:fldCharType="separate"/>
            </w:r>
            <w:r>
              <w:rPr>
                <w:noProof/>
                <w:webHidden/>
              </w:rPr>
              <w:t>8</w:t>
            </w:r>
            <w:r>
              <w:rPr>
                <w:noProof/>
                <w:webHidden/>
              </w:rPr>
              <w:fldChar w:fldCharType="end"/>
            </w:r>
          </w:hyperlink>
        </w:p>
        <w:p w14:paraId="3B5AE73D" w14:textId="0441283C" w:rsidR="006F591F" w:rsidRDefault="006F591F">
          <w:pPr>
            <w:pStyle w:val="TOC3"/>
            <w:tabs>
              <w:tab w:val="right" w:leader="dot" w:pos="9350"/>
            </w:tabs>
            <w:rPr>
              <w:rFonts w:eastAsiaTheme="minorEastAsia"/>
              <w:noProof/>
              <w:kern w:val="0"/>
              <w:sz w:val="22"/>
              <w:szCs w:val="22"/>
              <w:lang w:val="en-US"/>
              <w14:ligatures w14:val="none"/>
            </w:rPr>
          </w:pPr>
          <w:hyperlink w:anchor="_Toc218984729" w:history="1">
            <w:r w:rsidRPr="002875BB">
              <w:rPr>
                <w:rStyle w:val="Hyperlink"/>
                <w:noProof/>
              </w:rPr>
              <w:t>Operating Profit Margin</w:t>
            </w:r>
            <w:r>
              <w:rPr>
                <w:noProof/>
                <w:webHidden/>
              </w:rPr>
              <w:tab/>
            </w:r>
            <w:r>
              <w:rPr>
                <w:noProof/>
                <w:webHidden/>
              </w:rPr>
              <w:fldChar w:fldCharType="begin"/>
            </w:r>
            <w:r>
              <w:rPr>
                <w:noProof/>
                <w:webHidden/>
              </w:rPr>
              <w:instrText xml:space="preserve"> PAGEREF _Toc218984729 \h </w:instrText>
            </w:r>
            <w:r>
              <w:rPr>
                <w:noProof/>
                <w:webHidden/>
              </w:rPr>
            </w:r>
            <w:r>
              <w:rPr>
                <w:noProof/>
                <w:webHidden/>
              </w:rPr>
              <w:fldChar w:fldCharType="separate"/>
            </w:r>
            <w:r>
              <w:rPr>
                <w:noProof/>
                <w:webHidden/>
              </w:rPr>
              <w:t>8</w:t>
            </w:r>
            <w:r>
              <w:rPr>
                <w:noProof/>
                <w:webHidden/>
              </w:rPr>
              <w:fldChar w:fldCharType="end"/>
            </w:r>
          </w:hyperlink>
        </w:p>
        <w:p w14:paraId="2965DD2A" w14:textId="6274EEA2" w:rsidR="006F591F" w:rsidRDefault="006F591F">
          <w:pPr>
            <w:pStyle w:val="TOC3"/>
            <w:tabs>
              <w:tab w:val="right" w:leader="dot" w:pos="9350"/>
            </w:tabs>
            <w:rPr>
              <w:rFonts w:eastAsiaTheme="minorEastAsia"/>
              <w:noProof/>
              <w:kern w:val="0"/>
              <w:sz w:val="22"/>
              <w:szCs w:val="22"/>
              <w:lang w:val="en-US"/>
              <w14:ligatures w14:val="none"/>
            </w:rPr>
          </w:pPr>
          <w:hyperlink w:anchor="_Toc218984730" w:history="1">
            <w:r w:rsidRPr="002875BB">
              <w:rPr>
                <w:rStyle w:val="Hyperlink"/>
                <w:noProof/>
              </w:rPr>
              <w:t>Net Profit Margin</w:t>
            </w:r>
            <w:r>
              <w:rPr>
                <w:noProof/>
                <w:webHidden/>
              </w:rPr>
              <w:tab/>
            </w:r>
            <w:r>
              <w:rPr>
                <w:noProof/>
                <w:webHidden/>
              </w:rPr>
              <w:fldChar w:fldCharType="begin"/>
            </w:r>
            <w:r>
              <w:rPr>
                <w:noProof/>
                <w:webHidden/>
              </w:rPr>
              <w:instrText xml:space="preserve"> PAGEREF _Toc218984730 \h </w:instrText>
            </w:r>
            <w:r>
              <w:rPr>
                <w:noProof/>
                <w:webHidden/>
              </w:rPr>
            </w:r>
            <w:r>
              <w:rPr>
                <w:noProof/>
                <w:webHidden/>
              </w:rPr>
              <w:fldChar w:fldCharType="separate"/>
            </w:r>
            <w:r>
              <w:rPr>
                <w:noProof/>
                <w:webHidden/>
              </w:rPr>
              <w:t>8</w:t>
            </w:r>
            <w:r>
              <w:rPr>
                <w:noProof/>
                <w:webHidden/>
              </w:rPr>
              <w:fldChar w:fldCharType="end"/>
            </w:r>
          </w:hyperlink>
        </w:p>
        <w:p w14:paraId="43E24B1B" w14:textId="02F6A9DB" w:rsidR="006F591F" w:rsidRDefault="006F591F">
          <w:pPr>
            <w:pStyle w:val="TOC3"/>
            <w:tabs>
              <w:tab w:val="right" w:leader="dot" w:pos="9350"/>
            </w:tabs>
            <w:rPr>
              <w:rFonts w:eastAsiaTheme="minorEastAsia"/>
              <w:noProof/>
              <w:kern w:val="0"/>
              <w:sz w:val="22"/>
              <w:szCs w:val="22"/>
              <w:lang w:val="en-US"/>
              <w14:ligatures w14:val="none"/>
            </w:rPr>
          </w:pPr>
          <w:hyperlink w:anchor="_Toc218984731" w:history="1">
            <w:r w:rsidRPr="002875BB">
              <w:rPr>
                <w:rStyle w:val="Hyperlink"/>
                <w:noProof/>
              </w:rPr>
              <w:t>Return Measures: ROCE and ROE</w:t>
            </w:r>
            <w:r>
              <w:rPr>
                <w:noProof/>
                <w:webHidden/>
              </w:rPr>
              <w:tab/>
            </w:r>
            <w:r>
              <w:rPr>
                <w:noProof/>
                <w:webHidden/>
              </w:rPr>
              <w:fldChar w:fldCharType="begin"/>
            </w:r>
            <w:r>
              <w:rPr>
                <w:noProof/>
                <w:webHidden/>
              </w:rPr>
              <w:instrText xml:space="preserve"> PAGEREF _Toc218984731 \h </w:instrText>
            </w:r>
            <w:r>
              <w:rPr>
                <w:noProof/>
                <w:webHidden/>
              </w:rPr>
            </w:r>
            <w:r>
              <w:rPr>
                <w:noProof/>
                <w:webHidden/>
              </w:rPr>
              <w:fldChar w:fldCharType="separate"/>
            </w:r>
            <w:r>
              <w:rPr>
                <w:noProof/>
                <w:webHidden/>
              </w:rPr>
              <w:t>9</w:t>
            </w:r>
            <w:r>
              <w:rPr>
                <w:noProof/>
                <w:webHidden/>
              </w:rPr>
              <w:fldChar w:fldCharType="end"/>
            </w:r>
          </w:hyperlink>
        </w:p>
        <w:p w14:paraId="5B682326" w14:textId="62C5FFF6" w:rsidR="006F591F" w:rsidRDefault="006F591F">
          <w:pPr>
            <w:pStyle w:val="TOC3"/>
            <w:tabs>
              <w:tab w:val="right" w:leader="dot" w:pos="9350"/>
            </w:tabs>
            <w:rPr>
              <w:rFonts w:eastAsiaTheme="minorEastAsia"/>
              <w:noProof/>
              <w:kern w:val="0"/>
              <w:sz w:val="22"/>
              <w:szCs w:val="22"/>
              <w:lang w:val="en-US"/>
              <w14:ligatures w14:val="none"/>
            </w:rPr>
          </w:pPr>
          <w:hyperlink w:anchor="_Toc218984732" w:history="1">
            <w:r w:rsidRPr="002875BB">
              <w:rPr>
                <w:rStyle w:val="Hyperlink"/>
                <w:noProof/>
              </w:rPr>
              <w:t>Return on Capital Employed (ROCE)</w:t>
            </w:r>
            <w:r>
              <w:rPr>
                <w:noProof/>
                <w:webHidden/>
              </w:rPr>
              <w:tab/>
            </w:r>
            <w:r>
              <w:rPr>
                <w:noProof/>
                <w:webHidden/>
              </w:rPr>
              <w:fldChar w:fldCharType="begin"/>
            </w:r>
            <w:r>
              <w:rPr>
                <w:noProof/>
                <w:webHidden/>
              </w:rPr>
              <w:instrText xml:space="preserve"> PAGEREF _Toc218984732 \h </w:instrText>
            </w:r>
            <w:r>
              <w:rPr>
                <w:noProof/>
                <w:webHidden/>
              </w:rPr>
            </w:r>
            <w:r>
              <w:rPr>
                <w:noProof/>
                <w:webHidden/>
              </w:rPr>
              <w:fldChar w:fldCharType="separate"/>
            </w:r>
            <w:r>
              <w:rPr>
                <w:noProof/>
                <w:webHidden/>
              </w:rPr>
              <w:t>9</w:t>
            </w:r>
            <w:r>
              <w:rPr>
                <w:noProof/>
                <w:webHidden/>
              </w:rPr>
              <w:fldChar w:fldCharType="end"/>
            </w:r>
          </w:hyperlink>
        </w:p>
        <w:p w14:paraId="45194890" w14:textId="2BB9C955" w:rsidR="006F591F" w:rsidRDefault="006F591F">
          <w:pPr>
            <w:pStyle w:val="TOC3"/>
            <w:tabs>
              <w:tab w:val="right" w:leader="dot" w:pos="9350"/>
            </w:tabs>
            <w:rPr>
              <w:rFonts w:eastAsiaTheme="minorEastAsia"/>
              <w:noProof/>
              <w:kern w:val="0"/>
              <w:sz w:val="22"/>
              <w:szCs w:val="22"/>
              <w:lang w:val="en-US"/>
              <w14:ligatures w14:val="none"/>
            </w:rPr>
          </w:pPr>
          <w:hyperlink w:anchor="_Toc218984733" w:history="1">
            <w:r w:rsidRPr="002875BB">
              <w:rPr>
                <w:rStyle w:val="Hyperlink"/>
                <w:noProof/>
              </w:rPr>
              <w:t>Return on Equity (ROE)</w:t>
            </w:r>
            <w:r>
              <w:rPr>
                <w:noProof/>
                <w:webHidden/>
              </w:rPr>
              <w:tab/>
            </w:r>
            <w:r>
              <w:rPr>
                <w:noProof/>
                <w:webHidden/>
              </w:rPr>
              <w:fldChar w:fldCharType="begin"/>
            </w:r>
            <w:r>
              <w:rPr>
                <w:noProof/>
                <w:webHidden/>
              </w:rPr>
              <w:instrText xml:space="preserve"> PAGEREF _Toc218984733 \h </w:instrText>
            </w:r>
            <w:r>
              <w:rPr>
                <w:noProof/>
                <w:webHidden/>
              </w:rPr>
            </w:r>
            <w:r>
              <w:rPr>
                <w:noProof/>
                <w:webHidden/>
              </w:rPr>
              <w:fldChar w:fldCharType="separate"/>
            </w:r>
            <w:r>
              <w:rPr>
                <w:noProof/>
                <w:webHidden/>
              </w:rPr>
              <w:t>9</w:t>
            </w:r>
            <w:r>
              <w:rPr>
                <w:noProof/>
                <w:webHidden/>
              </w:rPr>
              <w:fldChar w:fldCharType="end"/>
            </w:r>
          </w:hyperlink>
        </w:p>
        <w:p w14:paraId="76019B65" w14:textId="5270BCF7" w:rsidR="006F591F" w:rsidRDefault="006F591F">
          <w:pPr>
            <w:pStyle w:val="TOC2"/>
            <w:tabs>
              <w:tab w:val="right" w:leader="dot" w:pos="9350"/>
            </w:tabs>
            <w:rPr>
              <w:rFonts w:eastAsiaTheme="minorEastAsia"/>
              <w:noProof/>
              <w:kern w:val="0"/>
              <w:sz w:val="22"/>
              <w:szCs w:val="22"/>
              <w:lang w:val="en-US"/>
              <w14:ligatures w14:val="none"/>
            </w:rPr>
          </w:pPr>
          <w:hyperlink w:anchor="_Toc218984734" w:history="1">
            <w:r w:rsidRPr="002875BB">
              <w:rPr>
                <w:rStyle w:val="Hyperlink"/>
                <w:noProof/>
              </w:rPr>
              <w:t>Liquidity Analysis</w:t>
            </w:r>
            <w:r>
              <w:rPr>
                <w:noProof/>
                <w:webHidden/>
              </w:rPr>
              <w:tab/>
            </w:r>
            <w:r>
              <w:rPr>
                <w:noProof/>
                <w:webHidden/>
              </w:rPr>
              <w:fldChar w:fldCharType="begin"/>
            </w:r>
            <w:r>
              <w:rPr>
                <w:noProof/>
                <w:webHidden/>
              </w:rPr>
              <w:instrText xml:space="preserve"> PAGEREF _Toc218984734 \h </w:instrText>
            </w:r>
            <w:r>
              <w:rPr>
                <w:noProof/>
                <w:webHidden/>
              </w:rPr>
            </w:r>
            <w:r>
              <w:rPr>
                <w:noProof/>
                <w:webHidden/>
              </w:rPr>
              <w:fldChar w:fldCharType="separate"/>
            </w:r>
            <w:r>
              <w:rPr>
                <w:noProof/>
                <w:webHidden/>
              </w:rPr>
              <w:t>9</w:t>
            </w:r>
            <w:r>
              <w:rPr>
                <w:noProof/>
                <w:webHidden/>
              </w:rPr>
              <w:fldChar w:fldCharType="end"/>
            </w:r>
          </w:hyperlink>
        </w:p>
        <w:p w14:paraId="36B35ECA" w14:textId="192239B8" w:rsidR="006F591F" w:rsidRDefault="006F591F">
          <w:pPr>
            <w:pStyle w:val="TOC3"/>
            <w:tabs>
              <w:tab w:val="right" w:leader="dot" w:pos="9350"/>
            </w:tabs>
            <w:rPr>
              <w:rFonts w:eastAsiaTheme="minorEastAsia"/>
              <w:noProof/>
              <w:kern w:val="0"/>
              <w:sz w:val="22"/>
              <w:szCs w:val="22"/>
              <w:lang w:val="en-US"/>
              <w14:ligatures w14:val="none"/>
            </w:rPr>
          </w:pPr>
          <w:hyperlink w:anchor="_Toc218984735" w:history="1">
            <w:r w:rsidRPr="002875BB">
              <w:rPr>
                <w:rStyle w:val="Hyperlink"/>
                <w:noProof/>
              </w:rPr>
              <w:t>Current Ratio</w:t>
            </w:r>
            <w:r>
              <w:rPr>
                <w:noProof/>
                <w:webHidden/>
              </w:rPr>
              <w:tab/>
            </w:r>
            <w:r>
              <w:rPr>
                <w:noProof/>
                <w:webHidden/>
              </w:rPr>
              <w:fldChar w:fldCharType="begin"/>
            </w:r>
            <w:r>
              <w:rPr>
                <w:noProof/>
                <w:webHidden/>
              </w:rPr>
              <w:instrText xml:space="preserve"> PAGEREF _Toc218984735 \h </w:instrText>
            </w:r>
            <w:r>
              <w:rPr>
                <w:noProof/>
                <w:webHidden/>
              </w:rPr>
            </w:r>
            <w:r>
              <w:rPr>
                <w:noProof/>
                <w:webHidden/>
              </w:rPr>
              <w:fldChar w:fldCharType="separate"/>
            </w:r>
            <w:r>
              <w:rPr>
                <w:noProof/>
                <w:webHidden/>
              </w:rPr>
              <w:t>10</w:t>
            </w:r>
            <w:r>
              <w:rPr>
                <w:noProof/>
                <w:webHidden/>
              </w:rPr>
              <w:fldChar w:fldCharType="end"/>
            </w:r>
          </w:hyperlink>
        </w:p>
        <w:p w14:paraId="1A4830D8" w14:textId="192AD526" w:rsidR="006F591F" w:rsidRDefault="006F591F">
          <w:pPr>
            <w:pStyle w:val="TOC3"/>
            <w:tabs>
              <w:tab w:val="right" w:leader="dot" w:pos="9350"/>
            </w:tabs>
            <w:rPr>
              <w:rFonts w:eastAsiaTheme="minorEastAsia"/>
              <w:noProof/>
              <w:kern w:val="0"/>
              <w:sz w:val="22"/>
              <w:szCs w:val="22"/>
              <w:lang w:val="en-US"/>
              <w14:ligatures w14:val="none"/>
            </w:rPr>
          </w:pPr>
          <w:hyperlink w:anchor="_Toc218984736" w:history="1">
            <w:r w:rsidRPr="002875BB">
              <w:rPr>
                <w:rStyle w:val="Hyperlink"/>
                <w:noProof/>
              </w:rPr>
              <w:t>Quick Ratio</w:t>
            </w:r>
            <w:r>
              <w:rPr>
                <w:noProof/>
                <w:webHidden/>
              </w:rPr>
              <w:tab/>
            </w:r>
            <w:r>
              <w:rPr>
                <w:noProof/>
                <w:webHidden/>
              </w:rPr>
              <w:fldChar w:fldCharType="begin"/>
            </w:r>
            <w:r>
              <w:rPr>
                <w:noProof/>
                <w:webHidden/>
              </w:rPr>
              <w:instrText xml:space="preserve"> PAGEREF _Toc218984736 \h </w:instrText>
            </w:r>
            <w:r>
              <w:rPr>
                <w:noProof/>
                <w:webHidden/>
              </w:rPr>
            </w:r>
            <w:r>
              <w:rPr>
                <w:noProof/>
                <w:webHidden/>
              </w:rPr>
              <w:fldChar w:fldCharType="separate"/>
            </w:r>
            <w:r>
              <w:rPr>
                <w:noProof/>
                <w:webHidden/>
              </w:rPr>
              <w:t>10</w:t>
            </w:r>
            <w:r>
              <w:rPr>
                <w:noProof/>
                <w:webHidden/>
              </w:rPr>
              <w:fldChar w:fldCharType="end"/>
            </w:r>
          </w:hyperlink>
        </w:p>
        <w:p w14:paraId="5E86908E" w14:textId="18BF9AE8" w:rsidR="006F591F" w:rsidRDefault="006F591F">
          <w:pPr>
            <w:pStyle w:val="TOC3"/>
            <w:tabs>
              <w:tab w:val="right" w:leader="dot" w:pos="9350"/>
            </w:tabs>
            <w:rPr>
              <w:rFonts w:eastAsiaTheme="minorEastAsia"/>
              <w:noProof/>
              <w:kern w:val="0"/>
              <w:sz w:val="22"/>
              <w:szCs w:val="22"/>
              <w:lang w:val="en-US"/>
              <w14:ligatures w14:val="none"/>
            </w:rPr>
          </w:pPr>
          <w:hyperlink w:anchor="_Toc218984737" w:history="1">
            <w:r w:rsidRPr="002875BB">
              <w:rPr>
                <w:rStyle w:val="Hyperlink"/>
                <w:noProof/>
              </w:rPr>
              <w:t>Working Capital Liquidity Implications</w:t>
            </w:r>
            <w:r>
              <w:rPr>
                <w:noProof/>
                <w:webHidden/>
              </w:rPr>
              <w:tab/>
            </w:r>
            <w:r>
              <w:rPr>
                <w:noProof/>
                <w:webHidden/>
              </w:rPr>
              <w:fldChar w:fldCharType="begin"/>
            </w:r>
            <w:r>
              <w:rPr>
                <w:noProof/>
                <w:webHidden/>
              </w:rPr>
              <w:instrText xml:space="preserve"> PAGEREF _Toc218984737 \h </w:instrText>
            </w:r>
            <w:r>
              <w:rPr>
                <w:noProof/>
                <w:webHidden/>
              </w:rPr>
            </w:r>
            <w:r>
              <w:rPr>
                <w:noProof/>
                <w:webHidden/>
              </w:rPr>
              <w:fldChar w:fldCharType="separate"/>
            </w:r>
            <w:r>
              <w:rPr>
                <w:noProof/>
                <w:webHidden/>
              </w:rPr>
              <w:t>10</w:t>
            </w:r>
            <w:r>
              <w:rPr>
                <w:noProof/>
                <w:webHidden/>
              </w:rPr>
              <w:fldChar w:fldCharType="end"/>
            </w:r>
          </w:hyperlink>
        </w:p>
        <w:p w14:paraId="6B64795D" w14:textId="7A587004" w:rsidR="006F591F" w:rsidRDefault="006F591F">
          <w:pPr>
            <w:pStyle w:val="TOC2"/>
            <w:tabs>
              <w:tab w:val="right" w:leader="dot" w:pos="9350"/>
            </w:tabs>
            <w:rPr>
              <w:rFonts w:eastAsiaTheme="minorEastAsia"/>
              <w:noProof/>
              <w:kern w:val="0"/>
              <w:sz w:val="22"/>
              <w:szCs w:val="22"/>
              <w:lang w:val="en-US"/>
              <w14:ligatures w14:val="none"/>
            </w:rPr>
          </w:pPr>
          <w:hyperlink w:anchor="_Toc218984738" w:history="1">
            <w:r w:rsidRPr="002875BB">
              <w:rPr>
                <w:rStyle w:val="Hyperlink"/>
                <w:noProof/>
              </w:rPr>
              <w:t>Solvency and Capital Structure</w:t>
            </w:r>
            <w:r>
              <w:rPr>
                <w:noProof/>
                <w:webHidden/>
              </w:rPr>
              <w:tab/>
            </w:r>
            <w:r>
              <w:rPr>
                <w:noProof/>
                <w:webHidden/>
              </w:rPr>
              <w:fldChar w:fldCharType="begin"/>
            </w:r>
            <w:r>
              <w:rPr>
                <w:noProof/>
                <w:webHidden/>
              </w:rPr>
              <w:instrText xml:space="preserve"> PAGEREF _Toc218984738 \h </w:instrText>
            </w:r>
            <w:r>
              <w:rPr>
                <w:noProof/>
                <w:webHidden/>
              </w:rPr>
            </w:r>
            <w:r>
              <w:rPr>
                <w:noProof/>
                <w:webHidden/>
              </w:rPr>
              <w:fldChar w:fldCharType="separate"/>
            </w:r>
            <w:r>
              <w:rPr>
                <w:noProof/>
                <w:webHidden/>
              </w:rPr>
              <w:t>11</w:t>
            </w:r>
            <w:r>
              <w:rPr>
                <w:noProof/>
                <w:webHidden/>
              </w:rPr>
              <w:fldChar w:fldCharType="end"/>
            </w:r>
          </w:hyperlink>
        </w:p>
        <w:p w14:paraId="0890E691" w14:textId="33D5746A" w:rsidR="006F591F" w:rsidRDefault="006F591F">
          <w:pPr>
            <w:pStyle w:val="TOC3"/>
            <w:tabs>
              <w:tab w:val="right" w:leader="dot" w:pos="9350"/>
            </w:tabs>
            <w:rPr>
              <w:rFonts w:eastAsiaTheme="minorEastAsia"/>
              <w:noProof/>
              <w:kern w:val="0"/>
              <w:sz w:val="22"/>
              <w:szCs w:val="22"/>
              <w:lang w:val="en-US"/>
              <w14:ligatures w14:val="none"/>
            </w:rPr>
          </w:pPr>
          <w:hyperlink w:anchor="_Toc218984739" w:history="1">
            <w:r w:rsidRPr="002875BB">
              <w:rPr>
                <w:rStyle w:val="Hyperlink"/>
                <w:noProof/>
              </w:rPr>
              <w:t>Gearing Ratio</w:t>
            </w:r>
            <w:r>
              <w:rPr>
                <w:noProof/>
                <w:webHidden/>
              </w:rPr>
              <w:tab/>
            </w:r>
            <w:r>
              <w:rPr>
                <w:noProof/>
                <w:webHidden/>
              </w:rPr>
              <w:fldChar w:fldCharType="begin"/>
            </w:r>
            <w:r>
              <w:rPr>
                <w:noProof/>
                <w:webHidden/>
              </w:rPr>
              <w:instrText xml:space="preserve"> PAGEREF _Toc218984739 \h </w:instrText>
            </w:r>
            <w:r>
              <w:rPr>
                <w:noProof/>
                <w:webHidden/>
              </w:rPr>
            </w:r>
            <w:r>
              <w:rPr>
                <w:noProof/>
                <w:webHidden/>
              </w:rPr>
              <w:fldChar w:fldCharType="separate"/>
            </w:r>
            <w:r>
              <w:rPr>
                <w:noProof/>
                <w:webHidden/>
              </w:rPr>
              <w:t>11</w:t>
            </w:r>
            <w:r>
              <w:rPr>
                <w:noProof/>
                <w:webHidden/>
              </w:rPr>
              <w:fldChar w:fldCharType="end"/>
            </w:r>
          </w:hyperlink>
        </w:p>
        <w:p w14:paraId="39E9ECDE" w14:textId="553AD8ED" w:rsidR="006F591F" w:rsidRDefault="006F591F">
          <w:pPr>
            <w:pStyle w:val="TOC3"/>
            <w:tabs>
              <w:tab w:val="right" w:leader="dot" w:pos="9350"/>
            </w:tabs>
            <w:rPr>
              <w:rFonts w:eastAsiaTheme="minorEastAsia"/>
              <w:noProof/>
              <w:kern w:val="0"/>
              <w:sz w:val="22"/>
              <w:szCs w:val="22"/>
              <w:lang w:val="en-US"/>
              <w14:ligatures w14:val="none"/>
            </w:rPr>
          </w:pPr>
          <w:hyperlink w:anchor="_Toc218984740" w:history="1">
            <w:r w:rsidRPr="002875BB">
              <w:rPr>
                <w:rStyle w:val="Hyperlink"/>
                <w:noProof/>
              </w:rPr>
              <w:t>Relationship Between Gearing and Shareholder Returns</w:t>
            </w:r>
            <w:r>
              <w:rPr>
                <w:noProof/>
                <w:webHidden/>
              </w:rPr>
              <w:tab/>
            </w:r>
            <w:r>
              <w:rPr>
                <w:noProof/>
                <w:webHidden/>
              </w:rPr>
              <w:fldChar w:fldCharType="begin"/>
            </w:r>
            <w:r>
              <w:rPr>
                <w:noProof/>
                <w:webHidden/>
              </w:rPr>
              <w:instrText xml:space="preserve"> PAGEREF _Toc218984740 \h </w:instrText>
            </w:r>
            <w:r>
              <w:rPr>
                <w:noProof/>
                <w:webHidden/>
              </w:rPr>
            </w:r>
            <w:r>
              <w:rPr>
                <w:noProof/>
                <w:webHidden/>
              </w:rPr>
              <w:fldChar w:fldCharType="separate"/>
            </w:r>
            <w:r>
              <w:rPr>
                <w:noProof/>
                <w:webHidden/>
              </w:rPr>
              <w:t>11</w:t>
            </w:r>
            <w:r>
              <w:rPr>
                <w:noProof/>
                <w:webHidden/>
              </w:rPr>
              <w:fldChar w:fldCharType="end"/>
            </w:r>
          </w:hyperlink>
        </w:p>
        <w:p w14:paraId="5E30D039" w14:textId="7C083A5D" w:rsidR="006F591F" w:rsidRDefault="006F591F">
          <w:pPr>
            <w:pStyle w:val="TOC3"/>
            <w:tabs>
              <w:tab w:val="right" w:leader="dot" w:pos="9350"/>
            </w:tabs>
            <w:rPr>
              <w:rFonts w:eastAsiaTheme="minorEastAsia"/>
              <w:noProof/>
              <w:kern w:val="0"/>
              <w:sz w:val="22"/>
              <w:szCs w:val="22"/>
              <w:lang w:val="en-US"/>
              <w14:ligatures w14:val="none"/>
            </w:rPr>
          </w:pPr>
          <w:hyperlink w:anchor="_Toc218984741" w:history="1">
            <w:r w:rsidRPr="002875BB">
              <w:rPr>
                <w:rStyle w:val="Hyperlink"/>
                <w:noProof/>
              </w:rPr>
              <w:t>Solvency Implications</w:t>
            </w:r>
            <w:r>
              <w:rPr>
                <w:noProof/>
                <w:webHidden/>
              </w:rPr>
              <w:tab/>
            </w:r>
            <w:r>
              <w:rPr>
                <w:noProof/>
                <w:webHidden/>
              </w:rPr>
              <w:fldChar w:fldCharType="begin"/>
            </w:r>
            <w:r>
              <w:rPr>
                <w:noProof/>
                <w:webHidden/>
              </w:rPr>
              <w:instrText xml:space="preserve"> PAGEREF _Toc218984741 \h </w:instrText>
            </w:r>
            <w:r>
              <w:rPr>
                <w:noProof/>
                <w:webHidden/>
              </w:rPr>
            </w:r>
            <w:r>
              <w:rPr>
                <w:noProof/>
                <w:webHidden/>
              </w:rPr>
              <w:fldChar w:fldCharType="separate"/>
            </w:r>
            <w:r>
              <w:rPr>
                <w:noProof/>
                <w:webHidden/>
              </w:rPr>
              <w:t>12</w:t>
            </w:r>
            <w:r>
              <w:rPr>
                <w:noProof/>
                <w:webHidden/>
              </w:rPr>
              <w:fldChar w:fldCharType="end"/>
            </w:r>
          </w:hyperlink>
        </w:p>
        <w:p w14:paraId="11B0F0CE" w14:textId="3B46FD10" w:rsidR="006F591F" w:rsidRDefault="006F591F">
          <w:pPr>
            <w:pStyle w:val="TOC2"/>
            <w:tabs>
              <w:tab w:val="right" w:leader="dot" w:pos="9350"/>
            </w:tabs>
            <w:rPr>
              <w:rFonts w:eastAsiaTheme="minorEastAsia"/>
              <w:noProof/>
              <w:kern w:val="0"/>
              <w:sz w:val="22"/>
              <w:szCs w:val="22"/>
              <w:lang w:val="en-US"/>
              <w14:ligatures w14:val="none"/>
            </w:rPr>
          </w:pPr>
          <w:hyperlink w:anchor="_Toc218984742" w:history="1">
            <w:r w:rsidRPr="002875BB">
              <w:rPr>
                <w:rStyle w:val="Hyperlink"/>
                <w:noProof/>
              </w:rPr>
              <w:t>Efficiency Analysis</w:t>
            </w:r>
            <w:r>
              <w:rPr>
                <w:noProof/>
                <w:webHidden/>
              </w:rPr>
              <w:tab/>
            </w:r>
            <w:r>
              <w:rPr>
                <w:noProof/>
                <w:webHidden/>
              </w:rPr>
              <w:fldChar w:fldCharType="begin"/>
            </w:r>
            <w:r>
              <w:rPr>
                <w:noProof/>
                <w:webHidden/>
              </w:rPr>
              <w:instrText xml:space="preserve"> PAGEREF _Toc218984742 \h </w:instrText>
            </w:r>
            <w:r>
              <w:rPr>
                <w:noProof/>
                <w:webHidden/>
              </w:rPr>
            </w:r>
            <w:r>
              <w:rPr>
                <w:noProof/>
                <w:webHidden/>
              </w:rPr>
              <w:fldChar w:fldCharType="separate"/>
            </w:r>
            <w:r>
              <w:rPr>
                <w:noProof/>
                <w:webHidden/>
              </w:rPr>
              <w:t>12</w:t>
            </w:r>
            <w:r>
              <w:rPr>
                <w:noProof/>
                <w:webHidden/>
              </w:rPr>
              <w:fldChar w:fldCharType="end"/>
            </w:r>
          </w:hyperlink>
        </w:p>
        <w:p w14:paraId="4C12B6FF" w14:textId="6B7D87A7" w:rsidR="006F591F" w:rsidRDefault="006F591F">
          <w:pPr>
            <w:pStyle w:val="TOC3"/>
            <w:tabs>
              <w:tab w:val="right" w:leader="dot" w:pos="9350"/>
            </w:tabs>
            <w:rPr>
              <w:rFonts w:eastAsiaTheme="minorEastAsia"/>
              <w:noProof/>
              <w:kern w:val="0"/>
              <w:sz w:val="22"/>
              <w:szCs w:val="22"/>
              <w:lang w:val="en-US"/>
              <w14:ligatures w14:val="none"/>
            </w:rPr>
          </w:pPr>
          <w:hyperlink w:anchor="_Toc218984743" w:history="1">
            <w:r w:rsidRPr="002875BB">
              <w:rPr>
                <w:rStyle w:val="Hyperlink"/>
                <w:noProof/>
              </w:rPr>
              <w:t>Inventory Days</w:t>
            </w:r>
            <w:r>
              <w:rPr>
                <w:noProof/>
                <w:webHidden/>
              </w:rPr>
              <w:tab/>
            </w:r>
            <w:r>
              <w:rPr>
                <w:noProof/>
                <w:webHidden/>
              </w:rPr>
              <w:fldChar w:fldCharType="begin"/>
            </w:r>
            <w:r>
              <w:rPr>
                <w:noProof/>
                <w:webHidden/>
              </w:rPr>
              <w:instrText xml:space="preserve"> PAGEREF _Toc218984743 \h </w:instrText>
            </w:r>
            <w:r>
              <w:rPr>
                <w:noProof/>
                <w:webHidden/>
              </w:rPr>
            </w:r>
            <w:r>
              <w:rPr>
                <w:noProof/>
                <w:webHidden/>
              </w:rPr>
              <w:fldChar w:fldCharType="separate"/>
            </w:r>
            <w:r>
              <w:rPr>
                <w:noProof/>
                <w:webHidden/>
              </w:rPr>
              <w:t>12</w:t>
            </w:r>
            <w:r>
              <w:rPr>
                <w:noProof/>
                <w:webHidden/>
              </w:rPr>
              <w:fldChar w:fldCharType="end"/>
            </w:r>
          </w:hyperlink>
        </w:p>
        <w:p w14:paraId="05033C44" w14:textId="05ED9C38" w:rsidR="006F591F" w:rsidRDefault="006F591F">
          <w:pPr>
            <w:pStyle w:val="TOC3"/>
            <w:tabs>
              <w:tab w:val="right" w:leader="dot" w:pos="9350"/>
            </w:tabs>
            <w:rPr>
              <w:rFonts w:eastAsiaTheme="minorEastAsia"/>
              <w:noProof/>
              <w:kern w:val="0"/>
              <w:sz w:val="22"/>
              <w:szCs w:val="22"/>
              <w:lang w:val="en-US"/>
              <w14:ligatures w14:val="none"/>
            </w:rPr>
          </w:pPr>
          <w:hyperlink w:anchor="_Toc218984744" w:history="1">
            <w:r w:rsidRPr="002875BB">
              <w:rPr>
                <w:rStyle w:val="Hyperlink"/>
                <w:noProof/>
              </w:rPr>
              <w:t>Receivables Days</w:t>
            </w:r>
            <w:r>
              <w:rPr>
                <w:noProof/>
                <w:webHidden/>
              </w:rPr>
              <w:tab/>
            </w:r>
            <w:r>
              <w:rPr>
                <w:noProof/>
                <w:webHidden/>
              </w:rPr>
              <w:fldChar w:fldCharType="begin"/>
            </w:r>
            <w:r>
              <w:rPr>
                <w:noProof/>
                <w:webHidden/>
              </w:rPr>
              <w:instrText xml:space="preserve"> PAGEREF _Toc218984744 \h </w:instrText>
            </w:r>
            <w:r>
              <w:rPr>
                <w:noProof/>
                <w:webHidden/>
              </w:rPr>
            </w:r>
            <w:r>
              <w:rPr>
                <w:noProof/>
                <w:webHidden/>
              </w:rPr>
              <w:fldChar w:fldCharType="separate"/>
            </w:r>
            <w:r>
              <w:rPr>
                <w:noProof/>
                <w:webHidden/>
              </w:rPr>
              <w:t>13</w:t>
            </w:r>
            <w:r>
              <w:rPr>
                <w:noProof/>
                <w:webHidden/>
              </w:rPr>
              <w:fldChar w:fldCharType="end"/>
            </w:r>
          </w:hyperlink>
        </w:p>
        <w:p w14:paraId="682BB832" w14:textId="70C3099A" w:rsidR="006F591F" w:rsidRDefault="006F591F">
          <w:pPr>
            <w:pStyle w:val="TOC3"/>
            <w:tabs>
              <w:tab w:val="right" w:leader="dot" w:pos="9350"/>
            </w:tabs>
            <w:rPr>
              <w:rFonts w:eastAsiaTheme="minorEastAsia"/>
              <w:noProof/>
              <w:kern w:val="0"/>
              <w:sz w:val="22"/>
              <w:szCs w:val="22"/>
              <w:lang w:val="en-US"/>
              <w14:ligatures w14:val="none"/>
            </w:rPr>
          </w:pPr>
          <w:hyperlink w:anchor="_Toc218984745" w:history="1">
            <w:r w:rsidRPr="002875BB">
              <w:rPr>
                <w:rStyle w:val="Hyperlink"/>
                <w:noProof/>
              </w:rPr>
              <w:t>Payables Days</w:t>
            </w:r>
            <w:r>
              <w:rPr>
                <w:noProof/>
                <w:webHidden/>
              </w:rPr>
              <w:tab/>
            </w:r>
            <w:r>
              <w:rPr>
                <w:noProof/>
                <w:webHidden/>
              </w:rPr>
              <w:fldChar w:fldCharType="begin"/>
            </w:r>
            <w:r>
              <w:rPr>
                <w:noProof/>
                <w:webHidden/>
              </w:rPr>
              <w:instrText xml:space="preserve"> PAGEREF _Toc218984745 \h </w:instrText>
            </w:r>
            <w:r>
              <w:rPr>
                <w:noProof/>
                <w:webHidden/>
              </w:rPr>
            </w:r>
            <w:r>
              <w:rPr>
                <w:noProof/>
                <w:webHidden/>
              </w:rPr>
              <w:fldChar w:fldCharType="separate"/>
            </w:r>
            <w:r>
              <w:rPr>
                <w:noProof/>
                <w:webHidden/>
              </w:rPr>
              <w:t>13</w:t>
            </w:r>
            <w:r>
              <w:rPr>
                <w:noProof/>
                <w:webHidden/>
              </w:rPr>
              <w:fldChar w:fldCharType="end"/>
            </w:r>
          </w:hyperlink>
        </w:p>
        <w:p w14:paraId="7046388B" w14:textId="0F03BC54" w:rsidR="006F591F" w:rsidRDefault="006F591F">
          <w:pPr>
            <w:pStyle w:val="TOC2"/>
            <w:tabs>
              <w:tab w:val="right" w:leader="dot" w:pos="9350"/>
            </w:tabs>
            <w:rPr>
              <w:rFonts w:eastAsiaTheme="minorEastAsia"/>
              <w:noProof/>
              <w:kern w:val="0"/>
              <w:sz w:val="22"/>
              <w:szCs w:val="22"/>
              <w:lang w:val="en-US"/>
              <w14:ligatures w14:val="none"/>
            </w:rPr>
          </w:pPr>
          <w:hyperlink w:anchor="_Toc218984746" w:history="1">
            <w:r w:rsidRPr="002875BB">
              <w:rPr>
                <w:rStyle w:val="Hyperlink"/>
                <w:noProof/>
              </w:rPr>
              <w:t>Investor Performance</w:t>
            </w:r>
            <w:r>
              <w:rPr>
                <w:noProof/>
                <w:webHidden/>
              </w:rPr>
              <w:tab/>
            </w:r>
            <w:r>
              <w:rPr>
                <w:noProof/>
                <w:webHidden/>
              </w:rPr>
              <w:fldChar w:fldCharType="begin"/>
            </w:r>
            <w:r>
              <w:rPr>
                <w:noProof/>
                <w:webHidden/>
              </w:rPr>
              <w:instrText xml:space="preserve"> PAGEREF _Toc218984746 \h </w:instrText>
            </w:r>
            <w:r>
              <w:rPr>
                <w:noProof/>
                <w:webHidden/>
              </w:rPr>
            </w:r>
            <w:r>
              <w:rPr>
                <w:noProof/>
                <w:webHidden/>
              </w:rPr>
              <w:fldChar w:fldCharType="separate"/>
            </w:r>
            <w:r>
              <w:rPr>
                <w:noProof/>
                <w:webHidden/>
              </w:rPr>
              <w:t>13</w:t>
            </w:r>
            <w:r>
              <w:rPr>
                <w:noProof/>
                <w:webHidden/>
              </w:rPr>
              <w:fldChar w:fldCharType="end"/>
            </w:r>
          </w:hyperlink>
        </w:p>
        <w:p w14:paraId="50F4194B" w14:textId="270DED95" w:rsidR="006F591F" w:rsidRDefault="006F591F">
          <w:pPr>
            <w:pStyle w:val="TOC3"/>
            <w:tabs>
              <w:tab w:val="right" w:leader="dot" w:pos="9350"/>
            </w:tabs>
            <w:rPr>
              <w:rFonts w:eastAsiaTheme="minorEastAsia"/>
              <w:noProof/>
              <w:kern w:val="0"/>
              <w:sz w:val="22"/>
              <w:szCs w:val="22"/>
              <w:lang w:val="en-US"/>
              <w14:ligatures w14:val="none"/>
            </w:rPr>
          </w:pPr>
          <w:hyperlink w:anchor="_Toc218984747" w:history="1">
            <w:r w:rsidRPr="002875BB">
              <w:rPr>
                <w:rStyle w:val="Hyperlink"/>
                <w:noProof/>
              </w:rPr>
              <w:t>Earnings Per Share (EPS)</w:t>
            </w:r>
            <w:r>
              <w:rPr>
                <w:noProof/>
                <w:webHidden/>
              </w:rPr>
              <w:tab/>
            </w:r>
            <w:r>
              <w:rPr>
                <w:noProof/>
                <w:webHidden/>
              </w:rPr>
              <w:fldChar w:fldCharType="begin"/>
            </w:r>
            <w:r>
              <w:rPr>
                <w:noProof/>
                <w:webHidden/>
              </w:rPr>
              <w:instrText xml:space="preserve"> PAGEREF _Toc218984747 \h </w:instrText>
            </w:r>
            <w:r>
              <w:rPr>
                <w:noProof/>
                <w:webHidden/>
              </w:rPr>
            </w:r>
            <w:r>
              <w:rPr>
                <w:noProof/>
                <w:webHidden/>
              </w:rPr>
              <w:fldChar w:fldCharType="separate"/>
            </w:r>
            <w:r>
              <w:rPr>
                <w:noProof/>
                <w:webHidden/>
              </w:rPr>
              <w:t>13</w:t>
            </w:r>
            <w:r>
              <w:rPr>
                <w:noProof/>
                <w:webHidden/>
              </w:rPr>
              <w:fldChar w:fldCharType="end"/>
            </w:r>
          </w:hyperlink>
        </w:p>
        <w:p w14:paraId="3F7B2232" w14:textId="749B5FAA" w:rsidR="006F591F" w:rsidRDefault="006F591F">
          <w:pPr>
            <w:pStyle w:val="TOC3"/>
            <w:tabs>
              <w:tab w:val="right" w:leader="dot" w:pos="9350"/>
            </w:tabs>
            <w:rPr>
              <w:rFonts w:eastAsiaTheme="minorEastAsia"/>
              <w:noProof/>
              <w:kern w:val="0"/>
              <w:sz w:val="22"/>
              <w:szCs w:val="22"/>
              <w:lang w:val="en-US"/>
              <w14:ligatures w14:val="none"/>
            </w:rPr>
          </w:pPr>
          <w:hyperlink w:anchor="_Toc218984748" w:history="1">
            <w:r w:rsidRPr="002875BB">
              <w:rPr>
                <w:rStyle w:val="Hyperlink"/>
                <w:noProof/>
                <w:lang w:val="en-US"/>
              </w:rPr>
              <w:t>Dividend per Share (DPS)</w:t>
            </w:r>
            <w:r>
              <w:rPr>
                <w:noProof/>
                <w:webHidden/>
              </w:rPr>
              <w:tab/>
            </w:r>
            <w:r>
              <w:rPr>
                <w:noProof/>
                <w:webHidden/>
              </w:rPr>
              <w:fldChar w:fldCharType="begin"/>
            </w:r>
            <w:r>
              <w:rPr>
                <w:noProof/>
                <w:webHidden/>
              </w:rPr>
              <w:instrText xml:space="preserve"> PAGEREF _Toc218984748 \h </w:instrText>
            </w:r>
            <w:r>
              <w:rPr>
                <w:noProof/>
                <w:webHidden/>
              </w:rPr>
            </w:r>
            <w:r>
              <w:rPr>
                <w:noProof/>
                <w:webHidden/>
              </w:rPr>
              <w:fldChar w:fldCharType="separate"/>
            </w:r>
            <w:r>
              <w:rPr>
                <w:noProof/>
                <w:webHidden/>
              </w:rPr>
              <w:t>14</w:t>
            </w:r>
            <w:r>
              <w:rPr>
                <w:noProof/>
                <w:webHidden/>
              </w:rPr>
              <w:fldChar w:fldCharType="end"/>
            </w:r>
          </w:hyperlink>
        </w:p>
        <w:p w14:paraId="71DBAABB" w14:textId="619AA31A" w:rsidR="006F591F" w:rsidRDefault="006F591F">
          <w:pPr>
            <w:pStyle w:val="TOC3"/>
            <w:tabs>
              <w:tab w:val="right" w:leader="dot" w:pos="9350"/>
            </w:tabs>
            <w:rPr>
              <w:rFonts w:eastAsiaTheme="minorEastAsia"/>
              <w:noProof/>
              <w:kern w:val="0"/>
              <w:sz w:val="22"/>
              <w:szCs w:val="22"/>
              <w:lang w:val="en-US"/>
              <w14:ligatures w14:val="none"/>
            </w:rPr>
          </w:pPr>
          <w:hyperlink w:anchor="_Toc218984749" w:history="1">
            <w:r w:rsidRPr="002875BB">
              <w:rPr>
                <w:rStyle w:val="Hyperlink"/>
                <w:noProof/>
                <w:lang w:val="en-US"/>
              </w:rPr>
              <w:t>Dividend Cover</w:t>
            </w:r>
            <w:r>
              <w:rPr>
                <w:noProof/>
                <w:webHidden/>
              </w:rPr>
              <w:tab/>
            </w:r>
            <w:r>
              <w:rPr>
                <w:noProof/>
                <w:webHidden/>
              </w:rPr>
              <w:fldChar w:fldCharType="begin"/>
            </w:r>
            <w:r>
              <w:rPr>
                <w:noProof/>
                <w:webHidden/>
              </w:rPr>
              <w:instrText xml:space="preserve"> PAGEREF _Toc218984749 \h </w:instrText>
            </w:r>
            <w:r>
              <w:rPr>
                <w:noProof/>
                <w:webHidden/>
              </w:rPr>
            </w:r>
            <w:r>
              <w:rPr>
                <w:noProof/>
                <w:webHidden/>
              </w:rPr>
              <w:fldChar w:fldCharType="separate"/>
            </w:r>
            <w:r>
              <w:rPr>
                <w:noProof/>
                <w:webHidden/>
              </w:rPr>
              <w:t>14</w:t>
            </w:r>
            <w:r>
              <w:rPr>
                <w:noProof/>
                <w:webHidden/>
              </w:rPr>
              <w:fldChar w:fldCharType="end"/>
            </w:r>
          </w:hyperlink>
        </w:p>
        <w:p w14:paraId="1331CE95" w14:textId="05F53E2B" w:rsidR="006F591F" w:rsidRDefault="006F591F">
          <w:pPr>
            <w:pStyle w:val="TOC3"/>
            <w:tabs>
              <w:tab w:val="right" w:leader="dot" w:pos="9350"/>
            </w:tabs>
            <w:rPr>
              <w:rFonts w:eastAsiaTheme="minorEastAsia"/>
              <w:noProof/>
              <w:kern w:val="0"/>
              <w:sz w:val="22"/>
              <w:szCs w:val="22"/>
              <w:lang w:val="en-US"/>
              <w14:ligatures w14:val="none"/>
            </w:rPr>
          </w:pPr>
          <w:hyperlink w:anchor="_Toc218984750" w:history="1">
            <w:r w:rsidRPr="002875BB">
              <w:rPr>
                <w:rStyle w:val="Hyperlink"/>
                <w:noProof/>
                <w:lang w:val="en-US"/>
              </w:rPr>
              <w:t>Dividend Yield</w:t>
            </w:r>
            <w:r>
              <w:rPr>
                <w:noProof/>
                <w:webHidden/>
              </w:rPr>
              <w:tab/>
            </w:r>
            <w:r>
              <w:rPr>
                <w:noProof/>
                <w:webHidden/>
              </w:rPr>
              <w:fldChar w:fldCharType="begin"/>
            </w:r>
            <w:r>
              <w:rPr>
                <w:noProof/>
                <w:webHidden/>
              </w:rPr>
              <w:instrText xml:space="preserve"> PAGEREF _Toc218984750 \h </w:instrText>
            </w:r>
            <w:r>
              <w:rPr>
                <w:noProof/>
                <w:webHidden/>
              </w:rPr>
            </w:r>
            <w:r>
              <w:rPr>
                <w:noProof/>
                <w:webHidden/>
              </w:rPr>
              <w:fldChar w:fldCharType="separate"/>
            </w:r>
            <w:r>
              <w:rPr>
                <w:noProof/>
                <w:webHidden/>
              </w:rPr>
              <w:t>14</w:t>
            </w:r>
            <w:r>
              <w:rPr>
                <w:noProof/>
                <w:webHidden/>
              </w:rPr>
              <w:fldChar w:fldCharType="end"/>
            </w:r>
          </w:hyperlink>
        </w:p>
        <w:p w14:paraId="78CEED56" w14:textId="1761A3AB" w:rsidR="006F591F" w:rsidRDefault="006F591F">
          <w:pPr>
            <w:pStyle w:val="TOC3"/>
            <w:tabs>
              <w:tab w:val="right" w:leader="dot" w:pos="9350"/>
            </w:tabs>
            <w:rPr>
              <w:rFonts w:eastAsiaTheme="minorEastAsia"/>
              <w:noProof/>
              <w:kern w:val="0"/>
              <w:sz w:val="22"/>
              <w:szCs w:val="22"/>
              <w:lang w:val="en-US"/>
              <w14:ligatures w14:val="none"/>
            </w:rPr>
          </w:pPr>
          <w:hyperlink w:anchor="_Toc218984751" w:history="1">
            <w:r w:rsidRPr="002875BB">
              <w:rPr>
                <w:rStyle w:val="Hyperlink"/>
                <w:noProof/>
                <w:lang w:val="en-US"/>
              </w:rPr>
              <w:t>Interest Cover</w:t>
            </w:r>
            <w:r>
              <w:rPr>
                <w:noProof/>
                <w:webHidden/>
              </w:rPr>
              <w:tab/>
            </w:r>
            <w:r>
              <w:rPr>
                <w:noProof/>
                <w:webHidden/>
              </w:rPr>
              <w:fldChar w:fldCharType="begin"/>
            </w:r>
            <w:r>
              <w:rPr>
                <w:noProof/>
                <w:webHidden/>
              </w:rPr>
              <w:instrText xml:space="preserve"> PAGEREF _Toc218984751 \h </w:instrText>
            </w:r>
            <w:r>
              <w:rPr>
                <w:noProof/>
                <w:webHidden/>
              </w:rPr>
            </w:r>
            <w:r>
              <w:rPr>
                <w:noProof/>
                <w:webHidden/>
              </w:rPr>
              <w:fldChar w:fldCharType="separate"/>
            </w:r>
            <w:r>
              <w:rPr>
                <w:noProof/>
                <w:webHidden/>
              </w:rPr>
              <w:t>14</w:t>
            </w:r>
            <w:r>
              <w:rPr>
                <w:noProof/>
                <w:webHidden/>
              </w:rPr>
              <w:fldChar w:fldCharType="end"/>
            </w:r>
          </w:hyperlink>
        </w:p>
        <w:p w14:paraId="3573F9D3" w14:textId="38430D15" w:rsidR="006F591F" w:rsidRDefault="006F591F">
          <w:pPr>
            <w:pStyle w:val="TOC3"/>
            <w:tabs>
              <w:tab w:val="right" w:leader="dot" w:pos="9350"/>
            </w:tabs>
            <w:rPr>
              <w:rFonts w:eastAsiaTheme="minorEastAsia"/>
              <w:noProof/>
              <w:kern w:val="0"/>
              <w:sz w:val="22"/>
              <w:szCs w:val="22"/>
              <w:lang w:val="en-US"/>
              <w14:ligatures w14:val="none"/>
            </w:rPr>
          </w:pPr>
          <w:hyperlink w:anchor="_Toc218984752" w:history="1">
            <w:r w:rsidRPr="002875BB">
              <w:rPr>
                <w:rStyle w:val="Hyperlink"/>
                <w:noProof/>
                <w:lang w:val="en-US"/>
              </w:rPr>
              <w:t>Price/Earnings (P/E) Ratio</w:t>
            </w:r>
            <w:r>
              <w:rPr>
                <w:noProof/>
                <w:webHidden/>
              </w:rPr>
              <w:tab/>
            </w:r>
            <w:r>
              <w:rPr>
                <w:noProof/>
                <w:webHidden/>
              </w:rPr>
              <w:fldChar w:fldCharType="begin"/>
            </w:r>
            <w:r>
              <w:rPr>
                <w:noProof/>
                <w:webHidden/>
              </w:rPr>
              <w:instrText xml:space="preserve"> PAGEREF _Toc218984752 \h </w:instrText>
            </w:r>
            <w:r>
              <w:rPr>
                <w:noProof/>
                <w:webHidden/>
              </w:rPr>
            </w:r>
            <w:r>
              <w:rPr>
                <w:noProof/>
                <w:webHidden/>
              </w:rPr>
              <w:fldChar w:fldCharType="separate"/>
            </w:r>
            <w:r>
              <w:rPr>
                <w:noProof/>
                <w:webHidden/>
              </w:rPr>
              <w:t>15</w:t>
            </w:r>
            <w:r>
              <w:rPr>
                <w:noProof/>
                <w:webHidden/>
              </w:rPr>
              <w:fldChar w:fldCharType="end"/>
            </w:r>
          </w:hyperlink>
        </w:p>
        <w:p w14:paraId="3D43D79D" w14:textId="5B648D1C" w:rsidR="006F591F" w:rsidRDefault="006F591F">
          <w:pPr>
            <w:pStyle w:val="TOC1"/>
            <w:tabs>
              <w:tab w:val="right" w:leader="dot" w:pos="9350"/>
            </w:tabs>
            <w:rPr>
              <w:rFonts w:eastAsiaTheme="minorEastAsia"/>
              <w:noProof/>
              <w:kern w:val="0"/>
              <w:sz w:val="22"/>
              <w:szCs w:val="22"/>
              <w:lang w:val="en-US"/>
              <w14:ligatures w14:val="none"/>
            </w:rPr>
          </w:pPr>
          <w:hyperlink w:anchor="_Toc218984753" w:history="1">
            <w:r w:rsidRPr="002875BB">
              <w:rPr>
                <w:rStyle w:val="Hyperlink"/>
                <w:noProof/>
              </w:rPr>
              <w:t>Part 2</w:t>
            </w:r>
            <w:r>
              <w:rPr>
                <w:noProof/>
                <w:webHidden/>
              </w:rPr>
              <w:tab/>
            </w:r>
            <w:r>
              <w:rPr>
                <w:noProof/>
                <w:webHidden/>
              </w:rPr>
              <w:fldChar w:fldCharType="begin"/>
            </w:r>
            <w:r>
              <w:rPr>
                <w:noProof/>
                <w:webHidden/>
              </w:rPr>
              <w:instrText xml:space="preserve"> PAGEREF _Toc218984753 \h </w:instrText>
            </w:r>
            <w:r>
              <w:rPr>
                <w:noProof/>
                <w:webHidden/>
              </w:rPr>
            </w:r>
            <w:r>
              <w:rPr>
                <w:noProof/>
                <w:webHidden/>
              </w:rPr>
              <w:fldChar w:fldCharType="separate"/>
            </w:r>
            <w:r>
              <w:rPr>
                <w:noProof/>
                <w:webHidden/>
              </w:rPr>
              <w:t>15</w:t>
            </w:r>
            <w:r>
              <w:rPr>
                <w:noProof/>
                <w:webHidden/>
              </w:rPr>
              <w:fldChar w:fldCharType="end"/>
            </w:r>
          </w:hyperlink>
        </w:p>
        <w:p w14:paraId="6EB37235" w14:textId="7CB1C6F4" w:rsidR="006F591F" w:rsidRDefault="006F591F">
          <w:pPr>
            <w:pStyle w:val="TOC2"/>
            <w:tabs>
              <w:tab w:val="right" w:leader="dot" w:pos="9350"/>
            </w:tabs>
            <w:rPr>
              <w:rFonts w:eastAsiaTheme="minorEastAsia"/>
              <w:noProof/>
              <w:kern w:val="0"/>
              <w:sz w:val="22"/>
              <w:szCs w:val="22"/>
              <w:lang w:val="en-US"/>
              <w14:ligatures w14:val="none"/>
            </w:rPr>
          </w:pPr>
          <w:hyperlink w:anchor="_Toc218984754" w:history="1">
            <w:r w:rsidRPr="002875BB">
              <w:rPr>
                <w:rStyle w:val="Hyperlink"/>
                <w:rFonts w:eastAsia="Times New Roman"/>
                <w:noProof/>
              </w:rPr>
              <w:t>Investment Evaluation Options</w:t>
            </w:r>
            <w:r>
              <w:rPr>
                <w:noProof/>
                <w:webHidden/>
              </w:rPr>
              <w:tab/>
            </w:r>
            <w:r>
              <w:rPr>
                <w:noProof/>
                <w:webHidden/>
              </w:rPr>
              <w:fldChar w:fldCharType="begin"/>
            </w:r>
            <w:r>
              <w:rPr>
                <w:noProof/>
                <w:webHidden/>
              </w:rPr>
              <w:instrText xml:space="preserve"> PAGEREF _Toc218984754 \h </w:instrText>
            </w:r>
            <w:r>
              <w:rPr>
                <w:noProof/>
                <w:webHidden/>
              </w:rPr>
            </w:r>
            <w:r>
              <w:rPr>
                <w:noProof/>
                <w:webHidden/>
              </w:rPr>
              <w:fldChar w:fldCharType="separate"/>
            </w:r>
            <w:r>
              <w:rPr>
                <w:noProof/>
                <w:webHidden/>
              </w:rPr>
              <w:t>15</w:t>
            </w:r>
            <w:r>
              <w:rPr>
                <w:noProof/>
                <w:webHidden/>
              </w:rPr>
              <w:fldChar w:fldCharType="end"/>
            </w:r>
          </w:hyperlink>
        </w:p>
        <w:p w14:paraId="753142BA" w14:textId="5E1AFEC2" w:rsidR="006F591F" w:rsidRDefault="006F591F">
          <w:pPr>
            <w:pStyle w:val="TOC2"/>
            <w:tabs>
              <w:tab w:val="right" w:leader="dot" w:pos="9350"/>
            </w:tabs>
            <w:rPr>
              <w:rFonts w:eastAsiaTheme="minorEastAsia"/>
              <w:noProof/>
              <w:kern w:val="0"/>
              <w:sz w:val="22"/>
              <w:szCs w:val="22"/>
              <w:lang w:val="en-US"/>
              <w14:ligatures w14:val="none"/>
            </w:rPr>
          </w:pPr>
          <w:hyperlink w:anchor="_Toc218984755" w:history="1">
            <w:r w:rsidRPr="002875BB">
              <w:rPr>
                <w:rStyle w:val="Hyperlink"/>
                <w:rFonts w:eastAsia="Times New Roman"/>
                <w:noProof/>
              </w:rPr>
              <w:t>A.</w:t>
            </w:r>
            <w:r>
              <w:rPr>
                <w:noProof/>
                <w:webHidden/>
              </w:rPr>
              <w:tab/>
            </w:r>
            <w:r>
              <w:rPr>
                <w:noProof/>
                <w:webHidden/>
              </w:rPr>
              <w:fldChar w:fldCharType="begin"/>
            </w:r>
            <w:r>
              <w:rPr>
                <w:noProof/>
                <w:webHidden/>
              </w:rPr>
              <w:instrText xml:space="preserve"> PAGEREF _Toc218984755 \h </w:instrText>
            </w:r>
            <w:r>
              <w:rPr>
                <w:noProof/>
                <w:webHidden/>
              </w:rPr>
            </w:r>
            <w:r>
              <w:rPr>
                <w:noProof/>
                <w:webHidden/>
              </w:rPr>
              <w:fldChar w:fldCharType="separate"/>
            </w:r>
            <w:r>
              <w:rPr>
                <w:noProof/>
                <w:webHidden/>
              </w:rPr>
              <w:t>16</w:t>
            </w:r>
            <w:r>
              <w:rPr>
                <w:noProof/>
                <w:webHidden/>
              </w:rPr>
              <w:fldChar w:fldCharType="end"/>
            </w:r>
          </w:hyperlink>
        </w:p>
        <w:p w14:paraId="7DD9D3ED" w14:textId="1EECDE27" w:rsidR="006F591F" w:rsidRDefault="006F591F">
          <w:pPr>
            <w:pStyle w:val="TOC3"/>
            <w:tabs>
              <w:tab w:val="right" w:leader="dot" w:pos="9350"/>
            </w:tabs>
            <w:rPr>
              <w:rFonts w:eastAsiaTheme="minorEastAsia"/>
              <w:noProof/>
              <w:kern w:val="0"/>
              <w:sz w:val="22"/>
              <w:szCs w:val="22"/>
              <w:lang w:val="en-US"/>
              <w14:ligatures w14:val="none"/>
            </w:rPr>
          </w:pPr>
          <w:hyperlink w:anchor="_Toc218984756" w:history="1">
            <w:r w:rsidRPr="002875BB">
              <w:rPr>
                <w:rStyle w:val="Hyperlink"/>
                <w:rFonts w:eastAsia="Times New Roman"/>
                <w:noProof/>
              </w:rPr>
              <w:t>Net Present Value Technique</w:t>
            </w:r>
            <w:r>
              <w:rPr>
                <w:noProof/>
                <w:webHidden/>
              </w:rPr>
              <w:tab/>
            </w:r>
            <w:r>
              <w:rPr>
                <w:noProof/>
                <w:webHidden/>
              </w:rPr>
              <w:fldChar w:fldCharType="begin"/>
            </w:r>
            <w:r>
              <w:rPr>
                <w:noProof/>
                <w:webHidden/>
              </w:rPr>
              <w:instrText xml:space="preserve"> PAGEREF _Toc218984756 \h </w:instrText>
            </w:r>
            <w:r>
              <w:rPr>
                <w:noProof/>
                <w:webHidden/>
              </w:rPr>
            </w:r>
            <w:r>
              <w:rPr>
                <w:noProof/>
                <w:webHidden/>
              </w:rPr>
              <w:fldChar w:fldCharType="separate"/>
            </w:r>
            <w:r>
              <w:rPr>
                <w:noProof/>
                <w:webHidden/>
              </w:rPr>
              <w:t>16</w:t>
            </w:r>
            <w:r>
              <w:rPr>
                <w:noProof/>
                <w:webHidden/>
              </w:rPr>
              <w:fldChar w:fldCharType="end"/>
            </w:r>
          </w:hyperlink>
        </w:p>
        <w:p w14:paraId="28A41CC4" w14:textId="41A7739C" w:rsidR="006F591F" w:rsidRDefault="006F591F">
          <w:pPr>
            <w:pStyle w:val="TOC3"/>
            <w:tabs>
              <w:tab w:val="right" w:leader="dot" w:pos="9350"/>
            </w:tabs>
            <w:rPr>
              <w:rFonts w:eastAsiaTheme="minorEastAsia"/>
              <w:noProof/>
              <w:kern w:val="0"/>
              <w:sz w:val="22"/>
              <w:szCs w:val="22"/>
              <w:lang w:val="en-US"/>
              <w14:ligatures w14:val="none"/>
            </w:rPr>
          </w:pPr>
          <w:hyperlink w:anchor="_Toc218984757" w:history="1">
            <w:r w:rsidRPr="002875BB">
              <w:rPr>
                <w:rStyle w:val="Hyperlink"/>
                <w:rFonts w:eastAsia="Times New Roman"/>
                <w:noProof/>
              </w:rPr>
              <w:t>Payback Period Method</w:t>
            </w:r>
            <w:r>
              <w:rPr>
                <w:noProof/>
                <w:webHidden/>
              </w:rPr>
              <w:tab/>
            </w:r>
            <w:r>
              <w:rPr>
                <w:noProof/>
                <w:webHidden/>
              </w:rPr>
              <w:fldChar w:fldCharType="begin"/>
            </w:r>
            <w:r>
              <w:rPr>
                <w:noProof/>
                <w:webHidden/>
              </w:rPr>
              <w:instrText xml:space="preserve"> PAGEREF _Toc218984757 \h </w:instrText>
            </w:r>
            <w:r>
              <w:rPr>
                <w:noProof/>
                <w:webHidden/>
              </w:rPr>
            </w:r>
            <w:r>
              <w:rPr>
                <w:noProof/>
                <w:webHidden/>
              </w:rPr>
              <w:fldChar w:fldCharType="separate"/>
            </w:r>
            <w:r>
              <w:rPr>
                <w:noProof/>
                <w:webHidden/>
              </w:rPr>
              <w:t>17</w:t>
            </w:r>
            <w:r>
              <w:rPr>
                <w:noProof/>
                <w:webHidden/>
              </w:rPr>
              <w:fldChar w:fldCharType="end"/>
            </w:r>
          </w:hyperlink>
        </w:p>
        <w:p w14:paraId="3AF053CF" w14:textId="60470390" w:rsidR="006F591F" w:rsidRDefault="006F591F">
          <w:pPr>
            <w:pStyle w:val="TOC2"/>
            <w:tabs>
              <w:tab w:val="right" w:leader="dot" w:pos="9350"/>
            </w:tabs>
            <w:rPr>
              <w:rFonts w:eastAsiaTheme="minorEastAsia"/>
              <w:noProof/>
              <w:kern w:val="0"/>
              <w:sz w:val="22"/>
              <w:szCs w:val="22"/>
              <w:lang w:val="en-US"/>
              <w14:ligatures w14:val="none"/>
            </w:rPr>
          </w:pPr>
          <w:hyperlink w:anchor="_Toc218984758" w:history="1">
            <w:r w:rsidRPr="002875BB">
              <w:rPr>
                <w:rStyle w:val="Hyperlink"/>
                <w:rFonts w:eastAsia="Times New Roman" w:cs="Times New Roman"/>
                <w:noProof/>
              </w:rPr>
              <w:t>B.</w:t>
            </w:r>
            <w:r>
              <w:rPr>
                <w:noProof/>
                <w:webHidden/>
              </w:rPr>
              <w:tab/>
            </w:r>
            <w:r>
              <w:rPr>
                <w:noProof/>
                <w:webHidden/>
              </w:rPr>
              <w:fldChar w:fldCharType="begin"/>
            </w:r>
            <w:r>
              <w:rPr>
                <w:noProof/>
                <w:webHidden/>
              </w:rPr>
              <w:instrText xml:space="preserve"> PAGEREF _Toc218984758 \h </w:instrText>
            </w:r>
            <w:r>
              <w:rPr>
                <w:noProof/>
                <w:webHidden/>
              </w:rPr>
            </w:r>
            <w:r>
              <w:rPr>
                <w:noProof/>
                <w:webHidden/>
              </w:rPr>
              <w:fldChar w:fldCharType="separate"/>
            </w:r>
            <w:r>
              <w:rPr>
                <w:noProof/>
                <w:webHidden/>
              </w:rPr>
              <w:t>18</w:t>
            </w:r>
            <w:r>
              <w:rPr>
                <w:noProof/>
                <w:webHidden/>
              </w:rPr>
              <w:fldChar w:fldCharType="end"/>
            </w:r>
          </w:hyperlink>
        </w:p>
        <w:p w14:paraId="30CC066A" w14:textId="42E02B2F" w:rsidR="006F591F" w:rsidRDefault="006F591F">
          <w:pPr>
            <w:pStyle w:val="TOC3"/>
            <w:tabs>
              <w:tab w:val="right" w:leader="dot" w:pos="9350"/>
            </w:tabs>
            <w:rPr>
              <w:rFonts w:eastAsiaTheme="minorEastAsia"/>
              <w:noProof/>
              <w:kern w:val="0"/>
              <w:sz w:val="22"/>
              <w:szCs w:val="22"/>
              <w:lang w:val="en-US"/>
              <w14:ligatures w14:val="none"/>
            </w:rPr>
          </w:pPr>
          <w:hyperlink w:anchor="_Toc218984759" w:history="1">
            <w:r w:rsidRPr="002875BB">
              <w:rPr>
                <w:rStyle w:val="Hyperlink"/>
                <w:rFonts w:eastAsia="Times New Roman"/>
                <w:noProof/>
              </w:rPr>
              <w:t>Internal Rate of Return (IRR) Method</w:t>
            </w:r>
            <w:r>
              <w:rPr>
                <w:noProof/>
                <w:webHidden/>
              </w:rPr>
              <w:tab/>
            </w:r>
            <w:r>
              <w:rPr>
                <w:noProof/>
                <w:webHidden/>
              </w:rPr>
              <w:fldChar w:fldCharType="begin"/>
            </w:r>
            <w:r>
              <w:rPr>
                <w:noProof/>
                <w:webHidden/>
              </w:rPr>
              <w:instrText xml:space="preserve"> PAGEREF _Toc218984759 \h </w:instrText>
            </w:r>
            <w:r>
              <w:rPr>
                <w:noProof/>
                <w:webHidden/>
              </w:rPr>
            </w:r>
            <w:r>
              <w:rPr>
                <w:noProof/>
                <w:webHidden/>
              </w:rPr>
              <w:fldChar w:fldCharType="separate"/>
            </w:r>
            <w:r>
              <w:rPr>
                <w:noProof/>
                <w:webHidden/>
              </w:rPr>
              <w:t>18</w:t>
            </w:r>
            <w:r>
              <w:rPr>
                <w:noProof/>
                <w:webHidden/>
              </w:rPr>
              <w:fldChar w:fldCharType="end"/>
            </w:r>
          </w:hyperlink>
        </w:p>
        <w:p w14:paraId="1E1EDEA9" w14:textId="4B411E0C" w:rsidR="006F591F" w:rsidRDefault="006F591F">
          <w:pPr>
            <w:pStyle w:val="TOC3"/>
            <w:tabs>
              <w:tab w:val="right" w:leader="dot" w:pos="9350"/>
            </w:tabs>
            <w:rPr>
              <w:rFonts w:eastAsiaTheme="minorEastAsia"/>
              <w:noProof/>
              <w:kern w:val="0"/>
              <w:sz w:val="22"/>
              <w:szCs w:val="22"/>
              <w:lang w:val="en-US"/>
              <w14:ligatures w14:val="none"/>
            </w:rPr>
          </w:pPr>
          <w:hyperlink w:anchor="_Toc218984760" w:history="1">
            <w:r w:rsidRPr="002875BB">
              <w:rPr>
                <w:rStyle w:val="Hyperlink"/>
                <w:rFonts w:eastAsia="Times New Roman"/>
                <w:noProof/>
              </w:rPr>
              <w:t>Accounting Rate of Return (ARR)</w:t>
            </w:r>
            <w:r>
              <w:rPr>
                <w:noProof/>
                <w:webHidden/>
              </w:rPr>
              <w:tab/>
            </w:r>
            <w:r>
              <w:rPr>
                <w:noProof/>
                <w:webHidden/>
              </w:rPr>
              <w:fldChar w:fldCharType="begin"/>
            </w:r>
            <w:r>
              <w:rPr>
                <w:noProof/>
                <w:webHidden/>
              </w:rPr>
              <w:instrText xml:space="preserve"> PAGEREF _Toc218984760 \h </w:instrText>
            </w:r>
            <w:r>
              <w:rPr>
                <w:noProof/>
                <w:webHidden/>
              </w:rPr>
            </w:r>
            <w:r>
              <w:rPr>
                <w:noProof/>
                <w:webHidden/>
              </w:rPr>
              <w:fldChar w:fldCharType="separate"/>
            </w:r>
            <w:r>
              <w:rPr>
                <w:noProof/>
                <w:webHidden/>
              </w:rPr>
              <w:t>19</w:t>
            </w:r>
            <w:r>
              <w:rPr>
                <w:noProof/>
                <w:webHidden/>
              </w:rPr>
              <w:fldChar w:fldCharType="end"/>
            </w:r>
          </w:hyperlink>
        </w:p>
        <w:p w14:paraId="2150BE2E" w14:textId="7215BBFD" w:rsidR="006F591F" w:rsidRDefault="006F591F">
          <w:pPr>
            <w:pStyle w:val="TOC2"/>
            <w:tabs>
              <w:tab w:val="right" w:leader="dot" w:pos="9350"/>
            </w:tabs>
            <w:rPr>
              <w:rFonts w:eastAsiaTheme="minorEastAsia"/>
              <w:noProof/>
              <w:kern w:val="0"/>
              <w:sz w:val="22"/>
              <w:szCs w:val="22"/>
              <w:lang w:val="en-US"/>
              <w14:ligatures w14:val="none"/>
            </w:rPr>
          </w:pPr>
          <w:hyperlink w:anchor="_Toc218984761" w:history="1">
            <w:r w:rsidRPr="002875BB">
              <w:rPr>
                <w:rStyle w:val="Hyperlink"/>
                <w:rFonts w:eastAsia="Times New Roman"/>
                <w:noProof/>
              </w:rPr>
              <w:t>C.</w:t>
            </w:r>
            <w:r>
              <w:rPr>
                <w:noProof/>
                <w:webHidden/>
              </w:rPr>
              <w:tab/>
            </w:r>
            <w:r>
              <w:rPr>
                <w:noProof/>
                <w:webHidden/>
              </w:rPr>
              <w:fldChar w:fldCharType="begin"/>
            </w:r>
            <w:r>
              <w:rPr>
                <w:noProof/>
                <w:webHidden/>
              </w:rPr>
              <w:instrText xml:space="preserve"> PAGEREF _Toc218984761 \h </w:instrText>
            </w:r>
            <w:r>
              <w:rPr>
                <w:noProof/>
                <w:webHidden/>
              </w:rPr>
            </w:r>
            <w:r>
              <w:rPr>
                <w:noProof/>
                <w:webHidden/>
              </w:rPr>
              <w:fldChar w:fldCharType="separate"/>
            </w:r>
            <w:r>
              <w:rPr>
                <w:noProof/>
                <w:webHidden/>
              </w:rPr>
              <w:t>19</w:t>
            </w:r>
            <w:r>
              <w:rPr>
                <w:noProof/>
                <w:webHidden/>
              </w:rPr>
              <w:fldChar w:fldCharType="end"/>
            </w:r>
          </w:hyperlink>
        </w:p>
        <w:p w14:paraId="319CBACF" w14:textId="23D423A5" w:rsidR="006F591F" w:rsidRDefault="006F591F">
          <w:pPr>
            <w:pStyle w:val="TOC3"/>
            <w:tabs>
              <w:tab w:val="left" w:pos="880"/>
              <w:tab w:val="right" w:leader="dot" w:pos="9350"/>
            </w:tabs>
            <w:rPr>
              <w:rFonts w:eastAsiaTheme="minorEastAsia"/>
              <w:noProof/>
              <w:kern w:val="0"/>
              <w:sz w:val="22"/>
              <w:szCs w:val="22"/>
              <w:lang w:val="en-US"/>
              <w14:ligatures w14:val="none"/>
            </w:rPr>
          </w:pPr>
          <w:hyperlink w:anchor="_Toc218984762" w:history="1">
            <w:r w:rsidRPr="002875BB">
              <w:rPr>
                <w:rStyle w:val="Hyperlink"/>
                <w:rFonts w:eastAsia="Times New Roman"/>
                <w:noProof/>
              </w:rPr>
              <w:t>I.</w:t>
            </w:r>
            <w:r>
              <w:rPr>
                <w:rFonts w:eastAsiaTheme="minorEastAsia"/>
                <w:noProof/>
                <w:kern w:val="0"/>
                <w:sz w:val="22"/>
                <w:szCs w:val="22"/>
                <w:lang w:val="en-US"/>
                <w14:ligatures w14:val="none"/>
              </w:rPr>
              <w:tab/>
            </w:r>
            <w:r w:rsidRPr="002875BB">
              <w:rPr>
                <w:rStyle w:val="Hyperlink"/>
                <w:rFonts w:eastAsia="Times New Roman"/>
                <w:noProof/>
              </w:rPr>
              <w:t>Why Net Present Value (NPV) and What is the Best Method for Investment Appraisal</w:t>
            </w:r>
            <w:r>
              <w:rPr>
                <w:noProof/>
                <w:webHidden/>
              </w:rPr>
              <w:tab/>
            </w:r>
            <w:r>
              <w:rPr>
                <w:noProof/>
                <w:webHidden/>
              </w:rPr>
              <w:fldChar w:fldCharType="begin"/>
            </w:r>
            <w:r>
              <w:rPr>
                <w:noProof/>
                <w:webHidden/>
              </w:rPr>
              <w:instrText xml:space="preserve"> PAGEREF _Toc218984762 \h </w:instrText>
            </w:r>
            <w:r>
              <w:rPr>
                <w:noProof/>
                <w:webHidden/>
              </w:rPr>
            </w:r>
            <w:r>
              <w:rPr>
                <w:noProof/>
                <w:webHidden/>
              </w:rPr>
              <w:fldChar w:fldCharType="separate"/>
            </w:r>
            <w:r>
              <w:rPr>
                <w:noProof/>
                <w:webHidden/>
              </w:rPr>
              <w:t>19</w:t>
            </w:r>
            <w:r>
              <w:rPr>
                <w:noProof/>
                <w:webHidden/>
              </w:rPr>
              <w:fldChar w:fldCharType="end"/>
            </w:r>
          </w:hyperlink>
        </w:p>
        <w:p w14:paraId="64B777B4" w14:textId="2767B218" w:rsidR="006F591F" w:rsidRDefault="006F591F">
          <w:pPr>
            <w:pStyle w:val="TOC3"/>
            <w:tabs>
              <w:tab w:val="left" w:pos="880"/>
              <w:tab w:val="right" w:leader="dot" w:pos="9350"/>
            </w:tabs>
            <w:rPr>
              <w:rFonts w:eastAsiaTheme="minorEastAsia"/>
              <w:noProof/>
              <w:kern w:val="0"/>
              <w:sz w:val="22"/>
              <w:szCs w:val="22"/>
              <w:lang w:val="en-US"/>
              <w14:ligatures w14:val="none"/>
            </w:rPr>
          </w:pPr>
          <w:hyperlink w:anchor="_Toc218984763" w:history="1">
            <w:r w:rsidRPr="002875BB">
              <w:rPr>
                <w:rStyle w:val="Hyperlink"/>
                <w:rFonts w:eastAsia="Times New Roman"/>
                <w:noProof/>
              </w:rPr>
              <w:t>II.</w:t>
            </w:r>
            <w:r>
              <w:rPr>
                <w:rFonts w:eastAsiaTheme="minorEastAsia"/>
                <w:noProof/>
                <w:kern w:val="0"/>
                <w:sz w:val="22"/>
                <w:szCs w:val="22"/>
                <w:lang w:val="en-US"/>
                <w14:ligatures w14:val="none"/>
              </w:rPr>
              <w:tab/>
            </w:r>
            <w:r w:rsidRPr="002875BB">
              <w:rPr>
                <w:rStyle w:val="Hyperlink"/>
                <w:rFonts w:eastAsia="Times New Roman"/>
                <w:noProof/>
              </w:rPr>
              <w:t>Why Do Decision-Makers Use Non-Discounting Methods</w:t>
            </w:r>
            <w:r>
              <w:rPr>
                <w:noProof/>
                <w:webHidden/>
              </w:rPr>
              <w:tab/>
            </w:r>
            <w:r>
              <w:rPr>
                <w:noProof/>
                <w:webHidden/>
              </w:rPr>
              <w:fldChar w:fldCharType="begin"/>
            </w:r>
            <w:r>
              <w:rPr>
                <w:noProof/>
                <w:webHidden/>
              </w:rPr>
              <w:instrText xml:space="preserve"> PAGEREF _Toc218984763 \h </w:instrText>
            </w:r>
            <w:r>
              <w:rPr>
                <w:noProof/>
                <w:webHidden/>
              </w:rPr>
            </w:r>
            <w:r>
              <w:rPr>
                <w:noProof/>
                <w:webHidden/>
              </w:rPr>
              <w:fldChar w:fldCharType="separate"/>
            </w:r>
            <w:r>
              <w:rPr>
                <w:noProof/>
                <w:webHidden/>
              </w:rPr>
              <w:t>20</w:t>
            </w:r>
            <w:r>
              <w:rPr>
                <w:noProof/>
                <w:webHidden/>
              </w:rPr>
              <w:fldChar w:fldCharType="end"/>
            </w:r>
          </w:hyperlink>
        </w:p>
        <w:p w14:paraId="6D7832CB" w14:textId="7FD070FC" w:rsidR="006F591F" w:rsidRDefault="006F591F">
          <w:pPr>
            <w:pStyle w:val="TOC3"/>
            <w:tabs>
              <w:tab w:val="left" w:pos="1100"/>
              <w:tab w:val="right" w:leader="dot" w:pos="9350"/>
            </w:tabs>
            <w:rPr>
              <w:rFonts w:eastAsiaTheme="minorEastAsia"/>
              <w:noProof/>
              <w:kern w:val="0"/>
              <w:sz w:val="22"/>
              <w:szCs w:val="22"/>
              <w:lang w:val="en-US"/>
              <w14:ligatures w14:val="none"/>
            </w:rPr>
          </w:pPr>
          <w:hyperlink w:anchor="_Toc218984764" w:history="1">
            <w:r w:rsidRPr="002875BB">
              <w:rPr>
                <w:rStyle w:val="Hyperlink"/>
                <w:rFonts w:eastAsia="Times New Roman" w:cs="Times New Roman"/>
                <w:noProof/>
              </w:rPr>
              <w:t>III.</w:t>
            </w:r>
            <w:r>
              <w:rPr>
                <w:rFonts w:eastAsiaTheme="minorEastAsia"/>
                <w:noProof/>
                <w:kern w:val="0"/>
                <w:sz w:val="22"/>
                <w:szCs w:val="22"/>
                <w:lang w:val="en-US"/>
                <w14:ligatures w14:val="none"/>
              </w:rPr>
              <w:tab/>
            </w:r>
            <w:r w:rsidRPr="002875BB">
              <w:rPr>
                <w:rStyle w:val="Hyperlink"/>
                <w:rFonts w:eastAsia="Times New Roman"/>
                <w:noProof/>
              </w:rPr>
              <w:t>Other Factors That Should Be Considered Before an Investment Decision is Made</w:t>
            </w:r>
            <w:r>
              <w:rPr>
                <w:noProof/>
                <w:webHidden/>
              </w:rPr>
              <w:tab/>
            </w:r>
            <w:r>
              <w:rPr>
                <w:noProof/>
                <w:webHidden/>
              </w:rPr>
              <w:fldChar w:fldCharType="begin"/>
            </w:r>
            <w:r>
              <w:rPr>
                <w:noProof/>
                <w:webHidden/>
              </w:rPr>
              <w:instrText xml:space="preserve"> PAGEREF _Toc218984764 \h </w:instrText>
            </w:r>
            <w:r>
              <w:rPr>
                <w:noProof/>
                <w:webHidden/>
              </w:rPr>
            </w:r>
            <w:r>
              <w:rPr>
                <w:noProof/>
                <w:webHidden/>
              </w:rPr>
              <w:fldChar w:fldCharType="separate"/>
            </w:r>
            <w:r>
              <w:rPr>
                <w:noProof/>
                <w:webHidden/>
              </w:rPr>
              <w:t>20</w:t>
            </w:r>
            <w:r>
              <w:rPr>
                <w:noProof/>
                <w:webHidden/>
              </w:rPr>
              <w:fldChar w:fldCharType="end"/>
            </w:r>
          </w:hyperlink>
        </w:p>
        <w:p w14:paraId="37417FFF" w14:textId="137B91E8" w:rsidR="006F591F" w:rsidRDefault="006F591F">
          <w:pPr>
            <w:pStyle w:val="TOC1"/>
            <w:tabs>
              <w:tab w:val="right" w:leader="dot" w:pos="9350"/>
            </w:tabs>
            <w:rPr>
              <w:rFonts w:eastAsiaTheme="minorEastAsia"/>
              <w:noProof/>
              <w:kern w:val="0"/>
              <w:sz w:val="22"/>
              <w:szCs w:val="22"/>
              <w:lang w:val="en-US"/>
              <w14:ligatures w14:val="none"/>
            </w:rPr>
          </w:pPr>
          <w:hyperlink w:anchor="_Toc218984765" w:history="1">
            <w:r w:rsidRPr="002875BB">
              <w:rPr>
                <w:rStyle w:val="Hyperlink"/>
                <w:rFonts w:eastAsia="Times New Roman"/>
                <w:noProof/>
              </w:rPr>
              <w:t>Recommendation</w:t>
            </w:r>
            <w:r>
              <w:rPr>
                <w:noProof/>
                <w:webHidden/>
              </w:rPr>
              <w:tab/>
            </w:r>
            <w:r>
              <w:rPr>
                <w:noProof/>
                <w:webHidden/>
              </w:rPr>
              <w:fldChar w:fldCharType="begin"/>
            </w:r>
            <w:r>
              <w:rPr>
                <w:noProof/>
                <w:webHidden/>
              </w:rPr>
              <w:instrText xml:space="preserve"> PAGEREF _Toc218984765 \h </w:instrText>
            </w:r>
            <w:r>
              <w:rPr>
                <w:noProof/>
                <w:webHidden/>
              </w:rPr>
            </w:r>
            <w:r>
              <w:rPr>
                <w:noProof/>
                <w:webHidden/>
              </w:rPr>
              <w:fldChar w:fldCharType="separate"/>
            </w:r>
            <w:r>
              <w:rPr>
                <w:noProof/>
                <w:webHidden/>
              </w:rPr>
              <w:t>22</w:t>
            </w:r>
            <w:r>
              <w:rPr>
                <w:noProof/>
                <w:webHidden/>
              </w:rPr>
              <w:fldChar w:fldCharType="end"/>
            </w:r>
          </w:hyperlink>
        </w:p>
        <w:p w14:paraId="66D822FD" w14:textId="31F20598" w:rsidR="006F591F" w:rsidRDefault="006F591F">
          <w:pPr>
            <w:pStyle w:val="TOC1"/>
            <w:tabs>
              <w:tab w:val="right" w:leader="dot" w:pos="9350"/>
            </w:tabs>
            <w:rPr>
              <w:rFonts w:eastAsiaTheme="minorEastAsia"/>
              <w:noProof/>
              <w:kern w:val="0"/>
              <w:sz w:val="22"/>
              <w:szCs w:val="22"/>
              <w:lang w:val="en-US"/>
              <w14:ligatures w14:val="none"/>
            </w:rPr>
          </w:pPr>
          <w:hyperlink w:anchor="_Toc218984766" w:history="1">
            <w:r w:rsidRPr="002875BB">
              <w:rPr>
                <w:rStyle w:val="Hyperlink"/>
                <w:rFonts w:eastAsia="Times New Roman"/>
                <w:noProof/>
              </w:rPr>
              <w:t>Conclusion</w:t>
            </w:r>
            <w:r>
              <w:rPr>
                <w:noProof/>
                <w:webHidden/>
              </w:rPr>
              <w:tab/>
            </w:r>
            <w:r>
              <w:rPr>
                <w:noProof/>
                <w:webHidden/>
              </w:rPr>
              <w:fldChar w:fldCharType="begin"/>
            </w:r>
            <w:r>
              <w:rPr>
                <w:noProof/>
                <w:webHidden/>
              </w:rPr>
              <w:instrText xml:space="preserve"> PAGEREF _Toc218984766 \h </w:instrText>
            </w:r>
            <w:r>
              <w:rPr>
                <w:noProof/>
                <w:webHidden/>
              </w:rPr>
            </w:r>
            <w:r>
              <w:rPr>
                <w:noProof/>
                <w:webHidden/>
              </w:rPr>
              <w:fldChar w:fldCharType="separate"/>
            </w:r>
            <w:r>
              <w:rPr>
                <w:noProof/>
                <w:webHidden/>
              </w:rPr>
              <w:t>22</w:t>
            </w:r>
            <w:r>
              <w:rPr>
                <w:noProof/>
                <w:webHidden/>
              </w:rPr>
              <w:fldChar w:fldCharType="end"/>
            </w:r>
          </w:hyperlink>
        </w:p>
        <w:p w14:paraId="0CC33D73" w14:textId="73CF1877" w:rsidR="006F591F" w:rsidRDefault="006F591F">
          <w:pPr>
            <w:pStyle w:val="TOC1"/>
            <w:tabs>
              <w:tab w:val="right" w:leader="dot" w:pos="9350"/>
            </w:tabs>
            <w:rPr>
              <w:rFonts w:eastAsiaTheme="minorEastAsia"/>
              <w:noProof/>
              <w:kern w:val="0"/>
              <w:sz w:val="22"/>
              <w:szCs w:val="22"/>
              <w:lang w:val="en-US"/>
              <w14:ligatures w14:val="none"/>
            </w:rPr>
          </w:pPr>
          <w:hyperlink w:anchor="_Toc218984767" w:history="1">
            <w:r w:rsidRPr="002875BB">
              <w:rPr>
                <w:rStyle w:val="Hyperlink"/>
                <w:rFonts w:cs="Times New Roman"/>
                <w:noProof/>
              </w:rPr>
              <w:t>Bibliography</w:t>
            </w:r>
            <w:r>
              <w:rPr>
                <w:noProof/>
                <w:webHidden/>
              </w:rPr>
              <w:tab/>
            </w:r>
            <w:r>
              <w:rPr>
                <w:noProof/>
                <w:webHidden/>
              </w:rPr>
              <w:fldChar w:fldCharType="begin"/>
            </w:r>
            <w:r>
              <w:rPr>
                <w:noProof/>
                <w:webHidden/>
              </w:rPr>
              <w:instrText xml:space="preserve"> PAGEREF _Toc218984767 \h </w:instrText>
            </w:r>
            <w:r>
              <w:rPr>
                <w:noProof/>
                <w:webHidden/>
              </w:rPr>
            </w:r>
            <w:r>
              <w:rPr>
                <w:noProof/>
                <w:webHidden/>
              </w:rPr>
              <w:fldChar w:fldCharType="separate"/>
            </w:r>
            <w:r>
              <w:rPr>
                <w:noProof/>
                <w:webHidden/>
              </w:rPr>
              <w:t>23</w:t>
            </w:r>
            <w:r>
              <w:rPr>
                <w:noProof/>
                <w:webHidden/>
              </w:rPr>
              <w:fldChar w:fldCharType="end"/>
            </w:r>
          </w:hyperlink>
        </w:p>
        <w:p w14:paraId="391909B8" w14:textId="387CC665" w:rsidR="006F591F" w:rsidRDefault="006F591F">
          <w:pPr>
            <w:pStyle w:val="TOC1"/>
            <w:tabs>
              <w:tab w:val="right" w:leader="dot" w:pos="9350"/>
            </w:tabs>
            <w:rPr>
              <w:rFonts w:eastAsiaTheme="minorEastAsia"/>
              <w:noProof/>
              <w:kern w:val="0"/>
              <w:sz w:val="22"/>
              <w:szCs w:val="22"/>
              <w:lang w:val="en-US"/>
              <w14:ligatures w14:val="none"/>
            </w:rPr>
          </w:pPr>
          <w:hyperlink w:anchor="_Toc218984768" w:history="1">
            <w:r w:rsidRPr="002875BB">
              <w:rPr>
                <w:rStyle w:val="Hyperlink"/>
                <w:rFonts w:eastAsia="Times New Roman"/>
                <w:noProof/>
                <w:lang w:val="en-US"/>
              </w:rPr>
              <w:t>Appendix</w:t>
            </w:r>
            <w:r>
              <w:rPr>
                <w:noProof/>
                <w:webHidden/>
              </w:rPr>
              <w:tab/>
            </w:r>
            <w:r>
              <w:rPr>
                <w:noProof/>
                <w:webHidden/>
              </w:rPr>
              <w:fldChar w:fldCharType="begin"/>
            </w:r>
            <w:r>
              <w:rPr>
                <w:noProof/>
                <w:webHidden/>
              </w:rPr>
              <w:instrText xml:space="preserve"> PAGEREF _Toc218984768 \h </w:instrText>
            </w:r>
            <w:r>
              <w:rPr>
                <w:noProof/>
                <w:webHidden/>
              </w:rPr>
            </w:r>
            <w:r>
              <w:rPr>
                <w:noProof/>
                <w:webHidden/>
              </w:rPr>
              <w:fldChar w:fldCharType="separate"/>
            </w:r>
            <w:r>
              <w:rPr>
                <w:noProof/>
                <w:webHidden/>
              </w:rPr>
              <w:t>28</w:t>
            </w:r>
            <w:r>
              <w:rPr>
                <w:noProof/>
                <w:webHidden/>
              </w:rPr>
              <w:fldChar w:fldCharType="end"/>
            </w:r>
          </w:hyperlink>
        </w:p>
        <w:p w14:paraId="1096A061" w14:textId="3BD7B493" w:rsidR="006F591F" w:rsidRDefault="006F591F">
          <w:pPr>
            <w:pStyle w:val="TOC2"/>
            <w:tabs>
              <w:tab w:val="right" w:leader="dot" w:pos="9350"/>
            </w:tabs>
            <w:rPr>
              <w:rFonts w:eastAsiaTheme="minorEastAsia"/>
              <w:noProof/>
              <w:kern w:val="0"/>
              <w:sz w:val="22"/>
              <w:szCs w:val="22"/>
              <w:lang w:val="en-US"/>
              <w14:ligatures w14:val="none"/>
            </w:rPr>
          </w:pPr>
          <w:hyperlink w:anchor="_Toc218984769" w:history="1">
            <w:r w:rsidRPr="002875BB">
              <w:rPr>
                <w:rStyle w:val="Hyperlink"/>
                <w:rFonts w:eastAsia="Times New Roman"/>
                <w:noProof/>
                <w:lang w:val="en-US"/>
              </w:rPr>
              <w:t>Part 1</w:t>
            </w:r>
            <w:r>
              <w:rPr>
                <w:noProof/>
                <w:webHidden/>
              </w:rPr>
              <w:tab/>
            </w:r>
            <w:r>
              <w:rPr>
                <w:noProof/>
                <w:webHidden/>
              </w:rPr>
              <w:fldChar w:fldCharType="begin"/>
            </w:r>
            <w:r>
              <w:rPr>
                <w:noProof/>
                <w:webHidden/>
              </w:rPr>
              <w:instrText xml:space="preserve"> PAGEREF _Toc218984769 \h </w:instrText>
            </w:r>
            <w:r>
              <w:rPr>
                <w:noProof/>
                <w:webHidden/>
              </w:rPr>
            </w:r>
            <w:r>
              <w:rPr>
                <w:noProof/>
                <w:webHidden/>
              </w:rPr>
              <w:fldChar w:fldCharType="separate"/>
            </w:r>
            <w:r>
              <w:rPr>
                <w:noProof/>
                <w:webHidden/>
              </w:rPr>
              <w:t>28</w:t>
            </w:r>
            <w:r>
              <w:rPr>
                <w:noProof/>
                <w:webHidden/>
              </w:rPr>
              <w:fldChar w:fldCharType="end"/>
            </w:r>
          </w:hyperlink>
        </w:p>
        <w:p w14:paraId="7D93561E" w14:textId="6EFB9775" w:rsidR="006F591F" w:rsidRDefault="006F591F">
          <w:pPr>
            <w:pStyle w:val="TOC2"/>
            <w:tabs>
              <w:tab w:val="right" w:leader="dot" w:pos="9350"/>
            </w:tabs>
            <w:rPr>
              <w:rFonts w:eastAsiaTheme="minorEastAsia"/>
              <w:noProof/>
              <w:kern w:val="0"/>
              <w:sz w:val="22"/>
              <w:szCs w:val="22"/>
              <w:lang w:val="en-US"/>
              <w14:ligatures w14:val="none"/>
            </w:rPr>
          </w:pPr>
          <w:hyperlink w:anchor="_Toc218984770" w:history="1">
            <w:r w:rsidRPr="002875BB">
              <w:rPr>
                <w:rStyle w:val="Hyperlink"/>
                <w:rFonts w:eastAsia="Times New Roman"/>
                <w:noProof/>
              </w:rPr>
              <w:t>Part 2</w:t>
            </w:r>
            <w:r>
              <w:rPr>
                <w:noProof/>
                <w:webHidden/>
              </w:rPr>
              <w:tab/>
            </w:r>
            <w:r>
              <w:rPr>
                <w:noProof/>
                <w:webHidden/>
              </w:rPr>
              <w:fldChar w:fldCharType="begin"/>
            </w:r>
            <w:r>
              <w:rPr>
                <w:noProof/>
                <w:webHidden/>
              </w:rPr>
              <w:instrText xml:space="preserve"> PAGEREF _Toc218984770 \h </w:instrText>
            </w:r>
            <w:r>
              <w:rPr>
                <w:noProof/>
                <w:webHidden/>
              </w:rPr>
            </w:r>
            <w:r>
              <w:rPr>
                <w:noProof/>
                <w:webHidden/>
              </w:rPr>
              <w:fldChar w:fldCharType="separate"/>
            </w:r>
            <w:r>
              <w:rPr>
                <w:noProof/>
                <w:webHidden/>
              </w:rPr>
              <w:t>35</w:t>
            </w:r>
            <w:r>
              <w:rPr>
                <w:noProof/>
                <w:webHidden/>
              </w:rPr>
              <w:fldChar w:fldCharType="end"/>
            </w:r>
          </w:hyperlink>
        </w:p>
        <w:p w14:paraId="09EF5AC1" w14:textId="185BB589" w:rsidR="0046750B" w:rsidRPr="0046750B" w:rsidRDefault="0046750B">
          <w:pPr>
            <w:rPr>
              <w:rFonts w:ascii="Times New Roman" w:hAnsi="Times New Roman" w:cs="Times New Roman"/>
            </w:rPr>
          </w:pPr>
          <w:r w:rsidRPr="00FE4D86">
            <w:rPr>
              <w:rFonts w:ascii="Times New Roman" w:hAnsi="Times New Roman" w:cs="Times New Roman"/>
              <w:b/>
              <w:bCs/>
              <w:noProof/>
            </w:rPr>
            <w:fldChar w:fldCharType="end"/>
          </w:r>
        </w:p>
      </w:sdtContent>
    </w:sdt>
    <w:p w14:paraId="626EB77E" w14:textId="77777777" w:rsidR="008428C1" w:rsidRPr="0046750B" w:rsidRDefault="008428C1" w:rsidP="00BF3296">
      <w:pPr>
        <w:spacing w:line="360" w:lineRule="auto"/>
        <w:jc w:val="both"/>
        <w:rPr>
          <w:rFonts w:ascii="Times New Roman" w:hAnsi="Times New Roman" w:cs="Times New Roman"/>
        </w:rPr>
      </w:pPr>
    </w:p>
    <w:p w14:paraId="3B1F8F14" w14:textId="77777777" w:rsidR="008428C1" w:rsidRDefault="008428C1" w:rsidP="00BF3296">
      <w:pPr>
        <w:spacing w:line="360" w:lineRule="auto"/>
        <w:jc w:val="both"/>
        <w:rPr>
          <w:rFonts w:ascii="Times New Roman" w:hAnsi="Times New Roman" w:cs="Times New Roman"/>
        </w:rPr>
      </w:pPr>
    </w:p>
    <w:p w14:paraId="316070A2" w14:textId="77777777" w:rsidR="008428C1" w:rsidRDefault="008428C1" w:rsidP="00BF3296">
      <w:pPr>
        <w:spacing w:line="360" w:lineRule="auto"/>
        <w:jc w:val="both"/>
        <w:rPr>
          <w:rFonts w:ascii="Times New Roman" w:hAnsi="Times New Roman" w:cs="Times New Roman"/>
        </w:rPr>
      </w:pPr>
    </w:p>
    <w:p w14:paraId="7D4B3BD4" w14:textId="77777777" w:rsidR="008428C1" w:rsidRDefault="008428C1" w:rsidP="00BF3296">
      <w:pPr>
        <w:spacing w:line="360" w:lineRule="auto"/>
        <w:jc w:val="both"/>
        <w:rPr>
          <w:rFonts w:ascii="Times New Roman" w:hAnsi="Times New Roman" w:cs="Times New Roman"/>
        </w:rPr>
      </w:pPr>
    </w:p>
    <w:p w14:paraId="0F95F5C0" w14:textId="77777777" w:rsidR="008428C1" w:rsidRDefault="008428C1" w:rsidP="00BF3296">
      <w:pPr>
        <w:spacing w:line="360" w:lineRule="auto"/>
        <w:jc w:val="both"/>
        <w:rPr>
          <w:rFonts w:ascii="Times New Roman" w:hAnsi="Times New Roman" w:cs="Times New Roman"/>
        </w:rPr>
      </w:pPr>
    </w:p>
    <w:p w14:paraId="76289C9E" w14:textId="77777777" w:rsidR="005C3C5E" w:rsidRDefault="005C3C5E" w:rsidP="00BF3296">
      <w:pPr>
        <w:spacing w:line="360" w:lineRule="auto"/>
        <w:jc w:val="both"/>
        <w:rPr>
          <w:rFonts w:ascii="Times New Roman" w:hAnsi="Times New Roman" w:cs="Times New Roman"/>
          <w:b/>
          <w:bCs/>
        </w:rPr>
      </w:pPr>
    </w:p>
    <w:p w14:paraId="49595666" w14:textId="78C73E5B" w:rsidR="00BF3296" w:rsidRPr="00BF3296" w:rsidRDefault="00BF3296" w:rsidP="008428C1">
      <w:pPr>
        <w:pStyle w:val="Heading1"/>
      </w:pPr>
      <w:bookmarkStart w:id="4" w:name="_Toc218984723"/>
      <w:r w:rsidRPr="00BF3296">
        <w:lastRenderedPageBreak/>
        <w:t>Introduction</w:t>
      </w:r>
      <w:bookmarkEnd w:id="4"/>
    </w:p>
    <w:p w14:paraId="764EC409" w14:textId="57FC662C" w:rsidR="00BF3296" w:rsidRPr="00BF3296" w:rsidRDefault="00BF3296" w:rsidP="00BF3296">
      <w:pPr>
        <w:spacing w:line="360" w:lineRule="auto"/>
        <w:jc w:val="both"/>
        <w:rPr>
          <w:rFonts w:ascii="Times New Roman" w:hAnsi="Times New Roman" w:cs="Times New Roman"/>
        </w:rPr>
      </w:pPr>
      <w:r w:rsidRPr="000F3EE7">
        <w:rPr>
          <w:rFonts w:ascii="Times New Roman" w:hAnsi="Times New Roman" w:cs="Times New Roman"/>
        </w:rPr>
        <w:t>Coca Cola HBC is a packaged goods business that is a strategic bottling partner of Coca-Cola. It is one of the world’s largest bottlers, with its branches in 29 countries worldwide across most major economies and also developing and emerging ones. The group has had a successful fiscal year of 2024, with its Integrated Annual Report hinting at a year of improvement, due to strategies such as great revenue management practices, product enhancement, and cost control</w:t>
      </w:r>
      <w:sdt>
        <w:sdtPr>
          <w:rPr>
            <w:rFonts w:ascii="Times New Roman" w:hAnsi="Times New Roman" w:cs="Times New Roman"/>
          </w:rPr>
          <w:id w:val="-1192840159"/>
          <w:citation/>
        </w:sdtPr>
        <w:sdtEndPr/>
        <w:sdtContent>
          <w:r w:rsidR="000B2DED">
            <w:rPr>
              <w:rFonts w:ascii="Times New Roman" w:hAnsi="Times New Roman" w:cs="Times New Roman"/>
            </w:rPr>
            <w:fldChar w:fldCharType="begin"/>
          </w:r>
          <w:r w:rsidR="000B2DED">
            <w:rPr>
              <w:rFonts w:ascii="Times New Roman" w:hAnsi="Times New Roman" w:cs="Times New Roman"/>
              <w:lang w:val="en-US"/>
            </w:rPr>
            <w:instrText xml:space="preserve"> CITATION Pal20 \l 1033 </w:instrText>
          </w:r>
          <w:r w:rsidR="000B2DED">
            <w:rPr>
              <w:rFonts w:ascii="Times New Roman" w:hAnsi="Times New Roman" w:cs="Times New Roman"/>
            </w:rPr>
            <w:fldChar w:fldCharType="separate"/>
          </w:r>
          <w:r w:rsidR="00734073">
            <w:rPr>
              <w:rFonts w:ascii="Times New Roman" w:hAnsi="Times New Roman" w:cs="Times New Roman"/>
              <w:noProof/>
              <w:lang w:val="en-US"/>
            </w:rPr>
            <w:t xml:space="preserve"> </w:t>
          </w:r>
          <w:r w:rsidR="00734073" w:rsidRPr="00734073">
            <w:rPr>
              <w:rFonts w:ascii="Times New Roman" w:hAnsi="Times New Roman" w:cs="Times New Roman"/>
              <w:noProof/>
              <w:lang w:val="en-US"/>
            </w:rPr>
            <w:t>(Palepu &amp; Healy, 2020)</w:t>
          </w:r>
          <w:r w:rsidR="000B2DED">
            <w:rPr>
              <w:rFonts w:ascii="Times New Roman" w:hAnsi="Times New Roman" w:cs="Times New Roman"/>
            </w:rPr>
            <w:fldChar w:fldCharType="end"/>
          </w:r>
        </w:sdtContent>
      </w:sdt>
      <w:r w:rsidRPr="000F3EE7">
        <w:rPr>
          <w:rFonts w:ascii="Times New Roman" w:hAnsi="Times New Roman" w:cs="Times New Roman"/>
        </w:rPr>
        <w:t>. Financial analysis is an essential business practice for the company, as it operates in markets that significantly vary from one another, with different customer needs, purchase power, inflation, and currencies</w:t>
      </w:r>
      <w:sdt>
        <w:sdtPr>
          <w:rPr>
            <w:rFonts w:ascii="Times New Roman" w:hAnsi="Times New Roman" w:cs="Times New Roman"/>
          </w:rPr>
          <w:id w:val="-1038968888"/>
          <w:citation/>
        </w:sdtPr>
        <w:sdtEndPr/>
        <w:sdtContent>
          <w:r w:rsidR="006B2124">
            <w:rPr>
              <w:rFonts w:ascii="Times New Roman" w:hAnsi="Times New Roman" w:cs="Times New Roman"/>
            </w:rPr>
            <w:fldChar w:fldCharType="begin"/>
          </w:r>
          <w:r w:rsidR="006B2124">
            <w:rPr>
              <w:rFonts w:ascii="Times New Roman" w:hAnsi="Times New Roman" w:cs="Times New Roman"/>
              <w:lang w:val="en-US"/>
            </w:rPr>
            <w:instrText xml:space="preserve"> CITATION Bes13 \l 1033 </w:instrText>
          </w:r>
          <w:r w:rsidR="006B2124">
            <w:rPr>
              <w:rFonts w:ascii="Times New Roman" w:hAnsi="Times New Roman" w:cs="Times New Roman"/>
            </w:rPr>
            <w:fldChar w:fldCharType="separate"/>
          </w:r>
          <w:r w:rsidR="00734073">
            <w:rPr>
              <w:rFonts w:ascii="Times New Roman" w:hAnsi="Times New Roman" w:cs="Times New Roman"/>
              <w:noProof/>
              <w:lang w:val="en-US"/>
            </w:rPr>
            <w:t xml:space="preserve"> </w:t>
          </w:r>
          <w:r w:rsidR="00734073" w:rsidRPr="00734073">
            <w:rPr>
              <w:rFonts w:ascii="Times New Roman" w:hAnsi="Times New Roman" w:cs="Times New Roman"/>
              <w:noProof/>
              <w:lang w:val="en-US"/>
            </w:rPr>
            <w:t>(Best, 2013)</w:t>
          </w:r>
          <w:r w:rsidR="006B2124">
            <w:rPr>
              <w:rFonts w:ascii="Times New Roman" w:hAnsi="Times New Roman" w:cs="Times New Roman"/>
            </w:rPr>
            <w:fldChar w:fldCharType="end"/>
          </w:r>
        </w:sdtContent>
      </w:sdt>
      <w:r w:rsidRPr="000F3EE7">
        <w:rPr>
          <w:rFonts w:ascii="Times New Roman" w:hAnsi="Times New Roman" w:cs="Times New Roman"/>
        </w:rPr>
        <w:t xml:space="preserve">. It is essential for internal communication between the company’s different branches. </w:t>
      </w:r>
    </w:p>
    <w:p w14:paraId="0684B406" w14:textId="693A708C" w:rsidR="00BF3296" w:rsidRDefault="000F3EE7" w:rsidP="00BF3296">
      <w:pPr>
        <w:spacing w:line="360" w:lineRule="auto"/>
        <w:jc w:val="both"/>
        <w:rPr>
          <w:rFonts w:ascii="Times New Roman" w:hAnsi="Times New Roman" w:cs="Times New Roman"/>
        </w:rPr>
      </w:pPr>
      <w:r w:rsidRPr="000F3EE7">
        <w:rPr>
          <w:rFonts w:ascii="Times New Roman" w:hAnsi="Times New Roman" w:cs="Times New Roman"/>
        </w:rPr>
        <w:t>In</w:t>
      </w:r>
      <w:r w:rsidR="00CE216E">
        <w:rPr>
          <w:rFonts w:ascii="Times New Roman" w:hAnsi="Times New Roman" w:cs="Times New Roman"/>
        </w:rPr>
        <w:t xml:space="preserve"> part 1 of</w:t>
      </w:r>
      <w:r w:rsidRPr="000F3EE7">
        <w:rPr>
          <w:rFonts w:ascii="Times New Roman" w:hAnsi="Times New Roman" w:cs="Times New Roman"/>
        </w:rPr>
        <w:t xml:space="preserve"> this report, the financial performance and position of the company Coca-Cola HBC is analysed </w:t>
      </w:r>
      <w:r>
        <w:rPr>
          <w:rFonts w:ascii="Times New Roman" w:hAnsi="Times New Roman" w:cs="Times New Roman"/>
        </w:rPr>
        <w:t xml:space="preserve">and evaluated using the financial information from Integrated Annual Reports of the years 2023 and 2024. In this report, the key areas that are focused on include </w:t>
      </w:r>
      <w:r w:rsidRPr="000F3EE7">
        <w:rPr>
          <w:rFonts w:ascii="Times New Roman" w:hAnsi="Times New Roman" w:cs="Times New Roman"/>
        </w:rPr>
        <w:t>profitability, liquidity, efficiency, solvency, and investor performance</w:t>
      </w:r>
      <w:sdt>
        <w:sdtPr>
          <w:rPr>
            <w:rFonts w:ascii="Times New Roman" w:hAnsi="Times New Roman" w:cs="Times New Roman"/>
          </w:rPr>
          <w:id w:val="-1955394065"/>
          <w:citation/>
        </w:sdtPr>
        <w:sdtEndPr/>
        <w:sdtContent>
          <w:r w:rsidR="006B2124">
            <w:rPr>
              <w:rFonts w:ascii="Times New Roman" w:hAnsi="Times New Roman" w:cs="Times New Roman"/>
            </w:rPr>
            <w:fldChar w:fldCharType="begin"/>
          </w:r>
          <w:r w:rsidR="006B2124">
            <w:rPr>
              <w:rFonts w:ascii="Times New Roman" w:hAnsi="Times New Roman" w:cs="Times New Roman"/>
              <w:lang w:val="en-US"/>
            </w:rPr>
            <w:instrText xml:space="preserve"> CITATION Ale17 \l 1033 </w:instrText>
          </w:r>
          <w:r w:rsidR="006B2124">
            <w:rPr>
              <w:rFonts w:ascii="Times New Roman" w:hAnsi="Times New Roman" w:cs="Times New Roman"/>
            </w:rPr>
            <w:fldChar w:fldCharType="separate"/>
          </w:r>
          <w:r w:rsidR="00734073">
            <w:rPr>
              <w:rFonts w:ascii="Times New Roman" w:hAnsi="Times New Roman" w:cs="Times New Roman"/>
              <w:noProof/>
              <w:lang w:val="en-US"/>
            </w:rPr>
            <w:t xml:space="preserve"> </w:t>
          </w:r>
          <w:r w:rsidR="00734073" w:rsidRPr="00734073">
            <w:rPr>
              <w:rFonts w:ascii="Times New Roman" w:hAnsi="Times New Roman" w:cs="Times New Roman"/>
              <w:noProof/>
              <w:lang w:val="en-US"/>
            </w:rPr>
            <w:t>(Alexander &amp; Britton, 2017)</w:t>
          </w:r>
          <w:r w:rsidR="006B2124">
            <w:rPr>
              <w:rFonts w:ascii="Times New Roman" w:hAnsi="Times New Roman" w:cs="Times New Roman"/>
            </w:rPr>
            <w:fldChar w:fldCharType="end"/>
          </w:r>
        </w:sdtContent>
      </w:sdt>
      <w:r>
        <w:rPr>
          <w:rFonts w:ascii="Times New Roman" w:hAnsi="Times New Roman" w:cs="Times New Roman"/>
        </w:rPr>
        <w:t xml:space="preserve">. </w:t>
      </w:r>
      <w:r w:rsidR="003F00EB">
        <w:rPr>
          <w:rFonts w:ascii="Times New Roman" w:hAnsi="Times New Roman" w:cs="Times New Roman"/>
        </w:rPr>
        <w:t>The information that is used in the calculation of these ratios come from the published reports of the organization’s financial statements and have been interpreted thoroughly taking into mind the group’s operations, pricing strategy, and capital managemen</w:t>
      </w:r>
      <w:r w:rsidR="00B85D7D">
        <w:rPr>
          <w:rFonts w:ascii="Times New Roman" w:hAnsi="Times New Roman" w:cs="Times New Roman"/>
        </w:rPr>
        <w:t>t</w:t>
      </w:r>
      <w:sdt>
        <w:sdtPr>
          <w:rPr>
            <w:rFonts w:ascii="Times New Roman" w:hAnsi="Times New Roman" w:cs="Times New Roman"/>
          </w:rPr>
          <w:id w:val="-1945069852"/>
          <w:citation/>
        </w:sdtPr>
        <w:sdtEndPr/>
        <w:sdtContent>
          <w:r w:rsidR="00B85D7D">
            <w:rPr>
              <w:rFonts w:ascii="Times New Roman" w:hAnsi="Times New Roman" w:cs="Times New Roman"/>
            </w:rPr>
            <w:fldChar w:fldCharType="begin"/>
          </w:r>
          <w:r w:rsidR="00B85D7D">
            <w:rPr>
              <w:rFonts w:ascii="Times New Roman" w:hAnsi="Times New Roman" w:cs="Times New Roman"/>
              <w:lang w:val="en-US"/>
            </w:rPr>
            <w:instrText xml:space="preserve"> CITATION Dru20 \l 1033 </w:instrText>
          </w:r>
          <w:r w:rsidR="00B85D7D">
            <w:rPr>
              <w:rFonts w:ascii="Times New Roman" w:hAnsi="Times New Roman" w:cs="Times New Roman"/>
            </w:rPr>
            <w:fldChar w:fldCharType="separate"/>
          </w:r>
          <w:r w:rsidR="00734073">
            <w:rPr>
              <w:rFonts w:ascii="Times New Roman" w:hAnsi="Times New Roman" w:cs="Times New Roman"/>
              <w:noProof/>
              <w:lang w:val="en-US"/>
            </w:rPr>
            <w:t xml:space="preserve"> </w:t>
          </w:r>
          <w:r w:rsidR="00734073" w:rsidRPr="00734073">
            <w:rPr>
              <w:rFonts w:ascii="Times New Roman" w:hAnsi="Times New Roman" w:cs="Times New Roman"/>
              <w:noProof/>
              <w:lang w:val="en-US"/>
            </w:rPr>
            <w:t>(Drury, 2020)</w:t>
          </w:r>
          <w:r w:rsidR="00B85D7D">
            <w:rPr>
              <w:rFonts w:ascii="Times New Roman" w:hAnsi="Times New Roman" w:cs="Times New Roman"/>
            </w:rPr>
            <w:fldChar w:fldCharType="end"/>
          </w:r>
        </w:sdtContent>
      </w:sdt>
      <w:r w:rsidR="003F00EB">
        <w:rPr>
          <w:rFonts w:ascii="Times New Roman" w:hAnsi="Times New Roman" w:cs="Times New Roman"/>
        </w:rPr>
        <w:t>. The aim of this report is not only to calculate these ratios for better insight into the business performance of the organization, but to find better insights into the financial position, sustainable business performance, and risk profile of the company</w:t>
      </w:r>
      <w:sdt>
        <w:sdtPr>
          <w:rPr>
            <w:rFonts w:ascii="Times New Roman" w:hAnsi="Times New Roman" w:cs="Times New Roman"/>
          </w:rPr>
          <w:id w:val="-1318949768"/>
          <w:citation/>
        </w:sdtPr>
        <w:sdtEndPr/>
        <w:sdtContent>
          <w:r w:rsidR="00B85D7D">
            <w:rPr>
              <w:rFonts w:ascii="Times New Roman" w:hAnsi="Times New Roman" w:cs="Times New Roman"/>
            </w:rPr>
            <w:fldChar w:fldCharType="begin"/>
          </w:r>
          <w:r w:rsidR="00B85D7D">
            <w:rPr>
              <w:rFonts w:ascii="Times New Roman" w:hAnsi="Times New Roman" w:cs="Times New Roman"/>
              <w:lang w:val="en-US"/>
            </w:rPr>
            <w:instrText xml:space="preserve"> CITATION Atr06 \l 1033 </w:instrText>
          </w:r>
          <w:r w:rsidR="00B85D7D">
            <w:rPr>
              <w:rFonts w:ascii="Times New Roman" w:hAnsi="Times New Roman" w:cs="Times New Roman"/>
            </w:rPr>
            <w:fldChar w:fldCharType="separate"/>
          </w:r>
          <w:r w:rsidR="00734073">
            <w:rPr>
              <w:rFonts w:ascii="Times New Roman" w:hAnsi="Times New Roman" w:cs="Times New Roman"/>
              <w:noProof/>
              <w:lang w:val="en-US"/>
            </w:rPr>
            <w:t xml:space="preserve"> </w:t>
          </w:r>
          <w:r w:rsidR="00734073" w:rsidRPr="00734073">
            <w:rPr>
              <w:rFonts w:ascii="Times New Roman" w:hAnsi="Times New Roman" w:cs="Times New Roman"/>
              <w:noProof/>
              <w:lang w:val="en-US"/>
            </w:rPr>
            <w:t>(Atrill &amp; McLaney, 2006)</w:t>
          </w:r>
          <w:r w:rsidR="00B85D7D">
            <w:rPr>
              <w:rFonts w:ascii="Times New Roman" w:hAnsi="Times New Roman" w:cs="Times New Roman"/>
            </w:rPr>
            <w:fldChar w:fldCharType="end"/>
          </w:r>
        </w:sdtContent>
      </w:sdt>
      <w:r w:rsidR="003F00EB">
        <w:rPr>
          <w:rFonts w:ascii="Times New Roman" w:hAnsi="Times New Roman" w:cs="Times New Roman"/>
        </w:rPr>
        <w:t>. In this report, management-level insights have been provided for the company in regard to the important factors that drive progress and performance, capital management, and financing</w:t>
      </w:r>
      <w:sdt>
        <w:sdtPr>
          <w:rPr>
            <w:rFonts w:ascii="Times New Roman" w:hAnsi="Times New Roman" w:cs="Times New Roman"/>
          </w:rPr>
          <w:id w:val="-1943222248"/>
          <w:citation/>
        </w:sdtPr>
        <w:sdtEndPr/>
        <w:sdtContent>
          <w:r w:rsidR="00B85D7D">
            <w:rPr>
              <w:rFonts w:ascii="Times New Roman" w:hAnsi="Times New Roman" w:cs="Times New Roman"/>
            </w:rPr>
            <w:fldChar w:fldCharType="begin"/>
          </w:r>
          <w:r w:rsidR="00B85D7D">
            <w:rPr>
              <w:rFonts w:ascii="Times New Roman" w:hAnsi="Times New Roman" w:cs="Times New Roman"/>
              <w:lang w:val="en-US"/>
            </w:rPr>
            <w:instrText xml:space="preserve"> CITATION Bhi22 \l 1033 </w:instrText>
          </w:r>
          <w:r w:rsidR="00B85D7D">
            <w:rPr>
              <w:rFonts w:ascii="Times New Roman" w:hAnsi="Times New Roman" w:cs="Times New Roman"/>
            </w:rPr>
            <w:fldChar w:fldCharType="separate"/>
          </w:r>
          <w:r w:rsidR="00734073">
            <w:rPr>
              <w:rFonts w:ascii="Times New Roman" w:hAnsi="Times New Roman" w:cs="Times New Roman"/>
              <w:noProof/>
              <w:lang w:val="en-US"/>
            </w:rPr>
            <w:t xml:space="preserve"> </w:t>
          </w:r>
          <w:r w:rsidR="00734073" w:rsidRPr="00734073">
            <w:rPr>
              <w:rFonts w:ascii="Times New Roman" w:hAnsi="Times New Roman" w:cs="Times New Roman"/>
              <w:noProof/>
              <w:lang w:val="en-US"/>
            </w:rPr>
            <w:t>(Bhimani, 2022)</w:t>
          </w:r>
          <w:r w:rsidR="00B85D7D">
            <w:rPr>
              <w:rFonts w:ascii="Times New Roman" w:hAnsi="Times New Roman" w:cs="Times New Roman"/>
            </w:rPr>
            <w:fldChar w:fldCharType="end"/>
          </w:r>
        </w:sdtContent>
      </w:sdt>
      <w:r w:rsidR="003F00EB">
        <w:rPr>
          <w:rFonts w:ascii="Times New Roman" w:hAnsi="Times New Roman" w:cs="Times New Roman"/>
        </w:rPr>
        <w:t xml:space="preserve">. </w:t>
      </w:r>
    </w:p>
    <w:p w14:paraId="400F23A1" w14:textId="10A86F54" w:rsidR="00CE216E" w:rsidRDefault="00CE216E" w:rsidP="00BF3296">
      <w:pPr>
        <w:spacing w:line="360" w:lineRule="auto"/>
        <w:jc w:val="both"/>
        <w:rPr>
          <w:rFonts w:ascii="Times New Roman" w:hAnsi="Times New Roman" w:cs="Times New Roman"/>
        </w:rPr>
      </w:pPr>
      <w:r>
        <w:rPr>
          <w:rFonts w:ascii="Times New Roman" w:hAnsi="Times New Roman" w:cs="Times New Roman"/>
        </w:rPr>
        <w:t xml:space="preserve">In part 2 of this report, the investment options of the company </w:t>
      </w:r>
      <w:r w:rsidR="009E0602">
        <w:rPr>
          <w:rFonts w:ascii="Times New Roman" w:hAnsi="Times New Roman" w:cs="Times New Roman"/>
        </w:rPr>
        <w:t xml:space="preserve">Westward plc are analysed and evaluated using the different evaluation methods. The company has three business growth investment options for a period of 4 years. Such expansions come with huge risks, and may even cause the company to run out of business if the investment does not give sufficient returns on the capital investment of the company. This is why, the company must take all the possible variables before deciding on which option to go with. The main areas that the company must consider are the returns for the shareholders and the company for the capital it invested, the time it might take for the company to get its return fully from the venture, and how much profitability this company </w:t>
      </w:r>
      <w:r w:rsidR="009E0602">
        <w:rPr>
          <w:rFonts w:ascii="Times New Roman" w:hAnsi="Times New Roman" w:cs="Times New Roman"/>
        </w:rPr>
        <w:lastRenderedPageBreak/>
        <w:t>offers</w:t>
      </w:r>
      <w:sdt>
        <w:sdtPr>
          <w:rPr>
            <w:rFonts w:ascii="Times New Roman" w:hAnsi="Times New Roman" w:cs="Times New Roman"/>
          </w:rPr>
          <w:id w:val="-86155928"/>
          <w:citation/>
        </w:sdtPr>
        <w:sdtEndPr/>
        <w:sdtContent>
          <w:r w:rsidR="000B2DED">
            <w:rPr>
              <w:rFonts w:ascii="Times New Roman" w:hAnsi="Times New Roman" w:cs="Times New Roman"/>
            </w:rPr>
            <w:fldChar w:fldCharType="begin"/>
          </w:r>
          <w:r w:rsidR="000B2DED">
            <w:rPr>
              <w:rFonts w:ascii="Times New Roman" w:hAnsi="Times New Roman" w:cs="Times New Roman"/>
              <w:lang w:val="en-US"/>
            </w:rPr>
            <w:instrText xml:space="preserve"> CITATION Oak20 \l 1033 </w:instrText>
          </w:r>
          <w:r w:rsidR="000B2DED">
            <w:rPr>
              <w:rFonts w:ascii="Times New Roman" w:hAnsi="Times New Roman" w:cs="Times New Roman"/>
            </w:rPr>
            <w:fldChar w:fldCharType="separate"/>
          </w:r>
          <w:r w:rsidR="00734073">
            <w:rPr>
              <w:rFonts w:ascii="Times New Roman" w:hAnsi="Times New Roman" w:cs="Times New Roman"/>
              <w:noProof/>
              <w:lang w:val="en-US"/>
            </w:rPr>
            <w:t xml:space="preserve"> </w:t>
          </w:r>
          <w:r w:rsidR="00734073" w:rsidRPr="00734073">
            <w:rPr>
              <w:rFonts w:ascii="Times New Roman" w:hAnsi="Times New Roman" w:cs="Times New Roman"/>
              <w:noProof/>
              <w:lang w:val="en-US"/>
            </w:rPr>
            <w:t>(Oakshott, 2020)</w:t>
          </w:r>
          <w:r w:rsidR="000B2DED">
            <w:rPr>
              <w:rFonts w:ascii="Times New Roman" w:hAnsi="Times New Roman" w:cs="Times New Roman"/>
            </w:rPr>
            <w:fldChar w:fldCharType="end"/>
          </w:r>
        </w:sdtContent>
      </w:sdt>
      <w:r w:rsidR="009E0602">
        <w:rPr>
          <w:rFonts w:ascii="Times New Roman" w:hAnsi="Times New Roman" w:cs="Times New Roman"/>
        </w:rPr>
        <w:t xml:space="preserve">. </w:t>
      </w:r>
      <w:r w:rsidR="004F4B73">
        <w:rPr>
          <w:rFonts w:ascii="Times New Roman" w:hAnsi="Times New Roman" w:cs="Times New Roman"/>
        </w:rPr>
        <w:t xml:space="preserve">This report consults the directors of Westward plc in their business growth investment, in regards to which investment option they should choose and what are the factors that they must take into consideration. It uses the relevant methods, such as NPC, IRR, ARR etc. to make sure that the director </w:t>
      </w:r>
      <w:proofErr w:type="gramStart"/>
      <w:r w:rsidR="004F4B73">
        <w:rPr>
          <w:rFonts w:ascii="Times New Roman" w:hAnsi="Times New Roman" w:cs="Times New Roman"/>
        </w:rPr>
        <w:t>reach</w:t>
      </w:r>
      <w:proofErr w:type="gramEnd"/>
      <w:r w:rsidR="004F4B73">
        <w:rPr>
          <w:rFonts w:ascii="Times New Roman" w:hAnsi="Times New Roman" w:cs="Times New Roman"/>
        </w:rPr>
        <w:t xml:space="preserve"> their informed decisions. Moreover, it also </w:t>
      </w:r>
      <w:proofErr w:type="gramStart"/>
      <w:r w:rsidR="004F4B73">
        <w:rPr>
          <w:rFonts w:ascii="Times New Roman" w:hAnsi="Times New Roman" w:cs="Times New Roman"/>
        </w:rPr>
        <w:t>consult</w:t>
      </w:r>
      <w:proofErr w:type="gramEnd"/>
      <w:r w:rsidR="004F4B73">
        <w:rPr>
          <w:rFonts w:ascii="Times New Roman" w:hAnsi="Times New Roman" w:cs="Times New Roman"/>
        </w:rPr>
        <w:t xml:space="preserve"> the director on the environmental factors which influence the business success of their organization. </w:t>
      </w:r>
    </w:p>
    <w:p w14:paraId="281352BE" w14:textId="19795543" w:rsidR="00E47A6F" w:rsidRDefault="00E05925" w:rsidP="00E05925">
      <w:pPr>
        <w:pStyle w:val="Heading1"/>
      </w:pPr>
      <w:bookmarkStart w:id="5" w:name="_Toc218984724"/>
      <w:r>
        <w:t>Main Findings</w:t>
      </w:r>
      <w:bookmarkEnd w:id="5"/>
    </w:p>
    <w:p w14:paraId="422FDDD1" w14:textId="0FC43281" w:rsidR="008428C1" w:rsidRPr="00BF3296" w:rsidRDefault="008428C1" w:rsidP="008428C1">
      <w:pPr>
        <w:pStyle w:val="Heading1"/>
      </w:pPr>
      <w:bookmarkStart w:id="6" w:name="_Toc218984725"/>
      <w:r>
        <w:t>Part 1</w:t>
      </w:r>
      <w:bookmarkEnd w:id="6"/>
    </w:p>
    <w:p w14:paraId="2BFAF351" w14:textId="5E198C56" w:rsidR="00BF3296" w:rsidRPr="00BF3296" w:rsidRDefault="00BF3296" w:rsidP="008428C1">
      <w:pPr>
        <w:pStyle w:val="Heading2"/>
      </w:pPr>
      <w:bookmarkStart w:id="7" w:name="_Toc218984726"/>
      <w:r w:rsidRPr="00BF3296">
        <w:t>Profitability Analysis</w:t>
      </w:r>
      <w:bookmarkEnd w:id="7"/>
      <w:r w:rsidRPr="00BF3296">
        <w:t xml:space="preserve"> </w:t>
      </w:r>
    </w:p>
    <w:p w14:paraId="544ACE6F" w14:textId="718467D9" w:rsidR="003F00EB" w:rsidRPr="00BF3296" w:rsidRDefault="003F00EB" w:rsidP="00BF3296">
      <w:pPr>
        <w:spacing w:line="360" w:lineRule="auto"/>
        <w:jc w:val="both"/>
        <w:rPr>
          <w:rFonts w:ascii="Times New Roman" w:hAnsi="Times New Roman" w:cs="Times New Roman"/>
        </w:rPr>
      </w:pPr>
      <w:r>
        <w:rPr>
          <w:rFonts w:ascii="Times New Roman" w:hAnsi="Times New Roman" w:cs="Times New Roman"/>
        </w:rPr>
        <w:t xml:space="preserve">The ratios figured under profitability analysis is used to understand how effectively and efficiently Coca-Cola HBC </w:t>
      </w:r>
      <w:r w:rsidR="0055591F">
        <w:rPr>
          <w:rFonts w:ascii="Times New Roman" w:hAnsi="Times New Roman" w:cs="Times New Roman"/>
        </w:rPr>
        <w:t>gets profits from its sales and from the capital that is invested in the businesses</w:t>
      </w:r>
      <w:sdt>
        <w:sdtPr>
          <w:rPr>
            <w:rFonts w:ascii="Times New Roman" w:hAnsi="Times New Roman" w:cs="Times New Roman"/>
          </w:rPr>
          <w:id w:val="-1741633866"/>
          <w:citation/>
        </w:sdtPr>
        <w:sdtEndPr/>
        <w:sdtContent>
          <w:r w:rsidR="006B2124">
            <w:rPr>
              <w:rFonts w:ascii="Times New Roman" w:hAnsi="Times New Roman" w:cs="Times New Roman"/>
            </w:rPr>
            <w:fldChar w:fldCharType="begin"/>
          </w:r>
          <w:r w:rsidR="006B2124">
            <w:rPr>
              <w:rFonts w:ascii="Times New Roman" w:hAnsi="Times New Roman" w:cs="Times New Roman"/>
              <w:lang w:val="en-US"/>
            </w:rPr>
            <w:instrText xml:space="preserve"> CITATION Bra18 \l 1033 </w:instrText>
          </w:r>
          <w:r w:rsidR="006B2124">
            <w:rPr>
              <w:rFonts w:ascii="Times New Roman" w:hAnsi="Times New Roman" w:cs="Times New Roman"/>
            </w:rPr>
            <w:fldChar w:fldCharType="separate"/>
          </w:r>
          <w:r w:rsidR="00734073">
            <w:rPr>
              <w:rFonts w:ascii="Times New Roman" w:hAnsi="Times New Roman" w:cs="Times New Roman"/>
              <w:noProof/>
              <w:lang w:val="en-US"/>
            </w:rPr>
            <w:t xml:space="preserve"> </w:t>
          </w:r>
          <w:r w:rsidR="00734073" w:rsidRPr="00734073">
            <w:rPr>
              <w:rFonts w:ascii="Times New Roman" w:hAnsi="Times New Roman" w:cs="Times New Roman"/>
              <w:noProof/>
              <w:lang w:val="en-US"/>
            </w:rPr>
            <w:t>(Bragg, 2018)</w:t>
          </w:r>
          <w:r w:rsidR="006B2124">
            <w:rPr>
              <w:rFonts w:ascii="Times New Roman" w:hAnsi="Times New Roman" w:cs="Times New Roman"/>
            </w:rPr>
            <w:fldChar w:fldCharType="end"/>
          </w:r>
        </w:sdtContent>
      </w:sdt>
      <w:r w:rsidR="0055591F">
        <w:rPr>
          <w:rFonts w:ascii="Times New Roman" w:hAnsi="Times New Roman" w:cs="Times New Roman"/>
        </w:rPr>
        <w:t>. This is one of the most crucial statistics of a business, and is essential investors to support the business and to attract and retain stakeholders</w:t>
      </w:r>
      <w:sdt>
        <w:sdtPr>
          <w:rPr>
            <w:rFonts w:ascii="Times New Roman" w:hAnsi="Times New Roman" w:cs="Times New Roman"/>
          </w:rPr>
          <w:id w:val="665444163"/>
          <w:citation/>
        </w:sdtPr>
        <w:sdtEndPr/>
        <w:sdtContent>
          <w:r w:rsidR="000B2DED">
            <w:rPr>
              <w:rFonts w:ascii="Times New Roman" w:hAnsi="Times New Roman" w:cs="Times New Roman"/>
            </w:rPr>
            <w:fldChar w:fldCharType="begin"/>
          </w:r>
          <w:r w:rsidR="000B2DED">
            <w:rPr>
              <w:rFonts w:ascii="Times New Roman" w:hAnsi="Times New Roman" w:cs="Times New Roman"/>
              <w:lang w:val="en-US"/>
            </w:rPr>
            <w:instrText xml:space="preserve"> CITATION Van06 \l 1033 </w:instrText>
          </w:r>
          <w:r w:rsidR="000B2DED">
            <w:rPr>
              <w:rFonts w:ascii="Times New Roman" w:hAnsi="Times New Roman" w:cs="Times New Roman"/>
            </w:rPr>
            <w:fldChar w:fldCharType="separate"/>
          </w:r>
          <w:r w:rsidR="00734073">
            <w:rPr>
              <w:rFonts w:ascii="Times New Roman" w:hAnsi="Times New Roman" w:cs="Times New Roman"/>
              <w:noProof/>
              <w:lang w:val="en-US"/>
            </w:rPr>
            <w:t xml:space="preserve"> </w:t>
          </w:r>
          <w:r w:rsidR="00734073" w:rsidRPr="00734073">
            <w:rPr>
              <w:rFonts w:ascii="Times New Roman" w:hAnsi="Times New Roman" w:cs="Times New Roman"/>
              <w:noProof/>
              <w:lang w:val="en-US"/>
            </w:rPr>
            <w:t>(Van Greuning, 2006)</w:t>
          </w:r>
          <w:r w:rsidR="000B2DED">
            <w:rPr>
              <w:rFonts w:ascii="Times New Roman" w:hAnsi="Times New Roman" w:cs="Times New Roman"/>
            </w:rPr>
            <w:fldChar w:fldCharType="end"/>
          </w:r>
        </w:sdtContent>
      </w:sdt>
      <w:r w:rsidR="0055591F">
        <w:rPr>
          <w:rFonts w:ascii="Times New Roman" w:hAnsi="Times New Roman" w:cs="Times New Roman"/>
        </w:rPr>
        <w:t xml:space="preserve">. </w:t>
      </w:r>
    </w:p>
    <w:p w14:paraId="418DA8DE" w14:textId="36021769" w:rsidR="00BF3296" w:rsidRPr="00BF3296" w:rsidRDefault="00BF3296" w:rsidP="008428C1">
      <w:pPr>
        <w:pStyle w:val="Heading3"/>
      </w:pPr>
      <w:bookmarkStart w:id="8" w:name="_Toc218984727"/>
      <w:r w:rsidRPr="00BF3296">
        <w:t>Revenue and Margin Performance</w:t>
      </w:r>
      <w:bookmarkEnd w:id="8"/>
    </w:p>
    <w:p w14:paraId="799FCB25" w14:textId="3FF295DE" w:rsidR="006317BF" w:rsidRDefault="0055591F" w:rsidP="00BF3296">
      <w:pPr>
        <w:spacing w:line="360" w:lineRule="auto"/>
        <w:jc w:val="both"/>
        <w:rPr>
          <w:rFonts w:ascii="Times New Roman" w:hAnsi="Times New Roman" w:cs="Times New Roman"/>
        </w:rPr>
      </w:pPr>
      <w:r>
        <w:rPr>
          <w:rFonts w:ascii="Times New Roman" w:hAnsi="Times New Roman" w:cs="Times New Roman"/>
        </w:rPr>
        <w:t xml:space="preserve">In 2023, the net </w:t>
      </w:r>
      <w:r w:rsidR="004F4B73">
        <w:rPr>
          <w:rFonts w:ascii="Times New Roman" w:hAnsi="Times New Roman" w:cs="Times New Roman"/>
        </w:rPr>
        <w:t>revenue</w:t>
      </w:r>
      <w:r>
        <w:rPr>
          <w:rFonts w:ascii="Times New Roman" w:hAnsi="Times New Roman" w:cs="Times New Roman"/>
        </w:rPr>
        <w:t xml:space="preserve"> from sales of Coca-Cola HBC was </w:t>
      </w:r>
      <w:r w:rsidRPr="0055591F">
        <w:rPr>
          <w:rFonts w:ascii="Times New Roman" w:hAnsi="Times New Roman" w:cs="Times New Roman"/>
        </w:rPr>
        <w:t>£8,860.1 million</w:t>
      </w:r>
      <w:r>
        <w:rPr>
          <w:rFonts w:ascii="Times New Roman" w:hAnsi="Times New Roman" w:cs="Times New Roman"/>
        </w:rPr>
        <w:t xml:space="preserve">. In the next year, 2024, the </w:t>
      </w:r>
      <w:r w:rsidR="004F4B73">
        <w:rPr>
          <w:rFonts w:ascii="Times New Roman" w:hAnsi="Times New Roman" w:cs="Times New Roman"/>
        </w:rPr>
        <w:t>revenue</w:t>
      </w:r>
      <w:r>
        <w:rPr>
          <w:rFonts w:ascii="Times New Roman" w:hAnsi="Times New Roman" w:cs="Times New Roman"/>
        </w:rPr>
        <w:t xml:space="preserve"> from sales became </w:t>
      </w:r>
      <w:r w:rsidRPr="0055591F">
        <w:rPr>
          <w:rFonts w:ascii="Times New Roman" w:hAnsi="Times New Roman" w:cs="Times New Roman"/>
        </w:rPr>
        <w:t>£9,356.3 million</w:t>
      </w:r>
      <w:r>
        <w:rPr>
          <w:rFonts w:ascii="Times New Roman" w:hAnsi="Times New Roman" w:cs="Times New Roman"/>
        </w:rPr>
        <w:t>. There is a marked improvement in the revenue from sales, due to better pricing, product mix, and more volume of sales from different markets. However, revenue does not effectively reflect the business success of an organization. For that, profit margins serve far better</w:t>
      </w:r>
      <w:sdt>
        <w:sdtPr>
          <w:rPr>
            <w:rFonts w:ascii="Times New Roman" w:hAnsi="Times New Roman" w:cs="Times New Roman"/>
          </w:rPr>
          <w:id w:val="-1796973320"/>
          <w:citation/>
        </w:sdtPr>
        <w:sdtEndPr/>
        <w:sdtContent>
          <w:r w:rsidR="00E526A9">
            <w:rPr>
              <w:rFonts w:ascii="Times New Roman" w:hAnsi="Times New Roman" w:cs="Times New Roman"/>
            </w:rPr>
            <w:fldChar w:fldCharType="begin"/>
          </w:r>
          <w:r w:rsidR="00E526A9">
            <w:rPr>
              <w:rFonts w:ascii="Times New Roman" w:hAnsi="Times New Roman" w:cs="Times New Roman"/>
              <w:lang w:val="en-US"/>
            </w:rPr>
            <w:instrText xml:space="preserve"> CITATION Ker17 \l 1033 </w:instrText>
          </w:r>
          <w:r w:rsidR="00E526A9">
            <w:rPr>
              <w:rFonts w:ascii="Times New Roman" w:hAnsi="Times New Roman" w:cs="Times New Roman"/>
            </w:rPr>
            <w:fldChar w:fldCharType="separate"/>
          </w:r>
          <w:r w:rsidR="00734073">
            <w:rPr>
              <w:rFonts w:ascii="Times New Roman" w:hAnsi="Times New Roman" w:cs="Times New Roman"/>
              <w:noProof/>
              <w:lang w:val="en-US"/>
            </w:rPr>
            <w:t xml:space="preserve"> </w:t>
          </w:r>
          <w:r w:rsidR="00734073" w:rsidRPr="00734073">
            <w:rPr>
              <w:rFonts w:ascii="Times New Roman" w:hAnsi="Times New Roman" w:cs="Times New Roman"/>
              <w:noProof/>
              <w:lang w:val="en-US"/>
            </w:rPr>
            <w:t>(Kersten, et al., 2017)</w:t>
          </w:r>
          <w:r w:rsidR="00E526A9">
            <w:rPr>
              <w:rFonts w:ascii="Times New Roman" w:hAnsi="Times New Roman" w:cs="Times New Roman"/>
            </w:rPr>
            <w:fldChar w:fldCharType="end"/>
          </w:r>
        </w:sdtContent>
      </w:sdt>
      <w:r>
        <w:rPr>
          <w:rFonts w:ascii="Times New Roman" w:hAnsi="Times New Roman" w:cs="Times New Roman"/>
        </w:rPr>
        <w:t xml:space="preserve">. </w:t>
      </w:r>
    </w:p>
    <w:p w14:paraId="5EFAD208" w14:textId="69E19732" w:rsidR="00BF3296" w:rsidRPr="00BF3296" w:rsidRDefault="00E52030" w:rsidP="00BF3296">
      <w:pPr>
        <w:spacing w:line="360" w:lineRule="auto"/>
        <w:jc w:val="both"/>
        <w:rPr>
          <w:rFonts w:ascii="Times New Roman" w:hAnsi="Times New Roman" w:cs="Times New Roman"/>
        </w:rPr>
      </w:pPr>
      <w:r>
        <w:rPr>
          <w:rFonts w:ascii="Times New Roman" w:hAnsi="Times New Roman" w:cs="Times New Roman"/>
        </w:rPr>
        <w:t xml:space="preserve">An increase in the gross profit margin can be seen from 2023 to 2024. In 2-23, the gross profit margin was </w:t>
      </w:r>
      <w:r w:rsidRPr="00E52030">
        <w:rPr>
          <w:rFonts w:ascii="Times New Roman" w:hAnsi="Times New Roman" w:cs="Times New Roman"/>
        </w:rPr>
        <w:t>34.93%</w:t>
      </w:r>
      <w:r>
        <w:rPr>
          <w:rFonts w:ascii="Times New Roman" w:hAnsi="Times New Roman" w:cs="Times New Roman"/>
        </w:rPr>
        <w:t xml:space="preserve">. In 2024, however, the gross profit margin became </w:t>
      </w:r>
      <w:r w:rsidRPr="00BF3296">
        <w:rPr>
          <w:rFonts w:ascii="Times New Roman" w:hAnsi="Times New Roman" w:cs="Times New Roman"/>
        </w:rPr>
        <w:t>36.06%</w:t>
      </w:r>
      <w:r>
        <w:rPr>
          <w:rFonts w:ascii="Times New Roman" w:hAnsi="Times New Roman" w:cs="Times New Roman"/>
        </w:rPr>
        <w:t xml:space="preserve">. This shows an improvement in efficiency in sale and production. </w:t>
      </w:r>
      <w:r w:rsidR="005D1F5A">
        <w:rPr>
          <w:rFonts w:ascii="Times New Roman" w:hAnsi="Times New Roman" w:cs="Times New Roman"/>
        </w:rPr>
        <w:t>This increase suggests that Coca-Cola HBC was able to increase prices of its products, reorient itself towards higher-margin products, or control cost of production to increase profit</w:t>
      </w:r>
      <w:sdt>
        <w:sdtPr>
          <w:rPr>
            <w:rFonts w:ascii="Times New Roman" w:hAnsi="Times New Roman" w:cs="Times New Roman"/>
          </w:rPr>
          <w:id w:val="1691102270"/>
          <w:citation/>
        </w:sdtPr>
        <w:sdtEndPr/>
        <w:sdtContent>
          <w:r w:rsidR="005E7537">
            <w:rPr>
              <w:rFonts w:ascii="Times New Roman" w:hAnsi="Times New Roman" w:cs="Times New Roman"/>
            </w:rPr>
            <w:fldChar w:fldCharType="begin"/>
          </w:r>
          <w:r w:rsidR="005E7537">
            <w:rPr>
              <w:rFonts w:ascii="Times New Roman" w:hAnsi="Times New Roman" w:cs="Times New Roman"/>
              <w:lang w:val="en-US"/>
            </w:rPr>
            <w:instrText xml:space="preserve"> CITATION Blo25 \l 1033 </w:instrText>
          </w:r>
          <w:r w:rsidR="005E7537">
            <w:rPr>
              <w:rFonts w:ascii="Times New Roman" w:hAnsi="Times New Roman" w:cs="Times New Roman"/>
            </w:rPr>
            <w:fldChar w:fldCharType="separate"/>
          </w:r>
          <w:r w:rsidR="00734073">
            <w:rPr>
              <w:rFonts w:ascii="Times New Roman" w:hAnsi="Times New Roman" w:cs="Times New Roman"/>
              <w:noProof/>
              <w:lang w:val="en-US"/>
            </w:rPr>
            <w:t xml:space="preserve"> </w:t>
          </w:r>
          <w:r w:rsidR="00734073" w:rsidRPr="00734073">
            <w:rPr>
              <w:rFonts w:ascii="Times New Roman" w:hAnsi="Times New Roman" w:cs="Times New Roman"/>
              <w:noProof/>
              <w:lang w:val="en-US"/>
            </w:rPr>
            <w:t>(Bloomenthal, 2025)</w:t>
          </w:r>
          <w:r w:rsidR="005E7537">
            <w:rPr>
              <w:rFonts w:ascii="Times New Roman" w:hAnsi="Times New Roman" w:cs="Times New Roman"/>
            </w:rPr>
            <w:fldChar w:fldCharType="end"/>
          </w:r>
        </w:sdtContent>
      </w:sdt>
      <w:r w:rsidR="005D1F5A">
        <w:rPr>
          <w:rFonts w:ascii="Times New Roman" w:hAnsi="Times New Roman" w:cs="Times New Roman"/>
        </w:rPr>
        <w:t xml:space="preserve">. As Coca-Cola HBC is a bottling business, its production cost is significantly influenced by the price of raw materials, packaging materials, labour costs, logistics, and energy. Moreover, since the market is significantly saturated, and Coca-Cola has already achieved maximum market penetration, increasing profitability margins in such a </w:t>
      </w:r>
      <w:proofErr w:type="gramStart"/>
      <w:r w:rsidR="005D1F5A">
        <w:rPr>
          <w:rFonts w:ascii="Times New Roman" w:hAnsi="Times New Roman" w:cs="Times New Roman"/>
        </w:rPr>
        <w:t>scenario hints</w:t>
      </w:r>
      <w:proofErr w:type="gramEnd"/>
      <w:r w:rsidR="005D1F5A">
        <w:rPr>
          <w:rFonts w:ascii="Times New Roman" w:hAnsi="Times New Roman" w:cs="Times New Roman"/>
        </w:rPr>
        <w:t xml:space="preserve"> at the company having significant control and flexibility over its </w:t>
      </w:r>
      <w:r w:rsidR="005D1F5A">
        <w:rPr>
          <w:rFonts w:ascii="Times New Roman" w:hAnsi="Times New Roman" w:cs="Times New Roman"/>
        </w:rPr>
        <w:lastRenderedPageBreak/>
        <w:t xml:space="preserve">operations. What this means is that the company can hold onto significant amount of revenue after paying for the costs, which it could then reinvest into other business practices. </w:t>
      </w:r>
    </w:p>
    <w:p w14:paraId="575875EA" w14:textId="26234457" w:rsidR="00BF3296" w:rsidRPr="00BF3296" w:rsidRDefault="00BF3296" w:rsidP="008428C1">
      <w:pPr>
        <w:pStyle w:val="Heading3"/>
      </w:pPr>
      <w:bookmarkStart w:id="9" w:name="_Toc218984728"/>
      <w:r w:rsidRPr="00BF3296">
        <w:t>Operating and Net Profitability</w:t>
      </w:r>
      <w:bookmarkEnd w:id="9"/>
    </w:p>
    <w:p w14:paraId="77B07942" w14:textId="77777777" w:rsidR="00BF3296" w:rsidRPr="00BF3296" w:rsidRDefault="00BF3296" w:rsidP="00E05925">
      <w:pPr>
        <w:pStyle w:val="Heading3"/>
      </w:pPr>
      <w:bookmarkStart w:id="10" w:name="_Toc218984729"/>
      <w:r w:rsidRPr="00BF3296">
        <w:t>Operating Profit Margin</w:t>
      </w:r>
      <w:bookmarkEnd w:id="10"/>
    </w:p>
    <w:p w14:paraId="457226D3" w14:textId="2676D1A0" w:rsidR="005D1F5A" w:rsidRDefault="005D1F5A" w:rsidP="00BF3296">
      <w:pPr>
        <w:spacing w:line="360" w:lineRule="auto"/>
        <w:jc w:val="both"/>
        <w:rPr>
          <w:rFonts w:ascii="Times New Roman" w:hAnsi="Times New Roman" w:cs="Times New Roman"/>
        </w:rPr>
      </w:pPr>
      <w:r>
        <w:rPr>
          <w:rFonts w:ascii="Times New Roman" w:hAnsi="Times New Roman" w:cs="Times New Roman"/>
        </w:rPr>
        <w:t>Operating profit margin refers to the proportion of revenue that a company can hold onto after paying for its operating costs, before taxes and financing</w:t>
      </w:r>
      <w:sdt>
        <w:sdtPr>
          <w:rPr>
            <w:rFonts w:ascii="Times New Roman" w:hAnsi="Times New Roman" w:cs="Times New Roman"/>
          </w:rPr>
          <w:id w:val="639928914"/>
          <w:citation/>
        </w:sdtPr>
        <w:sdtEndPr/>
        <w:sdtContent>
          <w:r w:rsidR="00B85D7D">
            <w:rPr>
              <w:rFonts w:ascii="Times New Roman" w:hAnsi="Times New Roman" w:cs="Times New Roman"/>
            </w:rPr>
            <w:fldChar w:fldCharType="begin"/>
          </w:r>
          <w:r w:rsidR="00B85D7D">
            <w:rPr>
              <w:rFonts w:ascii="Times New Roman" w:hAnsi="Times New Roman" w:cs="Times New Roman"/>
              <w:lang w:val="en-US"/>
            </w:rPr>
            <w:instrText xml:space="preserve"> CITATION Atr16 \l 1033 </w:instrText>
          </w:r>
          <w:r w:rsidR="00B85D7D">
            <w:rPr>
              <w:rFonts w:ascii="Times New Roman" w:hAnsi="Times New Roman" w:cs="Times New Roman"/>
            </w:rPr>
            <w:fldChar w:fldCharType="separate"/>
          </w:r>
          <w:r w:rsidR="00734073">
            <w:rPr>
              <w:rFonts w:ascii="Times New Roman" w:hAnsi="Times New Roman" w:cs="Times New Roman"/>
              <w:noProof/>
              <w:lang w:val="en-US"/>
            </w:rPr>
            <w:t xml:space="preserve"> </w:t>
          </w:r>
          <w:r w:rsidR="00734073" w:rsidRPr="00734073">
            <w:rPr>
              <w:rFonts w:ascii="Times New Roman" w:hAnsi="Times New Roman" w:cs="Times New Roman"/>
              <w:noProof/>
              <w:lang w:val="en-US"/>
            </w:rPr>
            <w:t>(Atrill &amp; McLaney, 2016)</w:t>
          </w:r>
          <w:r w:rsidR="00B85D7D">
            <w:rPr>
              <w:rFonts w:ascii="Times New Roman" w:hAnsi="Times New Roman" w:cs="Times New Roman"/>
            </w:rPr>
            <w:fldChar w:fldCharType="end"/>
          </w:r>
        </w:sdtContent>
      </w:sdt>
      <w:r>
        <w:rPr>
          <w:rFonts w:ascii="Times New Roman" w:hAnsi="Times New Roman" w:cs="Times New Roman"/>
        </w:rPr>
        <w:t>. This ratio reflects the business performance and management of operating expenses</w:t>
      </w:r>
      <w:sdt>
        <w:sdtPr>
          <w:rPr>
            <w:rFonts w:ascii="Times New Roman" w:hAnsi="Times New Roman" w:cs="Times New Roman"/>
          </w:rPr>
          <w:id w:val="-1918079647"/>
          <w:citation/>
        </w:sdtPr>
        <w:sdtEndPr/>
        <w:sdtContent>
          <w:r w:rsidR="00317C5B">
            <w:rPr>
              <w:rFonts w:ascii="Times New Roman" w:hAnsi="Times New Roman" w:cs="Times New Roman"/>
            </w:rPr>
            <w:fldChar w:fldCharType="begin"/>
          </w:r>
          <w:r w:rsidR="00317C5B">
            <w:rPr>
              <w:rFonts w:ascii="Times New Roman" w:hAnsi="Times New Roman" w:cs="Times New Roman"/>
              <w:lang w:val="en-US"/>
            </w:rPr>
            <w:instrText xml:space="preserve"> CITATION Pal18 \l 1033 </w:instrText>
          </w:r>
          <w:r w:rsidR="00317C5B">
            <w:rPr>
              <w:rFonts w:ascii="Times New Roman" w:hAnsi="Times New Roman" w:cs="Times New Roman"/>
            </w:rPr>
            <w:fldChar w:fldCharType="separate"/>
          </w:r>
          <w:r w:rsidR="00734073">
            <w:rPr>
              <w:rFonts w:ascii="Times New Roman" w:hAnsi="Times New Roman" w:cs="Times New Roman"/>
              <w:noProof/>
              <w:lang w:val="en-US"/>
            </w:rPr>
            <w:t xml:space="preserve"> </w:t>
          </w:r>
          <w:r w:rsidR="00734073" w:rsidRPr="00734073">
            <w:rPr>
              <w:rFonts w:ascii="Times New Roman" w:hAnsi="Times New Roman" w:cs="Times New Roman"/>
              <w:noProof/>
              <w:lang w:val="en-US"/>
            </w:rPr>
            <w:t>(Palmer, 2018)</w:t>
          </w:r>
          <w:r w:rsidR="00317C5B">
            <w:rPr>
              <w:rFonts w:ascii="Times New Roman" w:hAnsi="Times New Roman" w:cs="Times New Roman"/>
            </w:rPr>
            <w:fldChar w:fldCharType="end"/>
          </w:r>
        </w:sdtContent>
      </w:sdt>
      <w:r>
        <w:rPr>
          <w:rFonts w:ascii="Times New Roman" w:hAnsi="Times New Roman" w:cs="Times New Roman"/>
        </w:rPr>
        <w:t xml:space="preserve">. </w:t>
      </w:r>
    </w:p>
    <w:p w14:paraId="5E8697CF" w14:textId="5CC8E8AE" w:rsidR="005D1F5A" w:rsidRPr="00BF3296" w:rsidRDefault="005D1F5A" w:rsidP="00BF3296">
      <w:pPr>
        <w:spacing w:line="360" w:lineRule="auto"/>
        <w:jc w:val="both"/>
        <w:rPr>
          <w:rFonts w:ascii="Times New Roman" w:hAnsi="Times New Roman" w:cs="Times New Roman"/>
        </w:rPr>
      </w:pPr>
      <w:r>
        <w:rPr>
          <w:rFonts w:ascii="Times New Roman" w:hAnsi="Times New Roman" w:cs="Times New Roman"/>
        </w:rPr>
        <w:t xml:space="preserve">There is an increase in the operating margin from the year 2023 in the year 2024. In the year 2023 the operating margin was </w:t>
      </w:r>
      <w:r w:rsidRPr="005D1F5A">
        <w:rPr>
          <w:rFonts w:ascii="Times New Roman" w:hAnsi="Times New Roman" w:cs="Times New Roman"/>
        </w:rPr>
        <w:t>9.36%</w:t>
      </w:r>
      <w:r>
        <w:rPr>
          <w:rFonts w:ascii="Times New Roman" w:hAnsi="Times New Roman" w:cs="Times New Roman"/>
        </w:rPr>
        <w:t xml:space="preserve">. In the year 2024 the operating margin was </w:t>
      </w:r>
      <w:r w:rsidR="006C1D3F" w:rsidRPr="006C1D3F">
        <w:rPr>
          <w:rFonts w:ascii="Times New Roman" w:hAnsi="Times New Roman" w:cs="Times New Roman"/>
        </w:rPr>
        <w:t>11.02%</w:t>
      </w:r>
      <w:r w:rsidR="006C1D3F">
        <w:rPr>
          <w:rFonts w:ascii="Times New Roman" w:hAnsi="Times New Roman" w:cs="Times New Roman"/>
        </w:rPr>
        <w:t>. This is an improvement in operating profitability. This suggests that Coca-Cola HBC was able to grow its revenue and at the same time control its production costs. This would explain why its profit rose faster than its sales</w:t>
      </w:r>
      <w:sdt>
        <w:sdtPr>
          <w:rPr>
            <w:rFonts w:ascii="Times New Roman" w:hAnsi="Times New Roman" w:cs="Times New Roman"/>
          </w:rPr>
          <w:id w:val="-427419736"/>
          <w:citation/>
        </w:sdtPr>
        <w:sdtEndPr/>
        <w:sdtContent>
          <w:r w:rsidR="00CF2A49">
            <w:rPr>
              <w:rFonts w:ascii="Times New Roman" w:hAnsi="Times New Roman" w:cs="Times New Roman"/>
            </w:rPr>
            <w:fldChar w:fldCharType="begin"/>
          </w:r>
          <w:r w:rsidR="00CF2A49">
            <w:rPr>
              <w:rFonts w:ascii="Times New Roman" w:hAnsi="Times New Roman" w:cs="Times New Roman"/>
              <w:lang w:val="en-US"/>
            </w:rPr>
            <w:instrText xml:space="preserve"> CITATION Hay25 \l 1033 </w:instrText>
          </w:r>
          <w:r w:rsidR="00CF2A49">
            <w:rPr>
              <w:rFonts w:ascii="Times New Roman" w:hAnsi="Times New Roman" w:cs="Times New Roman"/>
            </w:rPr>
            <w:fldChar w:fldCharType="separate"/>
          </w:r>
          <w:r w:rsidR="00734073">
            <w:rPr>
              <w:rFonts w:ascii="Times New Roman" w:hAnsi="Times New Roman" w:cs="Times New Roman"/>
              <w:noProof/>
              <w:lang w:val="en-US"/>
            </w:rPr>
            <w:t xml:space="preserve"> </w:t>
          </w:r>
          <w:r w:rsidR="00734073" w:rsidRPr="00734073">
            <w:rPr>
              <w:rFonts w:ascii="Times New Roman" w:hAnsi="Times New Roman" w:cs="Times New Roman"/>
              <w:noProof/>
              <w:lang w:val="en-US"/>
            </w:rPr>
            <w:t>(Hayes, 2025)</w:t>
          </w:r>
          <w:r w:rsidR="00CF2A49">
            <w:rPr>
              <w:rFonts w:ascii="Times New Roman" w:hAnsi="Times New Roman" w:cs="Times New Roman"/>
            </w:rPr>
            <w:fldChar w:fldCharType="end"/>
          </w:r>
        </w:sdtContent>
      </w:sdt>
      <w:r w:rsidR="006C1D3F">
        <w:rPr>
          <w:rFonts w:ascii="Times New Roman" w:hAnsi="Times New Roman" w:cs="Times New Roman"/>
        </w:rPr>
        <w:t xml:space="preserve">. </w:t>
      </w:r>
    </w:p>
    <w:p w14:paraId="06133F85" w14:textId="77777777" w:rsidR="00BF3296" w:rsidRDefault="00BF3296" w:rsidP="00E05925">
      <w:pPr>
        <w:pStyle w:val="Heading3"/>
      </w:pPr>
      <w:bookmarkStart w:id="11" w:name="_Toc218984730"/>
      <w:r w:rsidRPr="00BF3296">
        <w:t>Net Profit Margin</w:t>
      </w:r>
      <w:bookmarkEnd w:id="11"/>
    </w:p>
    <w:p w14:paraId="55F0DF6B" w14:textId="67A8C7D5" w:rsidR="00472813" w:rsidRDefault="00472813" w:rsidP="00BF3296">
      <w:pPr>
        <w:spacing w:line="360" w:lineRule="auto"/>
        <w:jc w:val="both"/>
        <w:rPr>
          <w:rFonts w:ascii="Times New Roman" w:hAnsi="Times New Roman" w:cs="Times New Roman"/>
        </w:rPr>
      </w:pPr>
      <w:r w:rsidRPr="00472813">
        <w:rPr>
          <w:rFonts w:ascii="Times New Roman" w:hAnsi="Times New Roman" w:cs="Times New Roman"/>
        </w:rPr>
        <w:t>Net profit margin refers to how much revenue a company has at its disposal after costs, interests, and taxes</w:t>
      </w:r>
      <w:sdt>
        <w:sdtPr>
          <w:rPr>
            <w:rFonts w:ascii="Times New Roman" w:hAnsi="Times New Roman" w:cs="Times New Roman"/>
          </w:rPr>
          <w:id w:val="1274126414"/>
          <w:citation/>
        </w:sdtPr>
        <w:sdtEndPr/>
        <w:sdtContent>
          <w:r w:rsidR="005E6D8E">
            <w:rPr>
              <w:rFonts w:ascii="Times New Roman" w:hAnsi="Times New Roman" w:cs="Times New Roman"/>
            </w:rPr>
            <w:fldChar w:fldCharType="begin"/>
          </w:r>
          <w:r w:rsidR="005E6D8E">
            <w:rPr>
              <w:rFonts w:ascii="Times New Roman" w:hAnsi="Times New Roman" w:cs="Times New Roman"/>
              <w:lang w:val="en-US"/>
            </w:rPr>
            <w:instrText xml:space="preserve"> CITATION Pal25 \l 1033 </w:instrText>
          </w:r>
          <w:r w:rsidR="005E6D8E">
            <w:rPr>
              <w:rFonts w:ascii="Times New Roman" w:hAnsi="Times New Roman" w:cs="Times New Roman"/>
            </w:rPr>
            <w:fldChar w:fldCharType="separate"/>
          </w:r>
          <w:r w:rsidR="00734073">
            <w:rPr>
              <w:rFonts w:ascii="Times New Roman" w:hAnsi="Times New Roman" w:cs="Times New Roman"/>
              <w:noProof/>
              <w:lang w:val="en-US"/>
            </w:rPr>
            <w:t xml:space="preserve"> </w:t>
          </w:r>
          <w:r w:rsidR="00734073" w:rsidRPr="00734073">
            <w:rPr>
              <w:rFonts w:ascii="Times New Roman" w:hAnsi="Times New Roman" w:cs="Times New Roman"/>
              <w:noProof/>
              <w:lang w:val="en-US"/>
            </w:rPr>
            <w:t>(Palasciano, 2025)</w:t>
          </w:r>
          <w:r w:rsidR="005E6D8E">
            <w:rPr>
              <w:rFonts w:ascii="Times New Roman" w:hAnsi="Times New Roman" w:cs="Times New Roman"/>
            </w:rPr>
            <w:fldChar w:fldCharType="end"/>
          </w:r>
        </w:sdtContent>
      </w:sdt>
      <w:r w:rsidRPr="00472813">
        <w:rPr>
          <w:rFonts w:ascii="Times New Roman" w:hAnsi="Times New Roman" w:cs="Times New Roman"/>
        </w:rPr>
        <w:t>.</w:t>
      </w:r>
    </w:p>
    <w:p w14:paraId="037D976A" w14:textId="395F6B2E" w:rsidR="00472813" w:rsidRPr="00BF3296" w:rsidRDefault="00472813" w:rsidP="00BF3296">
      <w:pPr>
        <w:spacing w:line="360" w:lineRule="auto"/>
        <w:jc w:val="both"/>
        <w:rPr>
          <w:rFonts w:ascii="Times New Roman" w:hAnsi="Times New Roman" w:cs="Times New Roman"/>
        </w:rPr>
      </w:pPr>
      <w:r>
        <w:rPr>
          <w:rFonts w:ascii="Times New Roman" w:hAnsi="Times New Roman" w:cs="Times New Roman"/>
        </w:rPr>
        <w:t xml:space="preserve">There was </w:t>
      </w:r>
      <w:r w:rsidR="00BD596F">
        <w:rPr>
          <w:rFonts w:ascii="Times New Roman" w:hAnsi="Times New Roman" w:cs="Times New Roman"/>
        </w:rPr>
        <w:t xml:space="preserve">an increase in the net margin from 2023 to 2024. In 2023 the net margin was </w:t>
      </w:r>
      <w:r w:rsidR="00BD596F" w:rsidRPr="00BD596F">
        <w:rPr>
          <w:rFonts w:ascii="Times New Roman" w:hAnsi="Times New Roman" w:cs="Times New Roman"/>
        </w:rPr>
        <w:t>6.24%</w:t>
      </w:r>
      <w:r w:rsidR="00BD596F">
        <w:rPr>
          <w:rFonts w:ascii="Times New Roman" w:hAnsi="Times New Roman" w:cs="Times New Roman"/>
        </w:rPr>
        <w:t xml:space="preserve">. In 2024 the net margin was </w:t>
      </w:r>
      <w:r w:rsidR="00BD596F" w:rsidRPr="00BD596F">
        <w:rPr>
          <w:rFonts w:ascii="Times New Roman" w:hAnsi="Times New Roman" w:cs="Times New Roman"/>
        </w:rPr>
        <w:t>7.62%</w:t>
      </w:r>
      <w:r w:rsidR="00BD596F">
        <w:rPr>
          <w:rFonts w:ascii="Times New Roman" w:hAnsi="Times New Roman" w:cs="Times New Roman"/>
        </w:rPr>
        <w:t>. This hints at the fact that Coca-Cola HBC was able to increase its operating performance. Moreover, in the context, it also says that the financing and taxation costs were left at a level where the company could not only remain profitable but increase its profits</w:t>
      </w:r>
      <w:sdt>
        <w:sdtPr>
          <w:rPr>
            <w:rFonts w:ascii="Times New Roman" w:hAnsi="Times New Roman" w:cs="Times New Roman"/>
          </w:rPr>
          <w:id w:val="-1351027863"/>
          <w:citation/>
        </w:sdtPr>
        <w:sdtEndPr/>
        <w:sdtContent>
          <w:r w:rsidR="0080033C">
            <w:rPr>
              <w:rFonts w:ascii="Times New Roman" w:hAnsi="Times New Roman" w:cs="Times New Roman"/>
            </w:rPr>
            <w:fldChar w:fldCharType="begin"/>
          </w:r>
          <w:r w:rsidR="0080033C">
            <w:rPr>
              <w:rFonts w:ascii="Times New Roman" w:hAnsi="Times New Roman" w:cs="Times New Roman"/>
              <w:lang w:val="en-US"/>
            </w:rPr>
            <w:instrText xml:space="preserve"> CITATION Cla12 \l 1033 </w:instrText>
          </w:r>
          <w:r w:rsidR="0080033C">
            <w:rPr>
              <w:rFonts w:ascii="Times New Roman" w:hAnsi="Times New Roman" w:cs="Times New Roman"/>
            </w:rPr>
            <w:fldChar w:fldCharType="separate"/>
          </w:r>
          <w:r w:rsidR="00734073">
            <w:rPr>
              <w:rFonts w:ascii="Times New Roman" w:hAnsi="Times New Roman" w:cs="Times New Roman"/>
              <w:noProof/>
              <w:lang w:val="en-US"/>
            </w:rPr>
            <w:t xml:space="preserve"> </w:t>
          </w:r>
          <w:r w:rsidR="00734073" w:rsidRPr="00734073">
            <w:rPr>
              <w:rFonts w:ascii="Times New Roman" w:hAnsi="Times New Roman" w:cs="Times New Roman"/>
              <w:noProof/>
              <w:lang w:val="en-US"/>
            </w:rPr>
            <w:t>(Clayman, et al., 2012)</w:t>
          </w:r>
          <w:r w:rsidR="0080033C">
            <w:rPr>
              <w:rFonts w:ascii="Times New Roman" w:hAnsi="Times New Roman" w:cs="Times New Roman"/>
            </w:rPr>
            <w:fldChar w:fldCharType="end"/>
          </w:r>
        </w:sdtContent>
      </w:sdt>
      <w:r w:rsidR="00BD596F">
        <w:rPr>
          <w:rFonts w:ascii="Times New Roman" w:hAnsi="Times New Roman" w:cs="Times New Roman"/>
        </w:rPr>
        <w:t xml:space="preserve">. </w:t>
      </w:r>
    </w:p>
    <w:p w14:paraId="0DE84809" w14:textId="2D5E2B0E" w:rsidR="00BF3296" w:rsidRPr="00BF3296" w:rsidRDefault="00BF3296" w:rsidP="00BF3296">
      <w:pPr>
        <w:spacing w:line="360" w:lineRule="auto"/>
        <w:jc w:val="both"/>
        <w:rPr>
          <w:rFonts w:ascii="Times New Roman" w:hAnsi="Times New Roman" w:cs="Times New Roman"/>
        </w:rPr>
      </w:pPr>
    </w:p>
    <w:p w14:paraId="23203C77" w14:textId="7BBD87DB" w:rsidR="00BF3296" w:rsidRPr="00BF3296" w:rsidRDefault="00BF3296" w:rsidP="008428C1">
      <w:pPr>
        <w:pStyle w:val="Heading3"/>
      </w:pPr>
      <w:bookmarkStart w:id="12" w:name="_Toc218984731"/>
      <w:r w:rsidRPr="00BF3296">
        <w:t>Return Measures: ROCE and ROE</w:t>
      </w:r>
      <w:bookmarkEnd w:id="12"/>
    </w:p>
    <w:p w14:paraId="0B69C012" w14:textId="521ED438" w:rsidR="00BD596F" w:rsidRPr="00BF3296" w:rsidRDefault="00BD596F" w:rsidP="00BF3296">
      <w:pPr>
        <w:spacing w:line="360" w:lineRule="auto"/>
        <w:jc w:val="both"/>
        <w:rPr>
          <w:rFonts w:ascii="Times New Roman" w:hAnsi="Times New Roman" w:cs="Times New Roman"/>
        </w:rPr>
      </w:pPr>
      <w:r>
        <w:rPr>
          <w:rFonts w:ascii="Times New Roman" w:hAnsi="Times New Roman" w:cs="Times New Roman"/>
        </w:rPr>
        <w:t xml:space="preserve">In profit margins, the organization shows its performance on the basis of revenue. But in case of return ratio, the organization shows its performance on the basis of the capital that was invested. </w:t>
      </w:r>
    </w:p>
    <w:p w14:paraId="7024C037" w14:textId="7CFADCA9" w:rsidR="00BF3296" w:rsidRPr="00BD596F" w:rsidRDefault="00BF3296" w:rsidP="00E05925">
      <w:pPr>
        <w:pStyle w:val="Heading3"/>
      </w:pPr>
      <w:bookmarkStart w:id="13" w:name="_Toc218984732"/>
      <w:r w:rsidRPr="00BF3296">
        <w:t>Return on Capital Employed (ROCE)</w:t>
      </w:r>
      <w:bookmarkStart w:id="14" w:name="_Hlk218839860"/>
      <w:bookmarkEnd w:id="13"/>
    </w:p>
    <w:bookmarkEnd w:id="14"/>
    <w:p w14:paraId="20EAB535" w14:textId="77777777" w:rsidR="007B3FAC" w:rsidRDefault="00BD596F" w:rsidP="00BF3296">
      <w:pPr>
        <w:spacing w:line="360" w:lineRule="auto"/>
        <w:jc w:val="both"/>
        <w:rPr>
          <w:rFonts w:ascii="Times New Roman" w:hAnsi="Times New Roman" w:cs="Times New Roman"/>
        </w:rPr>
      </w:pPr>
      <w:r>
        <w:rPr>
          <w:rFonts w:ascii="Times New Roman" w:hAnsi="Times New Roman" w:cs="Times New Roman"/>
        </w:rPr>
        <w:t xml:space="preserve">In ROCE ratio, it measures the return that the organization and its stakeholders got from the capital that was employed in its operations, using Operating Profit </w:t>
      </w:r>
      <w:r w:rsidRPr="00BD596F">
        <w:rPr>
          <w:rFonts w:ascii="Times New Roman" w:hAnsi="Times New Roman" w:cs="Times New Roman"/>
        </w:rPr>
        <w:t>(PBIT).</w:t>
      </w:r>
      <w:r w:rsidR="007B3FAC">
        <w:rPr>
          <w:rFonts w:ascii="Times New Roman" w:hAnsi="Times New Roman" w:cs="Times New Roman"/>
        </w:rPr>
        <w:t xml:space="preserve"> </w:t>
      </w:r>
    </w:p>
    <w:p w14:paraId="14C53810" w14:textId="153D5FC9" w:rsidR="00BD596F" w:rsidRPr="00BF3296" w:rsidRDefault="00DF2638" w:rsidP="00BF3296">
      <w:pPr>
        <w:spacing w:line="360" w:lineRule="auto"/>
        <w:jc w:val="both"/>
        <w:rPr>
          <w:rFonts w:ascii="Times New Roman" w:hAnsi="Times New Roman" w:cs="Times New Roman"/>
        </w:rPr>
      </w:pPr>
      <w:r>
        <w:rPr>
          <w:rFonts w:ascii="Times New Roman" w:hAnsi="Times New Roman" w:cs="Times New Roman"/>
        </w:rPr>
        <w:lastRenderedPageBreak/>
        <w:t xml:space="preserve">There was an improvement in Coca-Cola HBC’s ROCE from the year 2023 to the year 2024. In 2023 Coca-Cola HBC’s ROCE was </w:t>
      </w:r>
      <w:r w:rsidRPr="00DF2638">
        <w:rPr>
          <w:rFonts w:ascii="Times New Roman" w:hAnsi="Times New Roman" w:cs="Times New Roman"/>
        </w:rPr>
        <w:t>15.09%</w:t>
      </w:r>
      <w:r>
        <w:rPr>
          <w:rFonts w:ascii="Times New Roman" w:hAnsi="Times New Roman" w:cs="Times New Roman"/>
        </w:rPr>
        <w:t xml:space="preserve">. In 2024, Coca-Cola HBC’s ROCE was </w:t>
      </w:r>
      <w:r w:rsidRPr="00DF2638">
        <w:rPr>
          <w:rFonts w:ascii="Times New Roman" w:hAnsi="Times New Roman" w:cs="Times New Roman"/>
        </w:rPr>
        <w:t>17.73%,</w:t>
      </w:r>
      <w:r>
        <w:rPr>
          <w:rFonts w:ascii="Times New Roman" w:hAnsi="Times New Roman" w:cs="Times New Roman"/>
        </w:rPr>
        <w:t xml:space="preserve"> This increase was only possible due to the company’s efficient and effective use of its long-term capital. This goes on to show that the company has been sensible with its investment into production, logistics, and supply-manufacture infrastructure, and as a result got good returns from them</w:t>
      </w:r>
      <w:sdt>
        <w:sdtPr>
          <w:rPr>
            <w:rFonts w:ascii="Times New Roman" w:hAnsi="Times New Roman" w:cs="Times New Roman"/>
          </w:rPr>
          <w:id w:val="-469444493"/>
          <w:citation/>
        </w:sdtPr>
        <w:sdtEndPr/>
        <w:sdtContent>
          <w:r w:rsidR="000E39ED">
            <w:rPr>
              <w:rFonts w:ascii="Times New Roman" w:hAnsi="Times New Roman" w:cs="Times New Roman"/>
            </w:rPr>
            <w:fldChar w:fldCharType="begin"/>
          </w:r>
          <w:r w:rsidR="000E39ED">
            <w:rPr>
              <w:rFonts w:ascii="Times New Roman" w:hAnsi="Times New Roman" w:cs="Times New Roman"/>
              <w:lang w:val="en-US"/>
            </w:rPr>
            <w:instrText xml:space="preserve"> CITATION Fly21 \l 1033 </w:instrText>
          </w:r>
          <w:r w:rsidR="000E39ED">
            <w:rPr>
              <w:rFonts w:ascii="Times New Roman" w:hAnsi="Times New Roman" w:cs="Times New Roman"/>
            </w:rPr>
            <w:fldChar w:fldCharType="separate"/>
          </w:r>
          <w:r w:rsidR="00734073">
            <w:rPr>
              <w:rFonts w:ascii="Times New Roman" w:hAnsi="Times New Roman" w:cs="Times New Roman"/>
              <w:noProof/>
              <w:lang w:val="en-US"/>
            </w:rPr>
            <w:t xml:space="preserve"> </w:t>
          </w:r>
          <w:r w:rsidR="00734073" w:rsidRPr="00734073">
            <w:rPr>
              <w:rFonts w:ascii="Times New Roman" w:hAnsi="Times New Roman" w:cs="Times New Roman"/>
              <w:noProof/>
              <w:lang w:val="en-US"/>
            </w:rPr>
            <w:t>(Flynn, 2021)</w:t>
          </w:r>
          <w:r w:rsidR="000E39ED">
            <w:rPr>
              <w:rFonts w:ascii="Times New Roman" w:hAnsi="Times New Roman" w:cs="Times New Roman"/>
            </w:rPr>
            <w:fldChar w:fldCharType="end"/>
          </w:r>
        </w:sdtContent>
      </w:sdt>
      <w:r>
        <w:rPr>
          <w:rFonts w:ascii="Times New Roman" w:hAnsi="Times New Roman" w:cs="Times New Roman"/>
        </w:rPr>
        <w:t xml:space="preserve">. </w:t>
      </w:r>
    </w:p>
    <w:p w14:paraId="0BFE3354" w14:textId="77777777" w:rsidR="00BF3296" w:rsidRPr="00BF3296" w:rsidRDefault="00BF3296" w:rsidP="00E05925">
      <w:pPr>
        <w:pStyle w:val="Heading3"/>
      </w:pPr>
      <w:bookmarkStart w:id="15" w:name="_Toc218984733"/>
      <w:r w:rsidRPr="00BF3296">
        <w:t>Return on Equity (ROE)</w:t>
      </w:r>
      <w:bookmarkEnd w:id="15"/>
    </w:p>
    <w:p w14:paraId="5AF292C8" w14:textId="3FECC6D1" w:rsidR="00BF3296" w:rsidRDefault="00BF3296" w:rsidP="00BF3296">
      <w:pPr>
        <w:spacing w:line="360" w:lineRule="auto"/>
        <w:jc w:val="both"/>
        <w:rPr>
          <w:rFonts w:ascii="Times New Roman" w:hAnsi="Times New Roman" w:cs="Times New Roman"/>
        </w:rPr>
      </w:pPr>
      <w:r w:rsidRPr="00BF3296">
        <w:rPr>
          <w:rFonts w:ascii="Times New Roman" w:hAnsi="Times New Roman" w:cs="Times New Roman"/>
        </w:rPr>
        <w:t>ROE measures the return generated for shareholders.</w:t>
      </w:r>
      <w:r w:rsidR="007B3FAC">
        <w:rPr>
          <w:rFonts w:ascii="Times New Roman" w:hAnsi="Times New Roman" w:cs="Times New Roman"/>
        </w:rPr>
        <w:t xml:space="preserve"> </w:t>
      </w:r>
      <w:r w:rsidR="00DF2638">
        <w:rPr>
          <w:rFonts w:ascii="Times New Roman" w:hAnsi="Times New Roman" w:cs="Times New Roman"/>
        </w:rPr>
        <w:t>ROE, or Return on Equity, is the return that company gives to its shareholders</w:t>
      </w:r>
      <w:r w:rsidR="00D660B5">
        <w:rPr>
          <w:rFonts w:ascii="Times New Roman" w:hAnsi="Times New Roman" w:cs="Times New Roman"/>
        </w:rPr>
        <w:t xml:space="preserve">. There was an improvement in the percentage of ROE from 2023 to 2024. In the year 2023, the ROE was </w:t>
      </w:r>
      <w:r w:rsidR="00D660B5" w:rsidRPr="00D660B5">
        <w:rPr>
          <w:rFonts w:ascii="Times New Roman" w:hAnsi="Times New Roman" w:cs="Times New Roman"/>
        </w:rPr>
        <w:t>20.55%</w:t>
      </w:r>
      <w:r w:rsidR="00D660B5">
        <w:rPr>
          <w:rFonts w:ascii="Times New Roman" w:hAnsi="Times New Roman" w:cs="Times New Roman"/>
        </w:rPr>
        <w:t xml:space="preserve">. In 2024, it was </w:t>
      </w:r>
      <w:r w:rsidR="00D660B5" w:rsidRPr="00D660B5">
        <w:rPr>
          <w:rFonts w:ascii="Times New Roman" w:hAnsi="Times New Roman" w:cs="Times New Roman"/>
        </w:rPr>
        <w:t>25.57%</w:t>
      </w:r>
      <w:r w:rsidR="00D660B5">
        <w:rPr>
          <w:rFonts w:ascii="Times New Roman" w:hAnsi="Times New Roman" w:cs="Times New Roman"/>
        </w:rPr>
        <w:t>. This means that Coca-Cola HBC was able to add more value for its shareholders</w:t>
      </w:r>
      <w:sdt>
        <w:sdtPr>
          <w:rPr>
            <w:rFonts w:ascii="Times New Roman" w:hAnsi="Times New Roman" w:cs="Times New Roman"/>
          </w:rPr>
          <w:id w:val="736833804"/>
          <w:citation/>
        </w:sdtPr>
        <w:sdtEndPr/>
        <w:sdtContent>
          <w:r w:rsidR="00CF2A49">
            <w:rPr>
              <w:rFonts w:ascii="Times New Roman" w:hAnsi="Times New Roman" w:cs="Times New Roman"/>
            </w:rPr>
            <w:fldChar w:fldCharType="begin"/>
          </w:r>
          <w:r w:rsidR="00CF2A49">
            <w:rPr>
              <w:rFonts w:ascii="Times New Roman" w:hAnsi="Times New Roman" w:cs="Times New Roman"/>
              <w:lang w:val="en-US"/>
            </w:rPr>
            <w:instrText xml:space="preserve"> CITATION Fer25 \l 1033 </w:instrText>
          </w:r>
          <w:r w:rsidR="00CF2A49">
            <w:rPr>
              <w:rFonts w:ascii="Times New Roman" w:hAnsi="Times New Roman" w:cs="Times New Roman"/>
            </w:rPr>
            <w:fldChar w:fldCharType="separate"/>
          </w:r>
          <w:r w:rsidR="00734073">
            <w:rPr>
              <w:rFonts w:ascii="Times New Roman" w:hAnsi="Times New Roman" w:cs="Times New Roman"/>
              <w:noProof/>
              <w:lang w:val="en-US"/>
            </w:rPr>
            <w:t xml:space="preserve"> </w:t>
          </w:r>
          <w:r w:rsidR="00734073" w:rsidRPr="00734073">
            <w:rPr>
              <w:rFonts w:ascii="Times New Roman" w:hAnsi="Times New Roman" w:cs="Times New Roman"/>
              <w:noProof/>
              <w:lang w:val="en-US"/>
            </w:rPr>
            <w:t>(Fernando, 2025)</w:t>
          </w:r>
          <w:r w:rsidR="00CF2A49">
            <w:rPr>
              <w:rFonts w:ascii="Times New Roman" w:hAnsi="Times New Roman" w:cs="Times New Roman"/>
            </w:rPr>
            <w:fldChar w:fldCharType="end"/>
          </w:r>
        </w:sdtContent>
      </w:sdt>
      <w:r w:rsidR="00D660B5">
        <w:rPr>
          <w:rFonts w:ascii="Times New Roman" w:hAnsi="Times New Roman" w:cs="Times New Roman"/>
        </w:rPr>
        <w:t>. A company can get a higher ROE through increased profitability margins, better utilization of capital, and a more efficient financial standard</w:t>
      </w:r>
      <w:sdt>
        <w:sdtPr>
          <w:rPr>
            <w:rFonts w:ascii="Times New Roman" w:hAnsi="Times New Roman" w:cs="Times New Roman"/>
          </w:rPr>
          <w:id w:val="1652642598"/>
          <w:citation/>
        </w:sdtPr>
        <w:sdtEndPr/>
        <w:sdtContent>
          <w:r w:rsidR="00131504">
            <w:rPr>
              <w:rFonts w:ascii="Times New Roman" w:hAnsi="Times New Roman" w:cs="Times New Roman"/>
            </w:rPr>
            <w:fldChar w:fldCharType="begin"/>
          </w:r>
          <w:r w:rsidR="00131504">
            <w:rPr>
              <w:rFonts w:ascii="Times New Roman" w:hAnsi="Times New Roman" w:cs="Times New Roman"/>
              <w:lang w:val="en-US"/>
            </w:rPr>
            <w:instrText xml:space="preserve"> CITATION Gia15 \l 1033 </w:instrText>
          </w:r>
          <w:r w:rsidR="00131504">
            <w:rPr>
              <w:rFonts w:ascii="Times New Roman" w:hAnsi="Times New Roman" w:cs="Times New Roman"/>
            </w:rPr>
            <w:fldChar w:fldCharType="separate"/>
          </w:r>
          <w:r w:rsidR="00734073">
            <w:rPr>
              <w:rFonts w:ascii="Times New Roman" w:hAnsi="Times New Roman" w:cs="Times New Roman"/>
              <w:noProof/>
              <w:lang w:val="en-US"/>
            </w:rPr>
            <w:t xml:space="preserve"> </w:t>
          </w:r>
          <w:r w:rsidR="00734073" w:rsidRPr="00734073">
            <w:rPr>
              <w:rFonts w:ascii="Times New Roman" w:hAnsi="Times New Roman" w:cs="Times New Roman"/>
              <w:noProof/>
              <w:lang w:val="en-US"/>
            </w:rPr>
            <w:t>(Gianfrate &amp; Loewenthal, 2015)</w:t>
          </w:r>
          <w:r w:rsidR="00131504">
            <w:rPr>
              <w:rFonts w:ascii="Times New Roman" w:hAnsi="Times New Roman" w:cs="Times New Roman"/>
            </w:rPr>
            <w:fldChar w:fldCharType="end"/>
          </w:r>
        </w:sdtContent>
      </w:sdt>
      <w:r w:rsidR="00D660B5">
        <w:rPr>
          <w:rFonts w:ascii="Times New Roman" w:hAnsi="Times New Roman" w:cs="Times New Roman"/>
        </w:rPr>
        <w:t>.</w:t>
      </w:r>
    </w:p>
    <w:p w14:paraId="4775D6E0" w14:textId="18F4655D" w:rsidR="00D660B5" w:rsidRPr="00BF3296" w:rsidRDefault="00D660B5" w:rsidP="00BF3296">
      <w:pPr>
        <w:spacing w:line="360" w:lineRule="auto"/>
        <w:jc w:val="both"/>
        <w:rPr>
          <w:rFonts w:ascii="Times New Roman" w:hAnsi="Times New Roman" w:cs="Times New Roman"/>
        </w:rPr>
      </w:pPr>
      <w:r w:rsidRPr="00D660B5">
        <w:rPr>
          <w:rFonts w:ascii="Times New Roman" w:hAnsi="Times New Roman" w:cs="Times New Roman"/>
          <w:b/>
          <w:bCs/>
        </w:rPr>
        <w:t>Overall profitability conclusion</w:t>
      </w:r>
      <w:r>
        <w:rPr>
          <w:rFonts w:ascii="Times New Roman" w:hAnsi="Times New Roman" w:cs="Times New Roman"/>
        </w:rPr>
        <w:t xml:space="preserve">: The ratio shows that Coca-Cola HBC improved its organizational profitability across all domains. This indicates that business success and business growth during 2024. </w:t>
      </w:r>
    </w:p>
    <w:p w14:paraId="41130611" w14:textId="6D44A7EC" w:rsidR="00BF3296" w:rsidRPr="00D34EFC" w:rsidRDefault="00BF3296" w:rsidP="008428C1">
      <w:pPr>
        <w:pStyle w:val="Heading2"/>
      </w:pPr>
      <w:bookmarkStart w:id="16" w:name="_Toc218984734"/>
      <w:r w:rsidRPr="00BF3296">
        <w:t>Liquidity Analysis</w:t>
      </w:r>
      <w:bookmarkEnd w:id="16"/>
    </w:p>
    <w:p w14:paraId="037D665F" w14:textId="553508DF" w:rsidR="00D34EFC" w:rsidRPr="00BF3296" w:rsidRDefault="00D34EFC" w:rsidP="00BF3296">
      <w:pPr>
        <w:spacing w:line="360" w:lineRule="auto"/>
        <w:jc w:val="both"/>
        <w:rPr>
          <w:rFonts w:ascii="Times New Roman" w:hAnsi="Times New Roman" w:cs="Times New Roman"/>
        </w:rPr>
      </w:pPr>
      <w:r>
        <w:rPr>
          <w:rFonts w:ascii="Times New Roman" w:hAnsi="Times New Roman" w:cs="Times New Roman"/>
        </w:rPr>
        <w:t>Liquidity refers to the ability of a company to be able to meet its obligations in the short term. It is a really important metric of business performance for companies that are spread over multiple markets, as the flow of capital, payment for suppliers, and customer collection vary significantly across markets worldwide</w:t>
      </w:r>
      <w:sdt>
        <w:sdtPr>
          <w:rPr>
            <w:rFonts w:ascii="Times New Roman" w:hAnsi="Times New Roman" w:cs="Times New Roman"/>
          </w:rPr>
          <w:id w:val="-1439371119"/>
          <w:citation/>
        </w:sdtPr>
        <w:sdtEndPr/>
        <w:sdtContent>
          <w:r w:rsidR="005E7537">
            <w:rPr>
              <w:rFonts w:ascii="Times New Roman" w:hAnsi="Times New Roman" w:cs="Times New Roman"/>
            </w:rPr>
            <w:fldChar w:fldCharType="begin"/>
          </w:r>
          <w:r w:rsidR="005E7537">
            <w:rPr>
              <w:rFonts w:ascii="Times New Roman" w:hAnsi="Times New Roman" w:cs="Times New Roman"/>
              <w:lang w:val="en-US"/>
            </w:rPr>
            <w:instrText xml:space="preserve"> CITATION CFI20 \l 1033 </w:instrText>
          </w:r>
          <w:r w:rsidR="005E7537">
            <w:rPr>
              <w:rFonts w:ascii="Times New Roman" w:hAnsi="Times New Roman" w:cs="Times New Roman"/>
            </w:rPr>
            <w:fldChar w:fldCharType="separate"/>
          </w:r>
          <w:r w:rsidR="00734073">
            <w:rPr>
              <w:rFonts w:ascii="Times New Roman" w:hAnsi="Times New Roman" w:cs="Times New Roman"/>
              <w:noProof/>
              <w:lang w:val="en-US"/>
            </w:rPr>
            <w:t xml:space="preserve"> </w:t>
          </w:r>
          <w:r w:rsidR="00734073" w:rsidRPr="00734073">
            <w:rPr>
              <w:rFonts w:ascii="Times New Roman" w:hAnsi="Times New Roman" w:cs="Times New Roman"/>
              <w:noProof/>
              <w:lang w:val="en-US"/>
            </w:rPr>
            <w:t>(CFI, 2020)</w:t>
          </w:r>
          <w:r w:rsidR="005E7537">
            <w:rPr>
              <w:rFonts w:ascii="Times New Roman" w:hAnsi="Times New Roman" w:cs="Times New Roman"/>
            </w:rPr>
            <w:fldChar w:fldCharType="end"/>
          </w:r>
        </w:sdtContent>
      </w:sdt>
      <w:r>
        <w:rPr>
          <w:rFonts w:ascii="Times New Roman" w:hAnsi="Times New Roman" w:cs="Times New Roman"/>
        </w:rPr>
        <w:t xml:space="preserve">. </w:t>
      </w:r>
    </w:p>
    <w:p w14:paraId="11DC9BCF" w14:textId="57B29541" w:rsidR="00BF3296" w:rsidRPr="00BF3296" w:rsidRDefault="00BF3296" w:rsidP="008428C1">
      <w:pPr>
        <w:pStyle w:val="Heading3"/>
      </w:pPr>
      <w:bookmarkStart w:id="17" w:name="_Toc218984735"/>
      <w:r w:rsidRPr="00BF3296">
        <w:t>Current Ratio</w:t>
      </w:r>
      <w:bookmarkEnd w:id="17"/>
    </w:p>
    <w:p w14:paraId="63369493" w14:textId="756AE106" w:rsidR="00BF3296" w:rsidRPr="00BF3296" w:rsidRDefault="00BF3296" w:rsidP="00BF3296">
      <w:pPr>
        <w:spacing w:line="360" w:lineRule="auto"/>
        <w:jc w:val="both"/>
        <w:rPr>
          <w:rFonts w:ascii="Times New Roman" w:hAnsi="Times New Roman" w:cs="Times New Roman"/>
        </w:rPr>
      </w:pPr>
      <w:r w:rsidRPr="00BF3296">
        <w:rPr>
          <w:rFonts w:ascii="Times New Roman" w:hAnsi="Times New Roman" w:cs="Times New Roman"/>
        </w:rPr>
        <w:t>The current ratio compares current assets to current liabilities.</w:t>
      </w:r>
      <w:r w:rsidR="007B3FAC">
        <w:rPr>
          <w:rFonts w:ascii="Times New Roman" w:hAnsi="Times New Roman" w:cs="Times New Roman"/>
        </w:rPr>
        <w:t xml:space="preserve"> </w:t>
      </w:r>
      <w:r w:rsidR="00D34EFC">
        <w:rPr>
          <w:rFonts w:ascii="Times New Roman" w:hAnsi="Times New Roman" w:cs="Times New Roman"/>
        </w:rPr>
        <w:t xml:space="preserve">The current ratio is the company’s existing assets in proportion to its existing liabilities. </w:t>
      </w:r>
      <w:r w:rsidR="007B3FAC">
        <w:rPr>
          <w:rFonts w:ascii="Times New Roman" w:hAnsi="Times New Roman" w:cs="Times New Roman"/>
        </w:rPr>
        <w:t xml:space="preserve"> </w:t>
      </w:r>
      <w:r w:rsidR="00D34EFC">
        <w:rPr>
          <w:rFonts w:ascii="Times New Roman" w:hAnsi="Times New Roman" w:cs="Times New Roman"/>
        </w:rPr>
        <w:t>The current ratio only showed slight improvement from the year 2023 to the year 2024. In the year 2023, the current ratio for Coca-Cola HBC was 1.02. In the year 2024, the current ratio</w:t>
      </w:r>
      <w:r w:rsidR="0006257F">
        <w:rPr>
          <w:rFonts w:ascii="Times New Roman" w:hAnsi="Times New Roman" w:cs="Times New Roman"/>
        </w:rPr>
        <w:t xml:space="preserve"> is 1.06. This shows that the company only improved its short-term liquidity slightly. Moreover, that the value of current ratio is close to one suggests that the company only has limited liquidity buffer. This means that the company operates with regular flow of cash rather than keeping a strong liquidity reserve. This type of situation is </w:t>
      </w:r>
      <w:r w:rsidR="0006257F">
        <w:rPr>
          <w:rFonts w:ascii="Times New Roman" w:hAnsi="Times New Roman" w:cs="Times New Roman"/>
        </w:rPr>
        <w:lastRenderedPageBreak/>
        <w:t>sustainable for a fast-moving business with regular and predictable cashflows. In case of any disruption, however, the company would face a significant crisis.</w:t>
      </w:r>
    </w:p>
    <w:p w14:paraId="452B8052" w14:textId="331F7F3B" w:rsidR="00BF3296" w:rsidRPr="004805E7" w:rsidRDefault="00BF3296" w:rsidP="008428C1">
      <w:pPr>
        <w:pStyle w:val="Heading3"/>
      </w:pPr>
      <w:bookmarkStart w:id="18" w:name="_Toc218984736"/>
      <w:r w:rsidRPr="00BF3296">
        <w:t>Quick Ratio</w:t>
      </w:r>
      <w:bookmarkEnd w:id="18"/>
    </w:p>
    <w:p w14:paraId="7F3EADA0" w14:textId="121C5AD4" w:rsidR="004805E7" w:rsidRPr="00BF3296" w:rsidRDefault="004805E7" w:rsidP="00BF3296">
      <w:pPr>
        <w:spacing w:line="360" w:lineRule="auto"/>
        <w:jc w:val="both"/>
        <w:rPr>
          <w:rFonts w:ascii="Times New Roman" w:hAnsi="Times New Roman" w:cs="Times New Roman"/>
        </w:rPr>
      </w:pPr>
      <w:r>
        <w:rPr>
          <w:rFonts w:ascii="Times New Roman" w:hAnsi="Times New Roman" w:cs="Times New Roman"/>
        </w:rPr>
        <w:t xml:space="preserve">The quick ratio of an organization focuses on liquidity by removing the product inventory from the existing assets of the company. </w:t>
      </w:r>
    </w:p>
    <w:p w14:paraId="07895326" w14:textId="7AC65241" w:rsidR="00BF3296" w:rsidRPr="00BF3296" w:rsidRDefault="004805E7" w:rsidP="00BF3296">
      <w:pPr>
        <w:spacing w:line="360" w:lineRule="auto"/>
        <w:jc w:val="both"/>
        <w:rPr>
          <w:rFonts w:ascii="Times New Roman" w:hAnsi="Times New Roman" w:cs="Times New Roman"/>
        </w:rPr>
      </w:pPr>
      <w:r>
        <w:rPr>
          <w:rFonts w:ascii="Times New Roman" w:hAnsi="Times New Roman" w:cs="Times New Roman"/>
        </w:rPr>
        <w:t xml:space="preserve">The quick ratio for Coca-Cola HBC improved slightly from 2023 to 2024. In 2023 it was 0.81. In 2024 it was 0.86. But the ratio still remains below 1, despite the improvement. This means that without the price of the current product inventory, the company’s assets are unable to cover the liabilities that the company has. This further shows that Coca-Cola HBC relies on regular and predictable cash flows. This is common for large, consumer goods companies. However, this is vulnerable to market disruptions. </w:t>
      </w:r>
    </w:p>
    <w:p w14:paraId="3A479DF7" w14:textId="69EB8E4E" w:rsidR="00BF3296" w:rsidRPr="00BF3296" w:rsidRDefault="00BF3296" w:rsidP="008428C1">
      <w:pPr>
        <w:pStyle w:val="Heading3"/>
      </w:pPr>
      <w:bookmarkStart w:id="19" w:name="_Toc218984737"/>
      <w:r w:rsidRPr="00BF3296">
        <w:t>Working Capital Liquidity Implications</w:t>
      </w:r>
      <w:bookmarkEnd w:id="19"/>
    </w:p>
    <w:p w14:paraId="2534779B" w14:textId="7E038A5E" w:rsidR="00BF3296" w:rsidRDefault="00817BE2" w:rsidP="00BF3296">
      <w:pPr>
        <w:spacing w:line="360" w:lineRule="auto"/>
        <w:jc w:val="both"/>
        <w:rPr>
          <w:rFonts w:ascii="Times New Roman" w:hAnsi="Times New Roman" w:cs="Times New Roman"/>
        </w:rPr>
      </w:pPr>
      <w:r>
        <w:rPr>
          <w:rFonts w:ascii="Times New Roman" w:hAnsi="Times New Roman" w:cs="Times New Roman"/>
        </w:rPr>
        <w:t xml:space="preserve">Although Coca-Cola HBC’s liquidity ratios are seemingly low, </w:t>
      </w:r>
      <w:r w:rsidR="00125715">
        <w:rPr>
          <w:rFonts w:ascii="Times New Roman" w:hAnsi="Times New Roman" w:cs="Times New Roman"/>
        </w:rPr>
        <w:t>they make sense in the context of the company’s business</w:t>
      </w:r>
      <w:sdt>
        <w:sdtPr>
          <w:rPr>
            <w:rFonts w:ascii="Times New Roman" w:hAnsi="Times New Roman" w:cs="Times New Roman"/>
          </w:rPr>
          <w:id w:val="1777126992"/>
          <w:citation/>
        </w:sdtPr>
        <w:sdtEndPr/>
        <w:sdtContent>
          <w:r w:rsidR="0080033C">
            <w:rPr>
              <w:rFonts w:ascii="Times New Roman" w:hAnsi="Times New Roman" w:cs="Times New Roman"/>
            </w:rPr>
            <w:fldChar w:fldCharType="begin"/>
          </w:r>
          <w:r w:rsidR="0080033C">
            <w:rPr>
              <w:rFonts w:ascii="Times New Roman" w:hAnsi="Times New Roman" w:cs="Times New Roman"/>
              <w:lang w:val="en-US"/>
            </w:rPr>
            <w:instrText xml:space="preserve"> CITATION Con07 \l 1033 </w:instrText>
          </w:r>
          <w:r w:rsidR="0080033C">
            <w:rPr>
              <w:rFonts w:ascii="Times New Roman" w:hAnsi="Times New Roman" w:cs="Times New Roman"/>
            </w:rPr>
            <w:fldChar w:fldCharType="separate"/>
          </w:r>
          <w:r w:rsidR="00734073">
            <w:rPr>
              <w:rFonts w:ascii="Times New Roman" w:hAnsi="Times New Roman" w:cs="Times New Roman"/>
              <w:noProof/>
              <w:lang w:val="en-US"/>
            </w:rPr>
            <w:t xml:space="preserve"> </w:t>
          </w:r>
          <w:r w:rsidR="00734073" w:rsidRPr="00734073">
            <w:rPr>
              <w:rFonts w:ascii="Times New Roman" w:hAnsi="Times New Roman" w:cs="Times New Roman"/>
              <w:noProof/>
              <w:lang w:val="en-US"/>
            </w:rPr>
            <w:t>(Connolly, 2007)</w:t>
          </w:r>
          <w:r w:rsidR="0080033C">
            <w:rPr>
              <w:rFonts w:ascii="Times New Roman" w:hAnsi="Times New Roman" w:cs="Times New Roman"/>
            </w:rPr>
            <w:fldChar w:fldCharType="end"/>
          </w:r>
        </w:sdtContent>
      </w:sdt>
      <w:r w:rsidR="00125715">
        <w:rPr>
          <w:rFonts w:ascii="Times New Roman" w:hAnsi="Times New Roman" w:cs="Times New Roman"/>
        </w:rPr>
        <w:t>. The company is more interested in</w:t>
      </w:r>
      <w:r w:rsidR="00E97511">
        <w:rPr>
          <w:rFonts w:ascii="Times New Roman" w:hAnsi="Times New Roman" w:cs="Times New Roman"/>
        </w:rPr>
        <w:t xml:space="preserve"> achieving a dynamic state of operations using regular cash flows and working capital efficiency. And for a company like Coca-Cola HBC, it makes sense. The company has a huge business with regular cash flow thanks to its nature as a consumer goods business</w:t>
      </w:r>
      <w:r w:rsidR="00FB363D">
        <w:rPr>
          <w:rFonts w:ascii="Times New Roman" w:hAnsi="Times New Roman" w:cs="Times New Roman"/>
        </w:rPr>
        <w:t xml:space="preserve">. It doesn’t matter that the company has low current and quick ratio, as long as the profitability of the business remains stable and the market experiences no disruptions, it could go on operating as normal. The liabilities that the company has can include </w:t>
      </w:r>
      <w:r w:rsidR="00FB363D" w:rsidRPr="00FB363D">
        <w:rPr>
          <w:rFonts w:ascii="Times New Roman" w:hAnsi="Times New Roman" w:cs="Times New Roman"/>
        </w:rPr>
        <w:t>trade payables, contract liabilities</w:t>
      </w:r>
      <w:r w:rsidR="00FB363D">
        <w:rPr>
          <w:rFonts w:ascii="Times New Roman" w:hAnsi="Times New Roman" w:cs="Times New Roman"/>
        </w:rPr>
        <w:t xml:space="preserve"> etc. </w:t>
      </w:r>
    </w:p>
    <w:p w14:paraId="018BD242" w14:textId="65E0E70D" w:rsidR="00FB363D" w:rsidRPr="00FB363D" w:rsidRDefault="00FB363D" w:rsidP="00BF3296">
      <w:pPr>
        <w:spacing w:line="360" w:lineRule="auto"/>
        <w:jc w:val="both"/>
        <w:rPr>
          <w:rFonts w:ascii="Times New Roman" w:hAnsi="Times New Roman" w:cs="Times New Roman"/>
          <w:b/>
          <w:bCs/>
        </w:rPr>
      </w:pPr>
      <w:r w:rsidRPr="00FB363D">
        <w:rPr>
          <w:rFonts w:ascii="Times New Roman" w:hAnsi="Times New Roman" w:cs="Times New Roman"/>
          <w:b/>
          <w:bCs/>
        </w:rPr>
        <w:t>Liquidity conclusion</w:t>
      </w:r>
    </w:p>
    <w:p w14:paraId="03861A01" w14:textId="71E8F7DE" w:rsidR="00FB363D" w:rsidRPr="00BF3296" w:rsidRDefault="00D668FE" w:rsidP="00BF3296">
      <w:pPr>
        <w:spacing w:line="360" w:lineRule="auto"/>
        <w:jc w:val="both"/>
        <w:rPr>
          <w:rFonts w:ascii="Times New Roman" w:hAnsi="Times New Roman" w:cs="Times New Roman"/>
        </w:rPr>
      </w:pPr>
      <w:r>
        <w:rPr>
          <w:rFonts w:ascii="Times New Roman" w:hAnsi="Times New Roman" w:cs="Times New Roman"/>
        </w:rPr>
        <w:t xml:space="preserve">Coca-Cola HBC’s liquidity ratios improved slightly from 2023 in 2024; however, it remains minimum. This shows the company’s strategy of operating efficiently with regular cash flows and supplier credit, using only short-term buffers of liquidity. </w:t>
      </w:r>
    </w:p>
    <w:p w14:paraId="68DD28DB" w14:textId="5CC4B75F" w:rsidR="00BF3296" w:rsidRPr="00BF3296" w:rsidRDefault="00BF3296" w:rsidP="008428C1">
      <w:pPr>
        <w:pStyle w:val="Heading2"/>
      </w:pPr>
      <w:bookmarkStart w:id="20" w:name="_Toc218984738"/>
      <w:r w:rsidRPr="00BF3296">
        <w:t>Solvency and Capital Structure</w:t>
      </w:r>
      <w:bookmarkEnd w:id="20"/>
    </w:p>
    <w:p w14:paraId="51136ACB" w14:textId="60C6656C" w:rsidR="00D668FE" w:rsidRPr="00BF3296" w:rsidRDefault="00D668FE" w:rsidP="00BF3296">
      <w:pPr>
        <w:spacing w:line="360" w:lineRule="auto"/>
        <w:jc w:val="both"/>
        <w:rPr>
          <w:rFonts w:ascii="Times New Roman" w:hAnsi="Times New Roman" w:cs="Times New Roman"/>
        </w:rPr>
      </w:pPr>
      <w:r>
        <w:rPr>
          <w:rFonts w:ascii="Times New Roman" w:hAnsi="Times New Roman" w:cs="Times New Roman"/>
        </w:rPr>
        <w:t xml:space="preserve">Solvency </w:t>
      </w:r>
      <w:r w:rsidR="002F6D82">
        <w:rPr>
          <w:rFonts w:ascii="Times New Roman" w:hAnsi="Times New Roman" w:cs="Times New Roman"/>
        </w:rPr>
        <w:t xml:space="preserve">is a metric hinting at the long-term financial stability and sustainability of a company, on the basis of its dependence on debt financing. Strong solvency is desirable in the business world, </w:t>
      </w:r>
      <w:r w:rsidR="002F6D82">
        <w:rPr>
          <w:rFonts w:ascii="Times New Roman" w:hAnsi="Times New Roman" w:cs="Times New Roman"/>
        </w:rPr>
        <w:lastRenderedPageBreak/>
        <w:t xml:space="preserve">as it allows companies to withstand market disruptions, fulfil debt obligations, and retain its flexibility. </w:t>
      </w:r>
    </w:p>
    <w:p w14:paraId="3BD36195" w14:textId="5C21AB4C" w:rsidR="00BF3296" w:rsidRPr="00BF3296" w:rsidRDefault="00BF3296" w:rsidP="008428C1">
      <w:pPr>
        <w:pStyle w:val="Heading3"/>
      </w:pPr>
      <w:bookmarkStart w:id="21" w:name="_Toc218984739"/>
      <w:r w:rsidRPr="00BF3296">
        <w:t>Gearing Ratio</w:t>
      </w:r>
      <w:bookmarkEnd w:id="21"/>
    </w:p>
    <w:p w14:paraId="6BD67540" w14:textId="4CD5A063" w:rsidR="002F6D82" w:rsidRDefault="002F6D82" w:rsidP="00BF3296">
      <w:pPr>
        <w:spacing w:line="360" w:lineRule="auto"/>
        <w:jc w:val="both"/>
        <w:rPr>
          <w:rFonts w:ascii="Times New Roman" w:hAnsi="Times New Roman" w:cs="Times New Roman"/>
        </w:rPr>
      </w:pPr>
      <w:r>
        <w:rPr>
          <w:rFonts w:ascii="Times New Roman" w:hAnsi="Times New Roman" w:cs="Times New Roman"/>
        </w:rPr>
        <w:t xml:space="preserve">The gearing ratio refers to a proportion of the long-term capital funded by long-term borrowing. There is a clear increase in gearing from the year 2023 to the year 2024. In 2023 the gearing was 44.47%. In 2024 the gearing became 49.10%. This hints at the company relying more on long-term debt. </w:t>
      </w:r>
      <w:r w:rsidR="002B0305">
        <w:rPr>
          <w:rFonts w:ascii="Times New Roman" w:hAnsi="Times New Roman" w:cs="Times New Roman"/>
        </w:rPr>
        <w:t>This approach is risky, as higher gearing makes the company vulnerable to being leveraged by other organization, mostly debtors and investors, and may cause the company its profitability if interest rates were to rise</w:t>
      </w:r>
      <w:sdt>
        <w:sdtPr>
          <w:rPr>
            <w:rFonts w:ascii="Times New Roman" w:hAnsi="Times New Roman" w:cs="Times New Roman"/>
          </w:rPr>
          <w:id w:val="-1452245244"/>
          <w:citation/>
        </w:sdtPr>
        <w:sdtEndPr/>
        <w:sdtContent>
          <w:r w:rsidR="00E526A9">
            <w:rPr>
              <w:rFonts w:ascii="Times New Roman" w:hAnsi="Times New Roman" w:cs="Times New Roman"/>
            </w:rPr>
            <w:fldChar w:fldCharType="begin"/>
          </w:r>
          <w:r w:rsidR="00E526A9">
            <w:rPr>
              <w:rFonts w:ascii="Times New Roman" w:hAnsi="Times New Roman" w:cs="Times New Roman"/>
              <w:lang w:val="en-US"/>
            </w:rPr>
            <w:instrText xml:space="preserve"> CITATION Kot19 \l 1033 </w:instrText>
          </w:r>
          <w:r w:rsidR="00E526A9">
            <w:rPr>
              <w:rFonts w:ascii="Times New Roman" w:hAnsi="Times New Roman" w:cs="Times New Roman"/>
            </w:rPr>
            <w:fldChar w:fldCharType="separate"/>
          </w:r>
          <w:r w:rsidR="00734073">
            <w:rPr>
              <w:rFonts w:ascii="Times New Roman" w:hAnsi="Times New Roman" w:cs="Times New Roman"/>
              <w:noProof/>
              <w:lang w:val="en-US"/>
            </w:rPr>
            <w:t xml:space="preserve"> </w:t>
          </w:r>
          <w:r w:rsidR="00734073" w:rsidRPr="00734073">
            <w:rPr>
              <w:rFonts w:ascii="Times New Roman" w:hAnsi="Times New Roman" w:cs="Times New Roman"/>
              <w:noProof/>
              <w:lang w:val="en-US"/>
            </w:rPr>
            <w:t>(Kotey, 2019)</w:t>
          </w:r>
          <w:r w:rsidR="00E526A9">
            <w:rPr>
              <w:rFonts w:ascii="Times New Roman" w:hAnsi="Times New Roman" w:cs="Times New Roman"/>
            </w:rPr>
            <w:fldChar w:fldCharType="end"/>
          </w:r>
        </w:sdtContent>
      </w:sdt>
      <w:r w:rsidR="002B0305">
        <w:rPr>
          <w:rFonts w:ascii="Times New Roman" w:hAnsi="Times New Roman" w:cs="Times New Roman"/>
        </w:rPr>
        <w:t xml:space="preserve">. </w:t>
      </w:r>
    </w:p>
    <w:p w14:paraId="55DEB43D" w14:textId="56F21B84" w:rsidR="002B0305" w:rsidRPr="00BF3296" w:rsidRDefault="002B0305" w:rsidP="00BF3296">
      <w:pPr>
        <w:spacing w:line="360" w:lineRule="auto"/>
        <w:jc w:val="both"/>
        <w:rPr>
          <w:rFonts w:ascii="Times New Roman" w:hAnsi="Times New Roman" w:cs="Times New Roman"/>
        </w:rPr>
      </w:pPr>
      <w:r>
        <w:rPr>
          <w:rFonts w:ascii="Times New Roman" w:hAnsi="Times New Roman" w:cs="Times New Roman"/>
        </w:rPr>
        <w:t>But the gearing too must be interpreted in the context of Coca-Cola HBC’s situation. The company was able to secure higher profitability and return in 2024. The company could use this to counter balance leverage</w:t>
      </w:r>
      <w:sdt>
        <w:sdtPr>
          <w:rPr>
            <w:rFonts w:ascii="Times New Roman" w:hAnsi="Times New Roman" w:cs="Times New Roman"/>
          </w:rPr>
          <w:id w:val="36180332"/>
          <w:citation/>
        </w:sdtPr>
        <w:sdtEndPr/>
        <w:sdtContent>
          <w:r w:rsidR="005E6D8E">
            <w:rPr>
              <w:rFonts w:ascii="Times New Roman" w:hAnsi="Times New Roman" w:cs="Times New Roman"/>
            </w:rPr>
            <w:fldChar w:fldCharType="begin"/>
          </w:r>
          <w:r w:rsidR="005E6D8E">
            <w:rPr>
              <w:rFonts w:ascii="Times New Roman" w:hAnsi="Times New Roman" w:cs="Times New Roman"/>
              <w:lang w:val="en-US"/>
            </w:rPr>
            <w:instrText xml:space="preserve"> CITATION Ken24 \l 1033 </w:instrText>
          </w:r>
          <w:r w:rsidR="005E6D8E">
            <w:rPr>
              <w:rFonts w:ascii="Times New Roman" w:hAnsi="Times New Roman" w:cs="Times New Roman"/>
            </w:rPr>
            <w:fldChar w:fldCharType="separate"/>
          </w:r>
          <w:r w:rsidR="00734073">
            <w:rPr>
              <w:rFonts w:ascii="Times New Roman" w:hAnsi="Times New Roman" w:cs="Times New Roman"/>
              <w:noProof/>
              <w:lang w:val="en-US"/>
            </w:rPr>
            <w:t xml:space="preserve"> </w:t>
          </w:r>
          <w:r w:rsidR="00734073" w:rsidRPr="00734073">
            <w:rPr>
              <w:rFonts w:ascii="Times New Roman" w:hAnsi="Times New Roman" w:cs="Times New Roman"/>
              <w:noProof/>
              <w:lang w:val="en-US"/>
            </w:rPr>
            <w:t>(Kenton, 2024)</w:t>
          </w:r>
          <w:r w:rsidR="005E6D8E">
            <w:rPr>
              <w:rFonts w:ascii="Times New Roman" w:hAnsi="Times New Roman" w:cs="Times New Roman"/>
            </w:rPr>
            <w:fldChar w:fldCharType="end"/>
          </w:r>
        </w:sdtContent>
      </w:sdt>
      <w:r>
        <w:rPr>
          <w:rFonts w:ascii="Times New Roman" w:hAnsi="Times New Roman" w:cs="Times New Roman"/>
        </w:rPr>
        <w:t xml:space="preserve">. </w:t>
      </w:r>
    </w:p>
    <w:p w14:paraId="4DAE3CB0" w14:textId="44297000" w:rsidR="00BF3296" w:rsidRPr="00BF3296" w:rsidRDefault="00BF3296" w:rsidP="008428C1">
      <w:pPr>
        <w:pStyle w:val="Heading3"/>
      </w:pPr>
      <w:bookmarkStart w:id="22" w:name="_Toc218984740"/>
      <w:r w:rsidRPr="00BF3296">
        <w:t>Relationship Between Gearing and Shareholder Returns</w:t>
      </w:r>
      <w:bookmarkEnd w:id="22"/>
    </w:p>
    <w:p w14:paraId="1B348957" w14:textId="7D4371FD" w:rsidR="002B0305" w:rsidRPr="00BF3296" w:rsidRDefault="002B0305" w:rsidP="00BF3296">
      <w:pPr>
        <w:spacing w:line="360" w:lineRule="auto"/>
        <w:jc w:val="both"/>
        <w:rPr>
          <w:rFonts w:ascii="Times New Roman" w:hAnsi="Times New Roman" w:cs="Times New Roman"/>
        </w:rPr>
      </w:pPr>
      <w:r>
        <w:rPr>
          <w:rFonts w:ascii="Times New Roman" w:hAnsi="Times New Roman" w:cs="Times New Roman"/>
        </w:rPr>
        <w:t>In some cases, high rates of gearing can increase ROE when a company has increased profits. This is mainly because shareholders have leverage on the company and benefits from said leverage. Coca-Cola HBC has had a successful year in 2024, where the company’s ROE increased from the previous year. This is one way for a company to increase its profitability. This is also a good strategy for the company as the debt that it has accrued is being used to fund growth actively</w:t>
      </w:r>
      <w:sdt>
        <w:sdtPr>
          <w:rPr>
            <w:rFonts w:ascii="Times New Roman" w:hAnsi="Times New Roman" w:cs="Times New Roman"/>
          </w:rPr>
          <w:id w:val="-965195328"/>
          <w:citation/>
        </w:sdtPr>
        <w:sdtEndPr/>
        <w:sdtContent>
          <w:r w:rsidR="006B2124">
            <w:rPr>
              <w:rFonts w:ascii="Times New Roman" w:hAnsi="Times New Roman" w:cs="Times New Roman"/>
            </w:rPr>
            <w:fldChar w:fldCharType="begin"/>
          </w:r>
          <w:r w:rsidR="006B2124">
            <w:rPr>
              <w:rFonts w:ascii="Times New Roman" w:hAnsi="Times New Roman" w:cs="Times New Roman"/>
              <w:lang w:val="en-US"/>
            </w:rPr>
            <w:instrText xml:space="preserve"> CITATION Cam21 \l 1033 </w:instrText>
          </w:r>
          <w:r w:rsidR="006B2124">
            <w:rPr>
              <w:rFonts w:ascii="Times New Roman" w:hAnsi="Times New Roman" w:cs="Times New Roman"/>
            </w:rPr>
            <w:fldChar w:fldCharType="separate"/>
          </w:r>
          <w:r w:rsidR="00734073">
            <w:rPr>
              <w:rFonts w:ascii="Times New Roman" w:hAnsi="Times New Roman" w:cs="Times New Roman"/>
              <w:noProof/>
              <w:lang w:val="en-US"/>
            </w:rPr>
            <w:t xml:space="preserve"> </w:t>
          </w:r>
          <w:r w:rsidR="00734073" w:rsidRPr="00734073">
            <w:rPr>
              <w:rFonts w:ascii="Times New Roman" w:hAnsi="Times New Roman" w:cs="Times New Roman"/>
              <w:noProof/>
              <w:lang w:val="en-US"/>
            </w:rPr>
            <w:t>(Campbell, 2021)</w:t>
          </w:r>
          <w:r w:rsidR="006B2124">
            <w:rPr>
              <w:rFonts w:ascii="Times New Roman" w:hAnsi="Times New Roman" w:cs="Times New Roman"/>
            </w:rPr>
            <w:fldChar w:fldCharType="end"/>
          </w:r>
        </w:sdtContent>
      </w:sdt>
      <w:r>
        <w:rPr>
          <w:rFonts w:ascii="Times New Roman" w:hAnsi="Times New Roman" w:cs="Times New Roman"/>
        </w:rPr>
        <w:t xml:space="preserve">. </w:t>
      </w:r>
    </w:p>
    <w:p w14:paraId="30D3BFA1" w14:textId="3601BAE1" w:rsidR="00BF3296" w:rsidRPr="00BF3296" w:rsidRDefault="00BF3296" w:rsidP="008428C1">
      <w:pPr>
        <w:pStyle w:val="Heading3"/>
      </w:pPr>
      <w:bookmarkStart w:id="23" w:name="_Toc218984741"/>
      <w:r w:rsidRPr="00BF3296">
        <w:t>Solvency Implications</w:t>
      </w:r>
      <w:bookmarkEnd w:id="23"/>
    </w:p>
    <w:p w14:paraId="1BAC81F2" w14:textId="67B3A372" w:rsidR="00BF3296" w:rsidRDefault="00DC3EF4" w:rsidP="00BF3296">
      <w:pPr>
        <w:spacing w:line="360" w:lineRule="auto"/>
        <w:jc w:val="both"/>
        <w:rPr>
          <w:rFonts w:ascii="Times New Roman" w:hAnsi="Times New Roman" w:cs="Times New Roman"/>
        </w:rPr>
      </w:pPr>
      <w:r>
        <w:rPr>
          <w:rFonts w:ascii="Times New Roman" w:hAnsi="Times New Roman" w:cs="Times New Roman"/>
        </w:rPr>
        <w:t xml:space="preserve">Coca-Cola HBC’s gearing level is near 50%. This is a good sign, as it hints that the company has a balanced and somewhat leveraged structure. It is not an alarming rate. However, such a rate does make the company vulnerable to increase in the interest rates and </w:t>
      </w:r>
      <w:r w:rsidR="009C407A">
        <w:rPr>
          <w:rFonts w:ascii="Times New Roman" w:hAnsi="Times New Roman" w:cs="Times New Roman"/>
        </w:rPr>
        <w:t xml:space="preserve">market disruptions. For large organizations, debts are often managed intelligently in order to fund growth, capital investment, and shareholder returns. In the case of Coca-Cola HBC, the company can afford to remain stable despite its debt is because its cash flow is stable. Consumer goods, especially drinks, remain stable in their demand, especially in established markets. This can allow the company to take on moderate gearing. </w:t>
      </w:r>
    </w:p>
    <w:p w14:paraId="107BCA26" w14:textId="07998EAA" w:rsidR="009C407A" w:rsidRPr="009C407A" w:rsidRDefault="009C407A" w:rsidP="00BF3296">
      <w:pPr>
        <w:spacing w:line="360" w:lineRule="auto"/>
        <w:jc w:val="both"/>
        <w:rPr>
          <w:rFonts w:ascii="Times New Roman" w:hAnsi="Times New Roman" w:cs="Times New Roman"/>
          <w:b/>
          <w:bCs/>
        </w:rPr>
      </w:pPr>
      <w:r w:rsidRPr="009C407A">
        <w:rPr>
          <w:rFonts w:ascii="Times New Roman" w:hAnsi="Times New Roman" w:cs="Times New Roman"/>
          <w:b/>
          <w:bCs/>
        </w:rPr>
        <w:t>Solvency conclusion</w:t>
      </w:r>
    </w:p>
    <w:p w14:paraId="69145176" w14:textId="65A149F2" w:rsidR="009C407A" w:rsidRPr="00BF3296" w:rsidRDefault="009C407A" w:rsidP="00BF3296">
      <w:pPr>
        <w:spacing w:line="360" w:lineRule="auto"/>
        <w:jc w:val="both"/>
        <w:rPr>
          <w:rFonts w:ascii="Times New Roman" w:hAnsi="Times New Roman" w:cs="Times New Roman"/>
        </w:rPr>
      </w:pPr>
      <w:r>
        <w:rPr>
          <w:rFonts w:ascii="Times New Roman" w:hAnsi="Times New Roman" w:cs="Times New Roman"/>
        </w:rPr>
        <w:lastRenderedPageBreak/>
        <w:t xml:space="preserve">In the year 2024, the company increased its reliance on long-term debt. This is a financial risk. But the increase in profitability and ROE makes it certain that Coca-Cola HBC remains solvent and stable. </w:t>
      </w:r>
    </w:p>
    <w:p w14:paraId="4401E70C" w14:textId="582D36ED" w:rsidR="00BF3296" w:rsidRPr="00BF3296" w:rsidRDefault="00BF3296" w:rsidP="008428C1">
      <w:pPr>
        <w:pStyle w:val="Heading2"/>
      </w:pPr>
      <w:bookmarkStart w:id="24" w:name="_Toc218984742"/>
      <w:r w:rsidRPr="00BF3296">
        <w:t>Efficiency Analysis</w:t>
      </w:r>
      <w:bookmarkEnd w:id="24"/>
    </w:p>
    <w:p w14:paraId="5577668B" w14:textId="3B44699C" w:rsidR="00F4266D" w:rsidRPr="00BF3296" w:rsidRDefault="00F4266D" w:rsidP="00BF3296">
      <w:pPr>
        <w:spacing w:line="360" w:lineRule="auto"/>
        <w:jc w:val="both"/>
        <w:rPr>
          <w:rFonts w:ascii="Times New Roman" w:hAnsi="Times New Roman" w:cs="Times New Roman"/>
        </w:rPr>
      </w:pPr>
      <w:r>
        <w:rPr>
          <w:rFonts w:ascii="Times New Roman" w:hAnsi="Times New Roman" w:cs="Times New Roman"/>
        </w:rPr>
        <w:t>Working capitals are one of the most important assets for a company, thus a key metric for business success. Efficiency ratios consider how effectively a company manages its working capital. Working capital includes inventory, receivables, and payables</w:t>
      </w:r>
      <w:sdt>
        <w:sdtPr>
          <w:rPr>
            <w:rFonts w:ascii="Times New Roman" w:hAnsi="Times New Roman" w:cs="Times New Roman"/>
          </w:rPr>
          <w:id w:val="-562486243"/>
          <w:citation/>
        </w:sdtPr>
        <w:sdtEndPr/>
        <w:sdtContent>
          <w:r w:rsidR="0080033C">
            <w:rPr>
              <w:rFonts w:ascii="Times New Roman" w:hAnsi="Times New Roman" w:cs="Times New Roman"/>
            </w:rPr>
            <w:fldChar w:fldCharType="begin"/>
          </w:r>
          <w:r w:rsidR="0080033C">
            <w:rPr>
              <w:rFonts w:ascii="Times New Roman" w:hAnsi="Times New Roman" w:cs="Times New Roman"/>
              <w:lang w:val="en-US"/>
            </w:rPr>
            <w:instrText xml:space="preserve"> CITATION Rel15 \l 1033 </w:instrText>
          </w:r>
          <w:r w:rsidR="0080033C">
            <w:rPr>
              <w:rFonts w:ascii="Times New Roman" w:hAnsi="Times New Roman" w:cs="Times New Roman"/>
            </w:rPr>
            <w:fldChar w:fldCharType="separate"/>
          </w:r>
          <w:r w:rsidR="00734073">
            <w:rPr>
              <w:rFonts w:ascii="Times New Roman" w:hAnsi="Times New Roman" w:cs="Times New Roman"/>
              <w:noProof/>
              <w:lang w:val="en-US"/>
            </w:rPr>
            <w:t xml:space="preserve"> </w:t>
          </w:r>
          <w:r w:rsidR="00734073" w:rsidRPr="00734073">
            <w:rPr>
              <w:rFonts w:ascii="Times New Roman" w:hAnsi="Times New Roman" w:cs="Times New Roman"/>
              <w:noProof/>
              <w:lang w:val="en-US"/>
            </w:rPr>
            <w:t>(Relph, 2015)</w:t>
          </w:r>
          <w:r w:rsidR="0080033C">
            <w:rPr>
              <w:rFonts w:ascii="Times New Roman" w:hAnsi="Times New Roman" w:cs="Times New Roman"/>
            </w:rPr>
            <w:fldChar w:fldCharType="end"/>
          </w:r>
        </w:sdtContent>
      </w:sdt>
      <w:r>
        <w:rPr>
          <w:rFonts w:ascii="Times New Roman" w:hAnsi="Times New Roman" w:cs="Times New Roman"/>
        </w:rPr>
        <w:t>. If a company has strong working capital, it supports the company’s liquidity, decrease financing risks, and creates better cash flow resilience</w:t>
      </w:r>
      <w:sdt>
        <w:sdtPr>
          <w:rPr>
            <w:rFonts w:ascii="Times New Roman" w:hAnsi="Times New Roman" w:cs="Times New Roman"/>
          </w:rPr>
          <w:id w:val="482824080"/>
          <w:citation/>
        </w:sdtPr>
        <w:sdtEndPr/>
        <w:sdtContent>
          <w:r w:rsidR="000E39ED">
            <w:rPr>
              <w:rFonts w:ascii="Times New Roman" w:hAnsi="Times New Roman" w:cs="Times New Roman"/>
            </w:rPr>
            <w:fldChar w:fldCharType="begin"/>
          </w:r>
          <w:r w:rsidR="000E39ED">
            <w:rPr>
              <w:rFonts w:ascii="Times New Roman" w:hAnsi="Times New Roman" w:cs="Times New Roman"/>
              <w:lang w:val="en-US"/>
            </w:rPr>
            <w:instrText xml:space="preserve"> CITATION Che10 \l 1033 </w:instrText>
          </w:r>
          <w:r w:rsidR="000E39ED">
            <w:rPr>
              <w:rFonts w:ascii="Times New Roman" w:hAnsi="Times New Roman" w:cs="Times New Roman"/>
            </w:rPr>
            <w:fldChar w:fldCharType="separate"/>
          </w:r>
          <w:r w:rsidR="00734073">
            <w:rPr>
              <w:rFonts w:ascii="Times New Roman" w:hAnsi="Times New Roman" w:cs="Times New Roman"/>
              <w:noProof/>
              <w:lang w:val="en-US"/>
            </w:rPr>
            <w:t xml:space="preserve"> </w:t>
          </w:r>
          <w:r w:rsidR="00734073" w:rsidRPr="00734073">
            <w:rPr>
              <w:rFonts w:ascii="Times New Roman" w:hAnsi="Times New Roman" w:cs="Times New Roman"/>
              <w:noProof/>
              <w:lang w:val="en-US"/>
            </w:rPr>
            <w:t>(Chen, et al., 2010)</w:t>
          </w:r>
          <w:r w:rsidR="000E39ED">
            <w:rPr>
              <w:rFonts w:ascii="Times New Roman" w:hAnsi="Times New Roman" w:cs="Times New Roman"/>
            </w:rPr>
            <w:fldChar w:fldCharType="end"/>
          </w:r>
        </w:sdtContent>
      </w:sdt>
      <w:r>
        <w:rPr>
          <w:rFonts w:ascii="Times New Roman" w:hAnsi="Times New Roman" w:cs="Times New Roman"/>
        </w:rPr>
        <w:t xml:space="preserve">. </w:t>
      </w:r>
    </w:p>
    <w:p w14:paraId="422B222A" w14:textId="780ADC04" w:rsidR="00BF3296" w:rsidRPr="00BF3296" w:rsidRDefault="00BF3296" w:rsidP="008428C1">
      <w:pPr>
        <w:pStyle w:val="Heading3"/>
      </w:pPr>
      <w:bookmarkStart w:id="25" w:name="_Toc218984743"/>
      <w:r w:rsidRPr="00BF3296">
        <w:t>Inventory Days</w:t>
      </w:r>
      <w:bookmarkEnd w:id="25"/>
    </w:p>
    <w:p w14:paraId="51550668" w14:textId="57169C5E" w:rsidR="00F4266D" w:rsidRPr="00BF3296" w:rsidRDefault="00837A43" w:rsidP="00BF3296">
      <w:pPr>
        <w:spacing w:line="360" w:lineRule="auto"/>
        <w:jc w:val="both"/>
        <w:rPr>
          <w:rFonts w:ascii="Times New Roman" w:hAnsi="Times New Roman" w:cs="Times New Roman"/>
        </w:rPr>
      </w:pPr>
      <w:r>
        <w:rPr>
          <w:rFonts w:ascii="Times New Roman" w:hAnsi="Times New Roman" w:cs="Times New Roman"/>
        </w:rPr>
        <w:t xml:space="preserve">There was an increase </w:t>
      </w:r>
      <w:r w:rsidR="00F4266D">
        <w:rPr>
          <w:rFonts w:ascii="Times New Roman" w:hAnsi="Times New Roman" w:cs="Times New Roman"/>
        </w:rPr>
        <w:t xml:space="preserve">in the inventory days from </w:t>
      </w:r>
      <w:r>
        <w:rPr>
          <w:rFonts w:ascii="Times New Roman" w:hAnsi="Times New Roman" w:cs="Times New Roman"/>
        </w:rPr>
        <w:t xml:space="preserve">2023 in the year 2024. In 2023 the number of inventory days was </w:t>
      </w:r>
      <w:r w:rsidRPr="00837A43">
        <w:rPr>
          <w:rFonts w:ascii="Times New Roman" w:hAnsi="Times New Roman" w:cs="Times New Roman"/>
        </w:rPr>
        <w:t>42.59 days</w:t>
      </w:r>
      <w:r>
        <w:rPr>
          <w:rFonts w:ascii="Times New Roman" w:hAnsi="Times New Roman" w:cs="Times New Roman"/>
        </w:rPr>
        <w:t xml:space="preserve">. In 2024 the number of inventory days was </w:t>
      </w:r>
      <w:r w:rsidRPr="00837A43">
        <w:rPr>
          <w:rFonts w:ascii="Times New Roman" w:hAnsi="Times New Roman" w:cs="Times New Roman"/>
        </w:rPr>
        <w:t>45.85 days</w:t>
      </w:r>
      <w:r>
        <w:rPr>
          <w:rFonts w:ascii="Times New Roman" w:hAnsi="Times New Roman" w:cs="Times New Roman"/>
        </w:rPr>
        <w:t>. Inventory days refer to the number of days that the product inventory was held onto by the company. Increased inventory days can mean a number of things. It could mean that Coca-Cola HBC is willingly holding on to its product inventory in order to be safer against any disruptions to its supply chains</w:t>
      </w:r>
      <w:sdt>
        <w:sdtPr>
          <w:rPr>
            <w:rFonts w:ascii="Times New Roman" w:hAnsi="Times New Roman" w:cs="Times New Roman"/>
          </w:rPr>
          <w:id w:val="714927224"/>
          <w:citation/>
        </w:sdtPr>
        <w:sdtEndPr/>
        <w:sdtContent>
          <w:r w:rsidR="006B2124">
            <w:rPr>
              <w:rFonts w:ascii="Times New Roman" w:hAnsi="Times New Roman" w:cs="Times New Roman"/>
            </w:rPr>
            <w:fldChar w:fldCharType="begin"/>
          </w:r>
          <w:r w:rsidR="006B2124">
            <w:rPr>
              <w:rFonts w:ascii="Times New Roman" w:hAnsi="Times New Roman" w:cs="Times New Roman"/>
              <w:lang w:val="en-US"/>
            </w:rPr>
            <w:instrText xml:space="preserve"> CITATION Cho21 \l 1033 </w:instrText>
          </w:r>
          <w:r w:rsidR="006B2124">
            <w:rPr>
              <w:rFonts w:ascii="Times New Roman" w:hAnsi="Times New Roman" w:cs="Times New Roman"/>
            </w:rPr>
            <w:fldChar w:fldCharType="separate"/>
          </w:r>
          <w:r w:rsidR="00734073">
            <w:rPr>
              <w:rFonts w:ascii="Times New Roman" w:hAnsi="Times New Roman" w:cs="Times New Roman"/>
              <w:noProof/>
              <w:lang w:val="en-US"/>
            </w:rPr>
            <w:t xml:space="preserve"> </w:t>
          </w:r>
          <w:r w:rsidR="00734073" w:rsidRPr="00734073">
            <w:rPr>
              <w:rFonts w:ascii="Times New Roman" w:hAnsi="Times New Roman" w:cs="Times New Roman"/>
              <w:noProof/>
              <w:lang w:val="en-US"/>
            </w:rPr>
            <w:t>(Chopra, 2021)</w:t>
          </w:r>
          <w:r w:rsidR="006B2124">
            <w:rPr>
              <w:rFonts w:ascii="Times New Roman" w:hAnsi="Times New Roman" w:cs="Times New Roman"/>
            </w:rPr>
            <w:fldChar w:fldCharType="end"/>
          </w:r>
        </w:sdtContent>
      </w:sdt>
      <w:r>
        <w:rPr>
          <w:rFonts w:ascii="Times New Roman" w:hAnsi="Times New Roman" w:cs="Times New Roman"/>
        </w:rPr>
        <w:t>. It could also mean that its production increased more than it can ship out. This could prove to be an issue as longer inventory days increase operational and overhead costs, and the company runs the risk of spoiling the products as they are consumer goods</w:t>
      </w:r>
      <w:sdt>
        <w:sdtPr>
          <w:rPr>
            <w:rFonts w:ascii="Times New Roman" w:hAnsi="Times New Roman" w:cs="Times New Roman"/>
          </w:rPr>
          <w:id w:val="56600818"/>
          <w:citation/>
        </w:sdtPr>
        <w:sdtEndPr/>
        <w:sdtContent>
          <w:r w:rsidR="00317C5B">
            <w:rPr>
              <w:rFonts w:ascii="Times New Roman" w:hAnsi="Times New Roman" w:cs="Times New Roman"/>
            </w:rPr>
            <w:fldChar w:fldCharType="begin"/>
          </w:r>
          <w:r w:rsidR="00317C5B">
            <w:rPr>
              <w:rFonts w:ascii="Times New Roman" w:hAnsi="Times New Roman" w:cs="Times New Roman"/>
              <w:lang w:val="en-US"/>
            </w:rPr>
            <w:instrText xml:space="preserve"> CITATION Wri20 \l 1033 </w:instrText>
          </w:r>
          <w:r w:rsidR="00317C5B">
            <w:rPr>
              <w:rFonts w:ascii="Times New Roman" w:hAnsi="Times New Roman" w:cs="Times New Roman"/>
            </w:rPr>
            <w:fldChar w:fldCharType="separate"/>
          </w:r>
          <w:r w:rsidR="00734073">
            <w:rPr>
              <w:rFonts w:ascii="Times New Roman" w:hAnsi="Times New Roman" w:cs="Times New Roman"/>
              <w:noProof/>
              <w:lang w:val="en-US"/>
            </w:rPr>
            <w:t xml:space="preserve"> </w:t>
          </w:r>
          <w:r w:rsidR="00734073" w:rsidRPr="00734073">
            <w:rPr>
              <w:rFonts w:ascii="Times New Roman" w:hAnsi="Times New Roman" w:cs="Times New Roman"/>
              <w:noProof/>
              <w:lang w:val="en-US"/>
            </w:rPr>
            <w:t>(Wright &amp; Slaybaugh, 2020)</w:t>
          </w:r>
          <w:r w:rsidR="00317C5B">
            <w:rPr>
              <w:rFonts w:ascii="Times New Roman" w:hAnsi="Times New Roman" w:cs="Times New Roman"/>
            </w:rPr>
            <w:fldChar w:fldCharType="end"/>
          </w:r>
        </w:sdtContent>
      </w:sdt>
      <w:r>
        <w:rPr>
          <w:rFonts w:ascii="Times New Roman" w:hAnsi="Times New Roman" w:cs="Times New Roman"/>
        </w:rPr>
        <w:t xml:space="preserve">. </w:t>
      </w:r>
    </w:p>
    <w:p w14:paraId="174A310D" w14:textId="4C95DB88" w:rsidR="00BF3296" w:rsidRPr="00BF3296" w:rsidRDefault="00BF3296" w:rsidP="008428C1">
      <w:pPr>
        <w:pStyle w:val="Heading3"/>
      </w:pPr>
      <w:bookmarkStart w:id="26" w:name="_Toc218984744"/>
      <w:r w:rsidRPr="00BF3296">
        <w:t>Receivables Days</w:t>
      </w:r>
      <w:bookmarkEnd w:id="26"/>
    </w:p>
    <w:p w14:paraId="6204108C" w14:textId="263C451B" w:rsidR="00837A43" w:rsidRPr="00BF3296" w:rsidRDefault="000C4BED" w:rsidP="00BF3296">
      <w:pPr>
        <w:spacing w:line="360" w:lineRule="auto"/>
        <w:jc w:val="both"/>
        <w:rPr>
          <w:rFonts w:ascii="Times New Roman" w:hAnsi="Times New Roman" w:cs="Times New Roman"/>
        </w:rPr>
      </w:pPr>
      <w:r>
        <w:rPr>
          <w:rFonts w:ascii="Times New Roman" w:hAnsi="Times New Roman" w:cs="Times New Roman"/>
        </w:rPr>
        <w:t xml:space="preserve">Receivable days refer to the average number of days that an organization takes to collect a payment from customers from a sale made in credit. Receivable days for Coca-Cola HBC show a slight increase from the year 2023 to the year 2024. In 2023 the number of receivable days was </w:t>
      </w:r>
      <w:r w:rsidRPr="000C4BED">
        <w:rPr>
          <w:rFonts w:ascii="Times New Roman" w:hAnsi="Times New Roman" w:cs="Times New Roman"/>
        </w:rPr>
        <w:t>42.58 days</w:t>
      </w:r>
      <w:r>
        <w:rPr>
          <w:rFonts w:ascii="Times New Roman" w:hAnsi="Times New Roman" w:cs="Times New Roman"/>
        </w:rPr>
        <w:t xml:space="preserve">. In 2024 the number of receivable days became </w:t>
      </w:r>
      <w:r w:rsidRPr="000C4BED">
        <w:rPr>
          <w:rFonts w:ascii="Times New Roman" w:hAnsi="Times New Roman" w:cs="Times New Roman"/>
        </w:rPr>
        <w:t>42.02 days</w:t>
      </w:r>
      <w:r>
        <w:rPr>
          <w:rFonts w:ascii="Times New Roman" w:hAnsi="Times New Roman" w:cs="Times New Roman"/>
        </w:rPr>
        <w:t xml:space="preserve">. This is a good sign for the company, as it shows that the company was able to bill and collect its payments from the customers regularly, ensuring that its cash flow remains stable. </w:t>
      </w:r>
    </w:p>
    <w:p w14:paraId="6517D179" w14:textId="37846FC0" w:rsidR="00BF3296" w:rsidRPr="00BF3296" w:rsidRDefault="00BF3296" w:rsidP="008428C1">
      <w:pPr>
        <w:pStyle w:val="Heading3"/>
      </w:pPr>
      <w:bookmarkStart w:id="27" w:name="_Toc218984745"/>
      <w:r w:rsidRPr="00BF3296">
        <w:t>Payables Days</w:t>
      </w:r>
      <w:bookmarkEnd w:id="27"/>
    </w:p>
    <w:p w14:paraId="70BB1949" w14:textId="1F08C986" w:rsidR="000C4BED" w:rsidRDefault="00276121" w:rsidP="00BF3296">
      <w:pPr>
        <w:spacing w:line="360" w:lineRule="auto"/>
        <w:jc w:val="both"/>
        <w:rPr>
          <w:rFonts w:ascii="Times New Roman" w:hAnsi="Times New Roman" w:cs="Times New Roman"/>
        </w:rPr>
      </w:pPr>
      <w:proofErr w:type="gramStart"/>
      <w:r>
        <w:rPr>
          <w:rFonts w:ascii="Times New Roman" w:hAnsi="Times New Roman" w:cs="Times New Roman"/>
        </w:rPr>
        <w:t>Payables</w:t>
      </w:r>
      <w:proofErr w:type="gramEnd"/>
      <w:r>
        <w:rPr>
          <w:rFonts w:ascii="Times New Roman" w:hAnsi="Times New Roman" w:cs="Times New Roman"/>
        </w:rPr>
        <w:t xml:space="preserve"> days refers to how many days an organization takes to pay its suppliers for products that it bought on credit. There is an increase in the </w:t>
      </w:r>
      <w:r w:rsidR="00E05925">
        <w:rPr>
          <w:rFonts w:ascii="Times New Roman" w:hAnsi="Times New Roman" w:cs="Times New Roman"/>
        </w:rPr>
        <w:t>payable’s</w:t>
      </w:r>
      <w:r>
        <w:rPr>
          <w:rFonts w:ascii="Times New Roman" w:hAnsi="Times New Roman" w:cs="Times New Roman"/>
        </w:rPr>
        <w:t xml:space="preserve"> days from the year 2023 to the year 2024. </w:t>
      </w:r>
      <w:r>
        <w:rPr>
          <w:rFonts w:ascii="Times New Roman" w:hAnsi="Times New Roman" w:cs="Times New Roman"/>
        </w:rPr>
        <w:lastRenderedPageBreak/>
        <w:t xml:space="preserve">In 2023 the payables days was </w:t>
      </w:r>
      <w:r w:rsidRPr="00276121">
        <w:rPr>
          <w:rFonts w:ascii="Times New Roman" w:hAnsi="Times New Roman" w:cs="Times New Roman"/>
        </w:rPr>
        <w:t>136.55</w:t>
      </w:r>
      <w:r>
        <w:rPr>
          <w:rFonts w:ascii="Times New Roman" w:hAnsi="Times New Roman" w:cs="Times New Roman"/>
        </w:rPr>
        <w:t xml:space="preserve">. In 2024 the payables days were </w:t>
      </w:r>
      <w:r w:rsidRPr="00276121">
        <w:rPr>
          <w:rFonts w:ascii="Times New Roman" w:hAnsi="Times New Roman" w:cs="Times New Roman"/>
        </w:rPr>
        <w:t>141.73</w:t>
      </w:r>
      <w:r>
        <w:rPr>
          <w:rFonts w:ascii="Times New Roman" w:hAnsi="Times New Roman" w:cs="Times New Roman"/>
        </w:rPr>
        <w:t xml:space="preserve">. This indicates that Coca-Cola HBC is taking longer to pay its suppliers in 2024 than it did in 2023. Generally, taking longer to pay suppliers reduces a company’s dependence on </w:t>
      </w:r>
      <w:r w:rsidR="00937248">
        <w:rPr>
          <w:rFonts w:ascii="Times New Roman" w:hAnsi="Times New Roman" w:cs="Times New Roman"/>
        </w:rPr>
        <w:t>cash flow and short-term borrowing. It also increases liquidity</w:t>
      </w:r>
      <w:sdt>
        <w:sdtPr>
          <w:rPr>
            <w:rFonts w:ascii="Times New Roman" w:hAnsi="Times New Roman" w:cs="Times New Roman"/>
          </w:rPr>
          <w:id w:val="550884039"/>
          <w:citation/>
        </w:sdtPr>
        <w:sdtEndPr/>
        <w:sdtContent>
          <w:r w:rsidR="00E526A9">
            <w:rPr>
              <w:rFonts w:ascii="Times New Roman" w:hAnsi="Times New Roman" w:cs="Times New Roman"/>
            </w:rPr>
            <w:fldChar w:fldCharType="begin"/>
          </w:r>
          <w:r w:rsidR="00E526A9">
            <w:rPr>
              <w:rFonts w:ascii="Times New Roman" w:hAnsi="Times New Roman" w:cs="Times New Roman"/>
              <w:lang w:val="en-US"/>
            </w:rPr>
            <w:instrText xml:space="preserve"> CITATION Han23 \l 1033 </w:instrText>
          </w:r>
          <w:r w:rsidR="00E526A9">
            <w:rPr>
              <w:rFonts w:ascii="Times New Roman" w:hAnsi="Times New Roman" w:cs="Times New Roman"/>
            </w:rPr>
            <w:fldChar w:fldCharType="separate"/>
          </w:r>
          <w:r w:rsidR="00734073">
            <w:rPr>
              <w:rFonts w:ascii="Times New Roman" w:hAnsi="Times New Roman" w:cs="Times New Roman"/>
              <w:noProof/>
              <w:lang w:val="en-US"/>
            </w:rPr>
            <w:t xml:space="preserve"> </w:t>
          </w:r>
          <w:r w:rsidR="00734073" w:rsidRPr="00734073">
            <w:rPr>
              <w:rFonts w:ascii="Times New Roman" w:hAnsi="Times New Roman" w:cs="Times New Roman"/>
              <w:noProof/>
              <w:lang w:val="en-US"/>
            </w:rPr>
            <w:t>(Hanantijo, 2023)</w:t>
          </w:r>
          <w:r w:rsidR="00E526A9">
            <w:rPr>
              <w:rFonts w:ascii="Times New Roman" w:hAnsi="Times New Roman" w:cs="Times New Roman"/>
            </w:rPr>
            <w:fldChar w:fldCharType="end"/>
          </w:r>
        </w:sdtContent>
      </w:sdt>
      <w:r w:rsidR="00937248">
        <w:rPr>
          <w:rFonts w:ascii="Times New Roman" w:hAnsi="Times New Roman" w:cs="Times New Roman"/>
        </w:rPr>
        <w:t>. However, taking too long may cause the company to have a bad reputation among the suppliers, or give it disadvantage in negotiations. Moreover, suppliers may also charge interests based on the delay, causing the company to lose revenue</w:t>
      </w:r>
      <w:sdt>
        <w:sdtPr>
          <w:rPr>
            <w:rFonts w:ascii="Times New Roman" w:hAnsi="Times New Roman" w:cs="Times New Roman"/>
          </w:rPr>
          <w:id w:val="1908494654"/>
          <w:citation/>
        </w:sdtPr>
        <w:sdtEndPr/>
        <w:sdtContent>
          <w:r w:rsidR="00CF2A49">
            <w:rPr>
              <w:rFonts w:ascii="Times New Roman" w:hAnsi="Times New Roman" w:cs="Times New Roman"/>
            </w:rPr>
            <w:fldChar w:fldCharType="begin"/>
          </w:r>
          <w:r w:rsidR="00CF2A49">
            <w:rPr>
              <w:rFonts w:ascii="Times New Roman" w:hAnsi="Times New Roman" w:cs="Times New Roman"/>
              <w:lang w:val="en-US"/>
            </w:rPr>
            <w:instrText xml:space="preserve"> CITATION CFI221 \l 1033 </w:instrText>
          </w:r>
          <w:r w:rsidR="00CF2A49">
            <w:rPr>
              <w:rFonts w:ascii="Times New Roman" w:hAnsi="Times New Roman" w:cs="Times New Roman"/>
            </w:rPr>
            <w:fldChar w:fldCharType="separate"/>
          </w:r>
          <w:r w:rsidR="00734073">
            <w:rPr>
              <w:rFonts w:ascii="Times New Roman" w:hAnsi="Times New Roman" w:cs="Times New Roman"/>
              <w:noProof/>
              <w:lang w:val="en-US"/>
            </w:rPr>
            <w:t xml:space="preserve"> </w:t>
          </w:r>
          <w:r w:rsidR="00734073" w:rsidRPr="00734073">
            <w:rPr>
              <w:rFonts w:ascii="Times New Roman" w:hAnsi="Times New Roman" w:cs="Times New Roman"/>
              <w:noProof/>
              <w:lang w:val="en-US"/>
            </w:rPr>
            <w:t>(CFI Team, 2022)</w:t>
          </w:r>
          <w:r w:rsidR="00CF2A49">
            <w:rPr>
              <w:rFonts w:ascii="Times New Roman" w:hAnsi="Times New Roman" w:cs="Times New Roman"/>
            </w:rPr>
            <w:fldChar w:fldCharType="end"/>
          </w:r>
        </w:sdtContent>
      </w:sdt>
      <w:r w:rsidR="00937248">
        <w:rPr>
          <w:rFonts w:ascii="Times New Roman" w:hAnsi="Times New Roman" w:cs="Times New Roman"/>
        </w:rPr>
        <w:t xml:space="preserve">. </w:t>
      </w:r>
    </w:p>
    <w:p w14:paraId="18B98C4D" w14:textId="711F9F1A" w:rsidR="00937248" w:rsidRPr="00937248" w:rsidRDefault="00937248" w:rsidP="00BF3296">
      <w:pPr>
        <w:spacing w:line="360" w:lineRule="auto"/>
        <w:jc w:val="both"/>
        <w:rPr>
          <w:rFonts w:ascii="Times New Roman" w:hAnsi="Times New Roman" w:cs="Times New Roman"/>
          <w:b/>
          <w:bCs/>
        </w:rPr>
      </w:pPr>
      <w:r w:rsidRPr="00937248">
        <w:rPr>
          <w:rFonts w:ascii="Times New Roman" w:hAnsi="Times New Roman" w:cs="Times New Roman"/>
          <w:b/>
          <w:bCs/>
        </w:rPr>
        <w:t>Efficiency conclusion</w:t>
      </w:r>
    </w:p>
    <w:p w14:paraId="39EBA32E" w14:textId="6FA456A2" w:rsidR="00937248" w:rsidRPr="00BF3296" w:rsidRDefault="00937248" w:rsidP="00BF3296">
      <w:pPr>
        <w:spacing w:line="360" w:lineRule="auto"/>
        <w:jc w:val="both"/>
        <w:rPr>
          <w:rFonts w:ascii="Times New Roman" w:hAnsi="Times New Roman" w:cs="Times New Roman"/>
        </w:rPr>
      </w:pPr>
      <w:r>
        <w:rPr>
          <w:rFonts w:ascii="Times New Roman" w:hAnsi="Times New Roman" w:cs="Times New Roman"/>
        </w:rPr>
        <w:t>Coca-Cola HBC’s working capital efficiency improved in some areas and worsened in others. It was mixed. Inventory days increased, receivable days decreased slightly, payables days increased. All this could be a willing step by the company to reduce pressure on its cash flows and increase revenue. But a balance needs to be maintained here</w:t>
      </w:r>
      <w:r w:rsidR="0080033C">
        <w:rPr>
          <w:rFonts w:ascii="Times New Roman" w:hAnsi="Times New Roman" w:cs="Times New Roman"/>
        </w:rPr>
        <w:t xml:space="preserve"> </w:t>
      </w:r>
      <w:sdt>
        <w:sdtPr>
          <w:rPr>
            <w:rFonts w:ascii="Times New Roman" w:hAnsi="Times New Roman" w:cs="Times New Roman"/>
          </w:rPr>
          <w:id w:val="273452111"/>
          <w:citation/>
        </w:sdtPr>
        <w:sdtEndPr/>
        <w:sdtContent>
          <w:r w:rsidR="0080033C">
            <w:rPr>
              <w:rFonts w:ascii="Times New Roman" w:hAnsi="Times New Roman" w:cs="Times New Roman"/>
            </w:rPr>
            <w:fldChar w:fldCharType="begin"/>
          </w:r>
          <w:r w:rsidR="0080033C">
            <w:rPr>
              <w:rFonts w:ascii="Times New Roman" w:hAnsi="Times New Roman" w:cs="Times New Roman"/>
              <w:lang w:val="en-US"/>
            </w:rPr>
            <w:instrText xml:space="preserve"> CITATION Cho15 \l 1033 </w:instrText>
          </w:r>
          <w:r w:rsidR="0080033C">
            <w:rPr>
              <w:rFonts w:ascii="Times New Roman" w:hAnsi="Times New Roman" w:cs="Times New Roman"/>
            </w:rPr>
            <w:fldChar w:fldCharType="separate"/>
          </w:r>
          <w:r w:rsidR="00734073" w:rsidRPr="00734073">
            <w:rPr>
              <w:rFonts w:ascii="Times New Roman" w:hAnsi="Times New Roman" w:cs="Times New Roman"/>
              <w:noProof/>
              <w:lang w:val="en-US"/>
            </w:rPr>
            <w:t>(Chorafas, 2015)</w:t>
          </w:r>
          <w:r w:rsidR="0080033C">
            <w:rPr>
              <w:rFonts w:ascii="Times New Roman" w:hAnsi="Times New Roman" w:cs="Times New Roman"/>
            </w:rPr>
            <w:fldChar w:fldCharType="end"/>
          </w:r>
        </w:sdtContent>
      </w:sdt>
      <w:r>
        <w:rPr>
          <w:rFonts w:ascii="Times New Roman" w:hAnsi="Times New Roman" w:cs="Times New Roman"/>
        </w:rPr>
        <w:t xml:space="preserve">. </w:t>
      </w:r>
    </w:p>
    <w:p w14:paraId="1FC78501" w14:textId="521D796D" w:rsidR="00BF3296" w:rsidRPr="00BF3296" w:rsidRDefault="00BF3296" w:rsidP="00BF3296">
      <w:pPr>
        <w:spacing w:line="360" w:lineRule="auto"/>
        <w:jc w:val="both"/>
        <w:rPr>
          <w:rFonts w:ascii="Times New Roman" w:hAnsi="Times New Roman" w:cs="Times New Roman"/>
        </w:rPr>
      </w:pPr>
    </w:p>
    <w:p w14:paraId="44463E52" w14:textId="00A6C388" w:rsidR="00BF3296" w:rsidRPr="00BF3296" w:rsidRDefault="00BF3296" w:rsidP="008428C1">
      <w:pPr>
        <w:pStyle w:val="Heading2"/>
      </w:pPr>
      <w:bookmarkStart w:id="28" w:name="_Toc218984746"/>
      <w:r w:rsidRPr="00BF3296">
        <w:t>Investor Performance</w:t>
      </w:r>
      <w:bookmarkEnd w:id="28"/>
    </w:p>
    <w:p w14:paraId="67797641" w14:textId="1D8DA971" w:rsidR="00BF3296" w:rsidRPr="00937248" w:rsidRDefault="00BF3296" w:rsidP="008428C1">
      <w:pPr>
        <w:pStyle w:val="Heading3"/>
      </w:pPr>
      <w:bookmarkStart w:id="29" w:name="_Toc218984747"/>
      <w:r w:rsidRPr="00BF3296">
        <w:t>Earnings Per Share (EPS)</w:t>
      </w:r>
      <w:bookmarkEnd w:id="29"/>
    </w:p>
    <w:p w14:paraId="1E42A62F" w14:textId="481150FD" w:rsidR="005E6D8E" w:rsidRPr="005E6D8E" w:rsidRDefault="00937248" w:rsidP="005E6D8E">
      <w:pPr>
        <w:spacing w:line="360" w:lineRule="auto"/>
        <w:jc w:val="both"/>
        <w:rPr>
          <w:rFonts w:ascii="Times New Roman" w:hAnsi="Times New Roman" w:cs="Times New Roman"/>
        </w:rPr>
      </w:pPr>
      <w:r>
        <w:rPr>
          <w:rFonts w:ascii="Times New Roman" w:hAnsi="Times New Roman" w:cs="Times New Roman"/>
        </w:rPr>
        <w:t xml:space="preserve">EPS is the profit that the company gave out to its shareholders for every share. There was an increase in EPS from the year 2023 to the year 2024. In 2023 the EPS was </w:t>
      </w:r>
      <w:r w:rsidRPr="00937248">
        <w:rPr>
          <w:rFonts w:ascii="Times New Roman" w:hAnsi="Times New Roman" w:cs="Times New Roman"/>
        </w:rPr>
        <w:t>£1.51</w:t>
      </w:r>
      <w:r>
        <w:rPr>
          <w:rFonts w:ascii="Times New Roman" w:hAnsi="Times New Roman" w:cs="Times New Roman"/>
        </w:rPr>
        <w:t xml:space="preserve">. In 2024 the EPS was </w:t>
      </w:r>
      <w:r w:rsidRPr="00937248">
        <w:rPr>
          <w:rFonts w:ascii="Times New Roman" w:hAnsi="Times New Roman" w:cs="Times New Roman"/>
        </w:rPr>
        <w:t>£1.96</w:t>
      </w:r>
      <w:r>
        <w:rPr>
          <w:rFonts w:ascii="Times New Roman" w:hAnsi="Times New Roman" w:cs="Times New Roman"/>
        </w:rPr>
        <w:t>. This is supported by the increase in the company’s profits over this time period</w:t>
      </w:r>
      <w:r w:rsidR="005E6D8E">
        <w:rPr>
          <w:rFonts w:ascii="Times New Roman" w:hAnsi="Times New Roman" w:cs="Times New Roman"/>
        </w:rPr>
        <w:t xml:space="preserve"> </w:t>
      </w:r>
      <w:sdt>
        <w:sdtPr>
          <w:rPr>
            <w:rFonts w:ascii="Times New Roman" w:hAnsi="Times New Roman" w:cs="Times New Roman"/>
          </w:rPr>
          <w:id w:val="-745346068"/>
          <w:citation/>
        </w:sdtPr>
        <w:sdtEndPr/>
        <w:sdtContent>
          <w:r w:rsidR="005E6D8E">
            <w:rPr>
              <w:rFonts w:ascii="Times New Roman" w:hAnsi="Times New Roman" w:cs="Times New Roman"/>
            </w:rPr>
            <w:fldChar w:fldCharType="begin"/>
          </w:r>
          <w:r w:rsidR="005E6D8E">
            <w:rPr>
              <w:rFonts w:ascii="Times New Roman" w:hAnsi="Times New Roman" w:cs="Times New Roman"/>
              <w:lang w:val="en-US"/>
            </w:rPr>
            <w:instrText xml:space="preserve"> CITATION Sch22 \l 1033 </w:instrText>
          </w:r>
          <w:r w:rsidR="005E6D8E">
            <w:rPr>
              <w:rFonts w:ascii="Times New Roman" w:hAnsi="Times New Roman" w:cs="Times New Roman"/>
            </w:rPr>
            <w:fldChar w:fldCharType="separate"/>
          </w:r>
          <w:r w:rsidR="00734073" w:rsidRPr="00734073">
            <w:rPr>
              <w:rFonts w:ascii="Times New Roman" w:hAnsi="Times New Roman" w:cs="Times New Roman"/>
              <w:noProof/>
              <w:lang w:val="en-US"/>
            </w:rPr>
            <w:t>(Schmidt, 2022)</w:t>
          </w:r>
          <w:r w:rsidR="005E6D8E">
            <w:rPr>
              <w:rFonts w:ascii="Times New Roman" w:hAnsi="Times New Roman" w:cs="Times New Roman"/>
            </w:rPr>
            <w:fldChar w:fldCharType="end"/>
          </w:r>
        </w:sdtContent>
      </w:sdt>
      <w:r>
        <w:rPr>
          <w:rFonts w:ascii="Times New Roman" w:hAnsi="Times New Roman" w:cs="Times New Roman"/>
        </w:rPr>
        <w:t>. This increase means that the company has added more value for the shareholders</w:t>
      </w:r>
      <w:sdt>
        <w:sdtPr>
          <w:rPr>
            <w:rFonts w:ascii="Times New Roman" w:hAnsi="Times New Roman" w:cs="Times New Roman"/>
          </w:rPr>
          <w:id w:val="-942373708"/>
          <w:citation/>
        </w:sdtPr>
        <w:sdtEndPr/>
        <w:sdtContent>
          <w:r w:rsidR="00E526A9">
            <w:rPr>
              <w:rFonts w:ascii="Times New Roman" w:hAnsi="Times New Roman" w:cs="Times New Roman"/>
            </w:rPr>
            <w:fldChar w:fldCharType="begin"/>
          </w:r>
          <w:r w:rsidR="00E526A9">
            <w:rPr>
              <w:rFonts w:ascii="Times New Roman" w:hAnsi="Times New Roman" w:cs="Times New Roman"/>
              <w:lang w:val="en-US"/>
            </w:rPr>
            <w:instrText xml:space="preserve"> CITATION Lic07 \l 1033 </w:instrText>
          </w:r>
          <w:r w:rsidR="00E526A9">
            <w:rPr>
              <w:rFonts w:ascii="Times New Roman" w:hAnsi="Times New Roman" w:cs="Times New Roman"/>
            </w:rPr>
            <w:fldChar w:fldCharType="separate"/>
          </w:r>
          <w:r w:rsidR="00734073">
            <w:rPr>
              <w:rFonts w:ascii="Times New Roman" w:hAnsi="Times New Roman" w:cs="Times New Roman"/>
              <w:noProof/>
              <w:lang w:val="en-US"/>
            </w:rPr>
            <w:t xml:space="preserve"> </w:t>
          </w:r>
          <w:r w:rsidR="00734073" w:rsidRPr="00734073">
            <w:rPr>
              <w:rFonts w:ascii="Times New Roman" w:hAnsi="Times New Roman" w:cs="Times New Roman"/>
              <w:noProof/>
              <w:lang w:val="en-US"/>
            </w:rPr>
            <w:t>(Lichtenstein &amp; Dade, 2007)</w:t>
          </w:r>
          <w:r w:rsidR="00E526A9">
            <w:rPr>
              <w:rFonts w:ascii="Times New Roman" w:hAnsi="Times New Roman" w:cs="Times New Roman"/>
            </w:rPr>
            <w:fldChar w:fldCharType="end"/>
          </w:r>
        </w:sdtContent>
      </w:sdt>
      <w:r>
        <w:rPr>
          <w:rFonts w:ascii="Times New Roman" w:hAnsi="Times New Roman" w:cs="Times New Roman"/>
        </w:rPr>
        <w:t>. This indicates business success and makes the company an attractive investment opportunity for the investors</w:t>
      </w:r>
      <w:sdt>
        <w:sdtPr>
          <w:rPr>
            <w:rFonts w:ascii="Times New Roman" w:hAnsi="Times New Roman" w:cs="Times New Roman"/>
          </w:rPr>
          <w:id w:val="-210029828"/>
          <w:citation/>
        </w:sdtPr>
        <w:sdtEndPr/>
        <w:sdtContent>
          <w:r w:rsidR="0080033C">
            <w:rPr>
              <w:rFonts w:ascii="Times New Roman" w:hAnsi="Times New Roman" w:cs="Times New Roman"/>
            </w:rPr>
            <w:fldChar w:fldCharType="begin"/>
          </w:r>
          <w:r w:rsidR="0080033C">
            <w:rPr>
              <w:rFonts w:ascii="Times New Roman" w:hAnsi="Times New Roman" w:cs="Times New Roman"/>
              <w:lang w:val="en-US"/>
            </w:rPr>
            <w:instrText xml:space="preserve"> CITATION Bak14 \l 1033 </w:instrText>
          </w:r>
          <w:r w:rsidR="0080033C">
            <w:rPr>
              <w:rFonts w:ascii="Times New Roman" w:hAnsi="Times New Roman" w:cs="Times New Roman"/>
            </w:rPr>
            <w:fldChar w:fldCharType="separate"/>
          </w:r>
          <w:r w:rsidR="00734073">
            <w:rPr>
              <w:rFonts w:ascii="Times New Roman" w:hAnsi="Times New Roman" w:cs="Times New Roman"/>
              <w:noProof/>
              <w:lang w:val="en-US"/>
            </w:rPr>
            <w:t xml:space="preserve"> </w:t>
          </w:r>
          <w:r w:rsidR="00734073" w:rsidRPr="00734073">
            <w:rPr>
              <w:rFonts w:ascii="Times New Roman" w:hAnsi="Times New Roman" w:cs="Times New Roman"/>
              <w:noProof/>
              <w:lang w:val="en-US"/>
            </w:rPr>
            <w:t>(Baker &amp; Ricciardi, 2014)</w:t>
          </w:r>
          <w:r w:rsidR="0080033C">
            <w:rPr>
              <w:rFonts w:ascii="Times New Roman" w:hAnsi="Times New Roman" w:cs="Times New Roman"/>
            </w:rPr>
            <w:fldChar w:fldCharType="end"/>
          </w:r>
        </w:sdtContent>
      </w:sdt>
      <w:r>
        <w:rPr>
          <w:rFonts w:ascii="Times New Roman" w:hAnsi="Times New Roman" w:cs="Times New Roman"/>
        </w:rPr>
        <w:t xml:space="preserve">. </w:t>
      </w:r>
    </w:p>
    <w:p w14:paraId="7DEE2DE4" w14:textId="18DC55D3" w:rsidR="005E6D8E" w:rsidRPr="005E6D8E" w:rsidRDefault="005E6D8E" w:rsidP="008428C1">
      <w:pPr>
        <w:pStyle w:val="Heading3"/>
        <w:rPr>
          <w:lang w:val="en-US"/>
        </w:rPr>
      </w:pPr>
      <w:bookmarkStart w:id="30" w:name="_Toc218984748"/>
      <w:r w:rsidRPr="005E6D8E">
        <w:rPr>
          <w:lang w:val="en-US"/>
        </w:rPr>
        <w:t>Dividend per Share (DPS)</w:t>
      </w:r>
      <w:bookmarkEnd w:id="30"/>
    </w:p>
    <w:p w14:paraId="43999200" w14:textId="3B24CC0D" w:rsidR="005E6D8E" w:rsidRDefault="002640D5" w:rsidP="005E6D8E">
      <w:pPr>
        <w:spacing w:line="360" w:lineRule="auto"/>
        <w:jc w:val="both"/>
        <w:rPr>
          <w:rFonts w:ascii="Times New Roman" w:hAnsi="Times New Roman" w:cs="Times New Roman"/>
          <w:lang w:val="en-US"/>
        </w:rPr>
      </w:pPr>
      <w:r>
        <w:rPr>
          <w:rFonts w:ascii="Times New Roman" w:hAnsi="Times New Roman" w:cs="Times New Roman"/>
          <w:lang w:val="en-US"/>
        </w:rPr>
        <w:t xml:space="preserve">Dividend per Share (DPS) refers to the cash dividend that has been proposed or has been paid per ordinary share. </w:t>
      </w:r>
    </w:p>
    <w:p w14:paraId="76289A6B" w14:textId="65A291C0" w:rsidR="002640D5" w:rsidRPr="005E6D8E" w:rsidRDefault="002640D5" w:rsidP="005E6D8E">
      <w:pPr>
        <w:spacing w:line="360" w:lineRule="auto"/>
        <w:jc w:val="both"/>
        <w:rPr>
          <w:rFonts w:ascii="Times New Roman" w:hAnsi="Times New Roman" w:cs="Times New Roman"/>
          <w:lang w:val="en-US"/>
        </w:rPr>
      </w:pPr>
      <w:r>
        <w:rPr>
          <w:rFonts w:ascii="Times New Roman" w:hAnsi="Times New Roman" w:cs="Times New Roman"/>
          <w:lang w:val="en-US"/>
        </w:rPr>
        <w:t xml:space="preserve">There was a slight increase in the dividend per share from the year 2023 to the year 2024. In the year 2023 the DPS was </w:t>
      </w:r>
      <w:r w:rsidRPr="002640D5">
        <w:rPr>
          <w:rFonts w:ascii="Times New Roman" w:hAnsi="Times New Roman" w:cs="Times New Roman"/>
          <w:lang w:val="en-US"/>
        </w:rPr>
        <w:t>£0.81</w:t>
      </w:r>
      <w:r>
        <w:rPr>
          <w:rFonts w:ascii="Times New Roman" w:hAnsi="Times New Roman" w:cs="Times New Roman"/>
          <w:lang w:val="en-US"/>
        </w:rPr>
        <w:t xml:space="preserve">. In 2024 the DPS was </w:t>
      </w:r>
      <w:r w:rsidRPr="002640D5">
        <w:rPr>
          <w:rFonts w:ascii="Times New Roman" w:hAnsi="Times New Roman" w:cs="Times New Roman"/>
          <w:lang w:val="en-US"/>
        </w:rPr>
        <w:t>£0.90</w:t>
      </w:r>
      <w:r>
        <w:rPr>
          <w:rFonts w:ascii="Times New Roman" w:hAnsi="Times New Roman" w:cs="Times New Roman"/>
          <w:lang w:val="en-US"/>
        </w:rPr>
        <w:t xml:space="preserve">. This is a hint that Coca-Cola HBC increased its return to the shareholders in 2024 from the previous year. This is aligned with the increased profitability of that year. </w:t>
      </w:r>
    </w:p>
    <w:p w14:paraId="23B5384F" w14:textId="36A913A7" w:rsidR="005E6D8E" w:rsidRPr="005E6D8E" w:rsidRDefault="005E6D8E" w:rsidP="008428C1">
      <w:pPr>
        <w:pStyle w:val="Heading3"/>
        <w:rPr>
          <w:lang w:val="en-US"/>
        </w:rPr>
      </w:pPr>
      <w:bookmarkStart w:id="31" w:name="_Toc218984749"/>
      <w:r w:rsidRPr="005E6D8E">
        <w:rPr>
          <w:lang w:val="en-US"/>
        </w:rPr>
        <w:lastRenderedPageBreak/>
        <w:t>Dividend Cover</w:t>
      </w:r>
      <w:bookmarkEnd w:id="31"/>
    </w:p>
    <w:p w14:paraId="29F712B9" w14:textId="1CE9E4C6" w:rsidR="002640D5" w:rsidRPr="005E6D8E" w:rsidRDefault="002640D5" w:rsidP="005E6D8E">
      <w:pPr>
        <w:spacing w:line="360" w:lineRule="auto"/>
        <w:jc w:val="both"/>
        <w:rPr>
          <w:rFonts w:ascii="Times New Roman" w:hAnsi="Times New Roman" w:cs="Times New Roman"/>
          <w:lang w:val="en-US"/>
        </w:rPr>
      </w:pPr>
      <w:r>
        <w:rPr>
          <w:rFonts w:ascii="Times New Roman" w:hAnsi="Times New Roman" w:cs="Times New Roman"/>
          <w:lang w:val="en-US"/>
        </w:rPr>
        <w:t xml:space="preserve">Dividend cover refers to the measurement of how many times the amount of profit covers the amount of dividend payment. This is a key metric for sustainable dividend payments. </w:t>
      </w:r>
    </w:p>
    <w:p w14:paraId="419E426D" w14:textId="152D6BAB" w:rsidR="002640D5" w:rsidRPr="005E6D8E" w:rsidRDefault="002640D5" w:rsidP="005E6D8E">
      <w:pPr>
        <w:spacing w:line="360" w:lineRule="auto"/>
        <w:jc w:val="both"/>
        <w:rPr>
          <w:rFonts w:ascii="Times New Roman" w:hAnsi="Times New Roman" w:cs="Times New Roman"/>
          <w:lang w:val="en-US"/>
        </w:rPr>
      </w:pPr>
      <w:r>
        <w:rPr>
          <w:rFonts w:ascii="Times New Roman" w:hAnsi="Times New Roman" w:cs="Times New Roman"/>
          <w:lang w:val="en-US"/>
        </w:rPr>
        <w:t xml:space="preserve">The dividend cover shows a substantial increase from the year 2023 to the year 2024. In the year 2023 the dividend cover was 1.86 times. In 2024 the dividend cover was 2.19 times. This is a hint that Coca-Cola HBC’s profits increased a faster than its dividends, which only increased slightly. This ensures that the company can pay its returns to its shareholders and still have enough left over, increasing sustainability and reducing pressure both on the short- and long-terms. </w:t>
      </w:r>
    </w:p>
    <w:p w14:paraId="27BB94C3" w14:textId="67FD68F5" w:rsidR="005E6D8E" w:rsidRPr="005E6D8E" w:rsidRDefault="005E6D8E" w:rsidP="008428C1">
      <w:pPr>
        <w:pStyle w:val="Heading3"/>
        <w:rPr>
          <w:lang w:val="en-US"/>
        </w:rPr>
      </w:pPr>
      <w:bookmarkStart w:id="32" w:name="_Toc218984750"/>
      <w:r w:rsidRPr="005E6D8E">
        <w:rPr>
          <w:lang w:val="en-US"/>
        </w:rPr>
        <w:t>Dividend Yield</w:t>
      </w:r>
      <w:bookmarkEnd w:id="32"/>
    </w:p>
    <w:p w14:paraId="6246C824" w14:textId="006BDF72" w:rsidR="005E6D8E" w:rsidRPr="005E6D8E" w:rsidRDefault="002640D5" w:rsidP="005E6D8E">
      <w:pPr>
        <w:spacing w:line="360" w:lineRule="auto"/>
        <w:jc w:val="both"/>
        <w:rPr>
          <w:rFonts w:ascii="Times New Roman" w:hAnsi="Times New Roman" w:cs="Times New Roman"/>
          <w:lang w:val="en-US"/>
        </w:rPr>
      </w:pPr>
      <w:r>
        <w:rPr>
          <w:rFonts w:ascii="Times New Roman" w:hAnsi="Times New Roman" w:cs="Times New Roman"/>
          <w:lang w:val="en-US"/>
        </w:rPr>
        <w:t xml:space="preserve">Dividend yield is a ratio of the dividend return against the share price. </w:t>
      </w:r>
    </w:p>
    <w:p w14:paraId="3970423A" w14:textId="1E7B3165" w:rsidR="002640D5" w:rsidRPr="005E6D8E" w:rsidRDefault="002640D5" w:rsidP="005E6D8E">
      <w:pPr>
        <w:spacing w:line="360" w:lineRule="auto"/>
        <w:jc w:val="both"/>
        <w:rPr>
          <w:rFonts w:ascii="Times New Roman" w:hAnsi="Times New Roman" w:cs="Times New Roman"/>
          <w:lang w:val="en-US"/>
        </w:rPr>
      </w:pPr>
      <w:r>
        <w:rPr>
          <w:rFonts w:ascii="Times New Roman" w:hAnsi="Times New Roman" w:cs="Times New Roman"/>
          <w:lang w:val="en-US"/>
        </w:rPr>
        <w:t xml:space="preserve">There was a slight decrease in the dividend yield from the year 2023 to the year 2024. In 2023 the dividend yield was </w:t>
      </w:r>
      <w:r w:rsidRPr="002640D5">
        <w:rPr>
          <w:rFonts w:ascii="Times New Roman" w:hAnsi="Times New Roman" w:cs="Times New Roman"/>
          <w:lang w:val="en-US"/>
        </w:rPr>
        <w:t>3.51%</w:t>
      </w:r>
      <w:r>
        <w:rPr>
          <w:rFonts w:ascii="Times New Roman" w:hAnsi="Times New Roman" w:cs="Times New Roman"/>
          <w:lang w:val="en-US"/>
        </w:rPr>
        <w:t xml:space="preserve">. In 2024 the dividend yield was </w:t>
      </w:r>
      <w:r w:rsidRPr="002640D5">
        <w:rPr>
          <w:rFonts w:ascii="Times New Roman" w:hAnsi="Times New Roman" w:cs="Times New Roman"/>
          <w:lang w:val="en-US"/>
        </w:rPr>
        <w:t>3.28%</w:t>
      </w:r>
      <w:r>
        <w:rPr>
          <w:rFonts w:ascii="Times New Roman" w:hAnsi="Times New Roman" w:cs="Times New Roman"/>
          <w:lang w:val="en-US"/>
        </w:rPr>
        <w:t xml:space="preserve">. This is a hint that the </w:t>
      </w:r>
      <w:r w:rsidR="00F67BC5">
        <w:rPr>
          <w:rFonts w:ascii="Times New Roman" w:hAnsi="Times New Roman" w:cs="Times New Roman"/>
          <w:lang w:val="en-US"/>
        </w:rPr>
        <w:t xml:space="preserve">market valuation of Coca-Cola HBC’s shares increased in 2024, fueled by increased investor interest and trust in the company. </w:t>
      </w:r>
    </w:p>
    <w:p w14:paraId="37316DA2" w14:textId="5F4AB84F" w:rsidR="005E6D8E" w:rsidRPr="005E6D8E" w:rsidRDefault="005E6D8E" w:rsidP="008428C1">
      <w:pPr>
        <w:pStyle w:val="Heading3"/>
        <w:rPr>
          <w:lang w:val="en-US"/>
        </w:rPr>
      </w:pPr>
      <w:bookmarkStart w:id="33" w:name="_Toc218984751"/>
      <w:r w:rsidRPr="005E6D8E">
        <w:rPr>
          <w:lang w:val="en-US"/>
        </w:rPr>
        <w:t>Interest Cover</w:t>
      </w:r>
      <w:bookmarkEnd w:id="33"/>
    </w:p>
    <w:p w14:paraId="0A52ACA3" w14:textId="546573D5" w:rsidR="002C7F24" w:rsidRPr="005E6D8E" w:rsidRDefault="002C7F24" w:rsidP="005E6D8E">
      <w:pPr>
        <w:spacing w:line="360" w:lineRule="auto"/>
        <w:jc w:val="both"/>
        <w:rPr>
          <w:rFonts w:ascii="Times New Roman" w:hAnsi="Times New Roman" w:cs="Times New Roman"/>
          <w:lang w:val="en-US"/>
        </w:rPr>
      </w:pPr>
      <w:r>
        <w:rPr>
          <w:rFonts w:ascii="Times New Roman" w:hAnsi="Times New Roman" w:cs="Times New Roman"/>
          <w:lang w:val="en-US"/>
        </w:rPr>
        <w:t xml:space="preserve">Interest cover is a measurement of how easily the operating profits can cover up the costs of financing. This is a metric of the strength of the company for debt servicing. </w:t>
      </w:r>
    </w:p>
    <w:p w14:paraId="5B167F18" w14:textId="0EC5D891" w:rsidR="005E6D8E" w:rsidRPr="005E6D8E" w:rsidRDefault="002C7F24" w:rsidP="005E6D8E">
      <w:pPr>
        <w:spacing w:line="360" w:lineRule="auto"/>
        <w:jc w:val="both"/>
        <w:rPr>
          <w:rFonts w:ascii="Times New Roman" w:hAnsi="Times New Roman" w:cs="Times New Roman"/>
          <w:lang w:val="en-US"/>
        </w:rPr>
      </w:pPr>
      <w:r>
        <w:rPr>
          <w:rFonts w:ascii="Times New Roman" w:hAnsi="Times New Roman" w:cs="Times New Roman"/>
          <w:lang w:val="en-US"/>
        </w:rPr>
        <w:t xml:space="preserve">There was a sharp increase in the interest cover from the year 2023 to the year 2024. In 2023 the interest cover was </w:t>
      </w:r>
      <w:r w:rsidRPr="002C7F24">
        <w:rPr>
          <w:rFonts w:ascii="Times New Roman" w:hAnsi="Times New Roman" w:cs="Times New Roman"/>
          <w:lang w:val="en-US"/>
        </w:rPr>
        <w:t>9.17 times</w:t>
      </w:r>
      <w:r>
        <w:rPr>
          <w:rFonts w:ascii="Times New Roman" w:hAnsi="Times New Roman" w:cs="Times New Roman"/>
          <w:lang w:val="en-US"/>
        </w:rPr>
        <w:t xml:space="preserve">. In 2024 the interest cover was </w:t>
      </w:r>
      <w:r w:rsidRPr="002C7F24">
        <w:rPr>
          <w:rFonts w:ascii="Times New Roman" w:hAnsi="Times New Roman" w:cs="Times New Roman"/>
          <w:lang w:val="en-US"/>
        </w:rPr>
        <w:t>7.11 times</w:t>
      </w:r>
      <w:r>
        <w:rPr>
          <w:rFonts w:ascii="Times New Roman" w:hAnsi="Times New Roman" w:cs="Times New Roman"/>
          <w:lang w:val="en-US"/>
        </w:rPr>
        <w:t xml:space="preserve">. This hints that for Coca-Cola HBC, the financing costs increased. This is most likely because of higher rates of interest that the company had to pay. Even still, the operating profits can still effectively cover the cost of financing. </w:t>
      </w:r>
    </w:p>
    <w:p w14:paraId="09169928" w14:textId="3C7D8CBC" w:rsidR="005E6D8E" w:rsidRPr="005E6D8E" w:rsidRDefault="005E6D8E" w:rsidP="008428C1">
      <w:pPr>
        <w:pStyle w:val="Heading3"/>
        <w:rPr>
          <w:lang w:val="en-US"/>
        </w:rPr>
      </w:pPr>
      <w:bookmarkStart w:id="34" w:name="_Toc218984752"/>
      <w:r w:rsidRPr="005E6D8E">
        <w:rPr>
          <w:lang w:val="en-US"/>
        </w:rPr>
        <w:t>Price/Earnings (P/E) Ratio</w:t>
      </w:r>
      <w:bookmarkEnd w:id="34"/>
    </w:p>
    <w:p w14:paraId="42FE5A6A" w14:textId="183A6C2B" w:rsidR="005E6D8E" w:rsidRPr="005E6D8E" w:rsidRDefault="00432D64" w:rsidP="005E6D8E">
      <w:pPr>
        <w:spacing w:line="360" w:lineRule="auto"/>
        <w:jc w:val="both"/>
        <w:rPr>
          <w:rFonts w:ascii="Times New Roman" w:hAnsi="Times New Roman" w:cs="Times New Roman"/>
          <w:lang w:val="en-US"/>
        </w:rPr>
      </w:pPr>
      <w:r w:rsidRPr="00432D64">
        <w:rPr>
          <w:rFonts w:ascii="Times New Roman" w:hAnsi="Times New Roman" w:cs="Times New Roman"/>
          <w:lang w:val="en-US"/>
        </w:rPr>
        <w:t>Price/Earnings (P/E)</w:t>
      </w:r>
      <w:r>
        <w:rPr>
          <w:rFonts w:ascii="Times New Roman" w:hAnsi="Times New Roman" w:cs="Times New Roman"/>
          <w:lang w:val="en-US"/>
        </w:rPr>
        <w:t xml:space="preserve"> ratio is a measurement of how much the investors would be willing to pay for </w:t>
      </w:r>
      <w:r w:rsidRPr="00432D64">
        <w:rPr>
          <w:rFonts w:ascii="Times New Roman" w:hAnsi="Times New Roman" w:cs="Times New Roman"/>
          <w:lang w:val="en-US"/>
        </w:rPr>
        <w:t>£1 of earnings</w:t>
      </w:r>
      <w:r>
        <w:rPr>
          <w:rFonts w:ascii="Times New Roman" w:hAnsi="Times New Roman" w:cs="Times New Roman"/>
          <w:lang w:val="en-US"/>
        </w:rPr>
        <w:t xml:space="preserve">. This is an indication of how much confidence the investors have in the company. </w:t>
      </w:r>
    </w:p>
    <w:p w14:paraId="1415C66A" w14:textId="55CA79E2" w:rsidR="00AB6DD5" w:rsidRPr="008428C1" w:rsidRDefault="00432D64" w:rsidP="00BF3296">
      <w:pPr>
        <w:spacing w:line="360" w:lineRule="auto"/>
        <w:jc w:val="both"/>
        <w:rPr>
          <w:rFonts w:ascii="Times New Roman" w:hAnsi="Times New Roman" w:cs="Times New Roman"/>
          <w:lang w:val="en-US"/>
        </w:rPr>
      </w:pPr>
      <w:r>
        <w:rPr>
          <w:rFonts w:ascii="Times New Roman" w:hAnsi="Times New Roman" w:cs="Times New Roman"/>
          <w:lang w:val="en-US"/>
        </w:rPr>
        <w:t xml:space="preserve">The </w:t>
      </w:r>
      <w:r w:rsidRPr="00432D64">
        <w:rPr>
          <w:rFonts w:ascii="Times New Roman" w:hAnsi="Times New Roman" w:cs="Times New Roman"/>
          <w:lang w:val="en-US"/>
        </w:rPr>
        <w:t>P/E ratio</w:t>
      </w:r>
      <w:r>
        <w:rPr>
          <w:rFonts w:ascii="Times New Roman" w:hAnsi="Times New Roman" w:cs="Times New Roman"/>
          <w:lang w:val="en-US"/>
        </w:rPr>
        <w:t xml:space="preserve"> showed a decrease from the year 2023 to the year 2024. In 2023 the ratio was </w:t>
      </w:r>
      <w:r w:rsidRPr="00432D64">
        <w:rPr>
          <w:rFonts w:ascii="Times New Roman" w:hAnsi="Times New Roman" w:cs="Times New Roman"/>
          <w:lang w:val="en-US"/>
        </w:rPr>
        <w:t>15.26</w:t>
      </w:r>
      <w:r>
        <w:rPr>
          <w:rFonts w:ascii="Times New Roman" w:hAnsi="Times New Roman" w:cs="Times New Roman"/>
          <w:lang w:val="en-US"/>
        </w:rPr>
        <w:t xml:space="preserve">. In 2024 the ratio was </w:t>
      </w:r>
      <w:r w:rsidRPr="00432D64">
        <w:rPr>
          <w:rFonts w:ascii="Times New Roman" w:hAnsi="Times New Roman" w:cs="Times New Roman"/>
          <w:lang w:val="en-US"/>
        </w:rPr>
        <w:t>13.94</w:t>
      </w:r>
      <w:r>
        <w:rPr>
          <w:rFonts w:ascii="Times New Roman" w:hAnsi="Times New Roman" w:cs="Times New Roman"/>
          <w:lang w:val="en-US"/>
        </w:rPr>
        <w:t xml:space="preserve">. This indicates that the EPS increased faster than the share price could. This decline can hint at stronger growth of earnings. Moreover, it could also hint at better value </w:t>
      </w:r>
      <w:r>
        <w:rPr>
          <w:rFonts w:ascii="Times New Roman" w:hAnsi="Times New Roman" w:cs="Times New Roman"/>
          <w:lang w:val="en-US"/>
        </w:rPr>
        <w:lastRenderedPageBreak/>
        <w:t xml:space="preserve">for the shareholders. However, this might also hint at any variations in the market environment or situation. </w:t>
      </w:r>
    </w:p>
    <w:p w14:paraId="456F06EB" w14:textId="1BD57714" w:rsidR="00AB6DD5" w:rsidRPr="004F4B73" w:rsidRDefault="00AB6DD5" w:rsidP="008428C1">
      <w:pPr>
        <w:pStyle w:val="Heading1"/>
      </w:pPr>
      <w:bookmarkStart w:id="35" w:name="_Toc218984753"/>
      <w:r w:rsidRPr="004F4B73">
        <w:t>Part 2</w:t>
      </w:r>
      <w:bookmarkEnd w:id="35"/>
    </w:p>
    <w:p w14:paraId="1A47BB70" w14:textId="18F66EE0" w:rsidR="00AB6DD5" w:rsidRPr="004F4B73" w:rsidRDefault="00AB6DD5" w:rsidP="008428C1">
      <w:pPr>
        <w:pStyle w:val="Heading2"/>
        <w:rPr>
          <w:rFonts w:eastAsia="Times New Roman"/>
        </w:rPr>
      </w:pPr>
      <w:bookmarkStart w:id="36" w:name="_Toc218984754"/>
      <w:r w:rsidRPr="004F4B73">
        <w:rPr>
          <w:rFonts w:eastAsia="Times New Roman"/>
        </w:rPr>
        <w:t>Investment Evaluation Options</w:t>
      </w:r>
      <w:bookmarkEnd w:id="36"/>
    </w:p>
    <w:p w14:paraId="4CEE66D1" w14:textId="756D1539" w:rsidR="00AB6DD5" w:rsidRDefault="00AB6DD5" w:rsidP="00AB6DD5">
      <w:pPr>
        <w:spacing w:before="100" w:beforeAutospacing="1" w:after="100" w:afterAutospacing="1" w:line="360" w:lineRule="auto"/>
        <w:jc w:val="both"/>
        <w:rPr>
          <w:rFonts w:ascii="Times New Roman" w:eastAsia="Times New Roman" w:hAnsi="Times New Roman" w:cs="Times New Roman"/>
          <w:kern w:val="0"/>
          <w14:ligatures w14:val="none"/>
        </w:rPr>
      </w:pPr>
      <w:r w:rsidRPr="00342117">
        <w:rPr>
          <w:rFonts w:ascii="Times New Roman" w:eastAsia="Times New Roman" w:hAnsi="Times New Roman" w:cs="Times New Roman"/>
          <w:kern w:val="0"/>
          <w14:ligatures w14:val="none"/>
        </w:rPr>
        <w:t>Westward Plc</w:t>
      </w:r>
      <w:r>
        <w:rPr>
          <w:rFonts w:ascii="Times New Roman" w:eastAsia="Times New Roman" w:hAnsi="Times New Roman" w:cs="Times New Roman"/>
          <w:kern w:val="0"/>
          <w14:ligatures w14:val="none"/>
        </w:rPr>
        <w:t xml:space="preserve">, a company that produces high quality curtains, is faced with three investment options. These options are mutually exclusive, meaning that the company cannot follow more than a single one of them. These options include option A: Expanding its retail outlet that has been until now successful and include other products; option B: Expand into a digital business model; and option C: Introduce new products, wooden and Roman blinds. As with all investments into business growth, these investment options come with an initials cost. The company also provides a four-year projection of revenue. Given that </w:t>
      </w:r>
      <w:r w:rsidRPr="00342117">
        <w:rPr>
          <w:rFonts w:ascii="Times New Roman" w:eastAsia="Times New Roman" w:hAnsi="Times New Roman" w:cs="Times New Roman"/>
          <w:kern w:val="0"/>
          <w14:ligatures w14:val="none"/>
        </w:rPr>
        <w:t>corporation tax rate is 25%, capital allowances are 20% straight-line, and the discount factor is 6%.</w:t>
      </w:r>
      <w:r>
        <w:rPr>
          <w:rFonts w:ascii="Times New Roman" w:eastAsia="Times New Roman" w:hAnsi="Times New Roman" w:cs="Times New Roman"/>
          <w:kern w:val="0"/>
          <w14:ligatures w14:val="none"/>
        </w:rPr>
        <w:t xml:space="preserve"> In such a scenario, this report analyses and evaluates these investment options to consult Westward plc about which option would be the best one for it to follow</w:t>
      </w:r>
      <w:sdt>
        <w:sdtPr>
          <w:rPr>
            <w:rFonts w:ascii="Times New Roman" w:eastAsia="Times New Roman" w:hAnsi="Times New Roman" w:cs="Times New Roman"/>
            <w:kern w:val="0"/>
            <w14:ligatures w14:val="none"/>
          </w:rPr>
          <w:id w:val="1542015379"/>
          <w:citation/>
        </w:sdtPr>
        <w:sdtEndPr/>
        <w:sdtContent>
          <w:r w:rsidR="00317C5B">
            <w:rPr>
              <w:rFonts w:ascii="Times New Roman" w:eastAsia="Times New Roman" w:hAnsi="Times New Roman" w:cs="Times New Roman"/>
              <w:kern w:val="0"/>
              <w14:ligatures w14:val="none"/>
            </w:rPr>
            <w:fldChar w:fldCharType="begin"/>
          </w:r>
          <w:r w:rsidR="00317C5B">
            <w:rPr>
              <w:rFonts w:ascii="Times New Roman" w:eastAsia="Times New Roman" w:hAnsi="Times New Roman" w:cs="Times New Roman"/>
              <w:kern w:val="0"/>
              <w:lang w:val="en-US"/>
              <w14:ligatures w14:val="none"/>
            </w:rPr>
            <w:instrText xml:space="preserve"> CITATION San05 \l 1033 </w:instrText>
          </w:r>
          <w:r w:rsidR="00317C5B">
            <w:rPr>
              <w:rFonts w:ascii="Times New Roman" w:eastAsia="Times New Roman" w:hAnsi="Times New Roman" w:cs="Times New Roman"/>
              <w:kern w:val="0"/>
              <w14:ligatures w14:val="none"/>
            </w:rPr>
            <w:fldChar w:fldCharType="separate"/>
          </w:r>
          <w:r w:rsidR="00734073">
            <w:rPr>
              <w:rFonts w:ascii="Times New Roman" w:eastAsia="Times New Roman" w:hAnsi="Times New Roman" w:cs="Times New Roman"/>
              <w:noProof/>
              <w:kern w:val="0"/>
              <w:lang w:val="en-US"/>
              <w14:ligatures w14:val="none"/>
            </w:rPr>
            <w:t xml:space="preserve"> </w:t>
          </w:r>
          <w:r w:rsidR="00734073" w:rsidRPr="00734073">
            <w:rPr>
              <w:rFonts w:ascii="Times New Roman" w:eastAsia="Times New Roman" w:hAnsi="Times New Roman" w:cs="Times New Roman"/>
              <w:noProof/>
              <w:kern w:val="0"/>
              <w:lang w:val="en-US"/>
              <w14:ligatures w14:val="none"/>
            </w:rPr>
            <w:t>(Sanzo, 2005)</w:t>
          </w:r>
          <w:r w:rsidR="00317C5B">
            <w:rPr>
              <w:rFonts w:ascii="Times New Roman" w:eastAsia="Times New Roman" w:hAnsi="Times New Roman" w:cs="Times New Roman"/>
              <w:kern w:val="0"/>
              <w14:ligatures w14:val="none"/>
            </w:rPr>
            <w:fldChar w:fldCharType="end"/>
          </w:r>
        </w:sdtContent>
      </w:sdt>
      <w:r>
        <w:rPr>
          <w:rFonts w:ascii="Times New Roman" w:eastAsia="Times New Roman" w:hAnsi="Times New Roman" w:cs="Times New Roman"/>
          <w:kern w:val="0"/>
          <w14:ligatures w14:val="none"/>
        </w:rPr>
        <w:t xml:space="preserve">. </w:t>
      </w:r>
    </w:p>
    <w:p w14:paraId="70EB436E" w14:textId="77777777" w:rsidR="00AB6DD5" w:rsidRDefault="00AB6DD5" w:rsidP="00AB6DD5">
      <w:pPr>
        <w:spacing w:before="100" w:beforeAutospacing="1" w:after="100" w:afterAutospacing="1" w:line="36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These investment options come at a significant risk, and their failure after the significant initial investment could result in Westward plc losing its market relevance and share, with significant losses. To mitigate the risk as much as possible, the company has multiple appraisal methods available for it to make an informed decision. These options include Net Present Value (NPV), </w:t>
      </w:r>
      <w:r w:rsidRPr="00AA4A36">
        <w:rPr>
          <w:rFonts w:ascii="Times New Roman" w:eastAsia="Times New Roman" w:hAnsi="Times New Roman" w:cs="Times New Roman"/>
          <w:kern w:val="0"/>
          <w14:ligatures w14:val="none"/>
        </w:rPr>
        <w:t>Payback Period, Accounting Rate of Return (ARR), and Internal Rate of Return (IRR)</w:t>
      </w:r>
      <w:r>
        <w:rPr>
          <w:rFonts w:ascii="Times New Roman" w:eastAsia="Times New Roman" w:hAnsi="Times New Roman" w:cs="Times New Roman"/>
          <w:kern w:val="0"/>
          <w14:ligatures w14:val="none"/>
        </w:rPr>
        <w:t xml:space="preserve">. </w:t>
      </w:r>
    </w:p>
    <w:p w14:paraId="0C86B532" w14:textId="15E07B5E" w:rsidR="00AB6DD5" w:rsidRPr="007B59F7" w:rsidRDefault="00AB6DD5" w:rsidP="00AB6DD5">
      <w:pPr>
        <w:spacing w:before="100" w:beforeAutospacing="1" w:after="100" w:afterAutospacing="1" w:line="36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NPV is one of the best frameworks for appraisal, as it allows the organization to calculate the creation of value in terms of money and incorporates the fluctuations in the value of money over time</w:t>
      </w:r>
      <w:sdt>
        <w:sdtPr>
          <w:rPr>
            <w:rFonts w:ascii="Times New Roman" w:eastAsia="Times New Roman" w:hAnsi="Times New Roman" w:cs="Times New Roman"/>
            <w:kern w:val="0"/>
            <w14:ligatures w14:val="none"/>
          </w:rPr>
          <w:id w:val="-64721002"/>
          <w:citation/>
        </w:sdtPr>
        <w:sdtEndPr/>
        <w:sdtContent>
          <w:r w:rsidR="00317C5B">
            <w:rPr>
              <w:rFonts w:ascii="Times New Roman" w:eastAsia="Times New Roman" w:hAnsi="Times New Roman" w:cs="Times New Roman"/>
              <w:kern w:val="0"/>
              <w14:ligatures w14:val="none"/>
            </w:rPr>
            <w:fldChar w:fldCharType="begin"/>
          </w:r>
          <w:r w:rsidR="00317C5B">
            <w:rPr>
              <w:rFonts w:ascii="Times New Roman" w:eastAsia="Times New Roman" w:hAnsi="Times New Roman" w:cs="Times New Roman"/>
              <w:kern w:val="0"/>
              <w:lang w:val="en-US"/>
              <w14:ligatures w14:val="none"/>
            </w:rPr>
            <w:instrText xml:space="preserve"> CITATION Spr18 \l 1033 </w:instrText>
          </w:r>
          <w:r w:rsidR="00317C5B">
            <w:rPr>
              <w:rFonts w:ascii="Times New Roman" w:eastAsia="Times New Roman" w:hAnsi="Times New Roman" w:cs="Times New Roman"/>
              <w:kern w:val="0"/>
              <w14:ligatures w14:val="none"/>
            </w:rPr>
            <w:fldChar w:fldCharType="separate"/>
          </w:r>
          <w:r w:rsidR="00734073">
            <w:rPr>
              <w:rFonts w:ascii="Times New Roman" w:eastAsia="Times New Roman" w:hAnsi="Times New Roman" w:cs="Times New Roman"/>
              <w:noProof/>
              <w:kern w:val="0"/>
              <w:lang w:val="en-US"/>
              <w14:ligatures w14:val="none"/>
            </w:rPr>
            <w:t xml:space="preserve"> </w:t>
          </w:r>
          <w:r w:rsidR="00734073" w:rsidRPr="00734073">
            <w:rPr>
              <w:rFonts w:ascii="Times New Roman" w:eastAsia="Times New Roman" w:hAnsi="Times New Roman" w:cs="Times New Roman"/>
              <w:noProof/>
              <w:kern w:val="0"/>
              <w:lang w:val="en-US"/>
              <w14:ligatures w14:val="none"/>
            </w:rPr>
            <w:t>(Spring, 2018)</w:t>
          </w:r>
          <w:r w:rsidR="00317C5B">
            <w:rPr>
              <w:rFonts w:ascii="Times New Roman" w:eastAsia="Times New Roman" w:hAnsi="Times New Roman" w:cs="Times New Roman"/>
              <w:kern w:val="0"/>
              <w14:ligatures w14:val="none"/>
            </w:rPr>
            <w:fldChar w:fldCharType="end"/>
          </w:r>
        </w:sdtContent>
      </w:sdt>
      <w:r>
        <w:rPr>
          <w:rFonts w:ascii="Times New Roman" w:eastAsia="Times New Roman" w:hAnsi="Times New Roman" w:cs="Times New Roman"/>
          <w:kern w:val="0"/>
          <w14:ligatures w14:val="none"/>
        </w:rPr>
        <w:t>. The internal Rate of Return is another great framework for understanding and making informed investment decisions. It allows businesses to assess the viability of an investment through a single percentage that is easy for the directors to interpret and compare with other investment options</w:t>
      </w:r>
      <w:sdt>
        <w:sdtPr>
          <w:rPr>
            <w:rFonts w:ascii="Times New Roman" w:eastAsia="Times New Roman" w:hAnsi="Times New Roman" w:cs="Times New Roman"/>
            <w:kern w:val="0"/>
            <w14:ligatures w14:val="none"/>
          </w:rPr>
          <w:id w:val="-887960797"/>
          <w:citation/>
        </w:sdtPr>
        <w:sdtEndPr/>
        <w:sdtContent>
          <w:r w:rsidR="00B85D7D">
            <w:rPr>
              <w:rFonts w:ascii="Times New Roman" w:eastAsia="Times New Roman" w:hAnsi="Times New Roman" w:cs="Times New Roman"/>
              <w:kern w:val="0"/>
              <w14:ligatures w14:val="none"/>
            </w:rPr>
            <w:fldChar w:fldCharType="begin"/>
          </w:r>
          <w:r w:rsidR="00B85D7D">
            <w:rPr>
              <w:rFonts w:ascii="Times New Roman" w:eastAsia="Times New Roman" w:hAnsi="Times New Roman" w:cs="Times New Roman"/>
              <w:kern w:val="0"/>
              <w:lang w:val="en-US"/>
              <w14:ligatures w14:val="none"/>
            </w:rPr>
            <w:instrText xml:space="preserve">CITATION Kra06 \l 1033 </w:instrText>
          </w:r>
          <w:r w:rsidR="00B85D7D">
            <w:rPr>
              <w:rFonts w:ascii="Times New Roman" w:eastAsia="Times New Roman" w:hAnsi="Times New Roman" w:cs="Times New Roman"/>
              <w:kern w:val="0"/>
              <w14:ligatures w14:val="none"/>
            </w:rPr>
            <w:fldChar w:fldCharType="separate"/>
          </w:r>
          <w:r w:rsidR="00734073">
            <w:rPr>
              <w:rFonts w:ascii="Times New Roman" w:eastAsia="Times New Roman" w:hAnsi="Times New Roman" w:cs="Times New Roman"/>
              <w:noProof/>
              <w:kern w:val="0"/>
              <w:lang w:val="en-US"/>
              <w14:ligatures w14:val="none"/>
            </w:rPr>
            <w:t xml:space="preserve"> </w:t>
          </w:r>
          <w:r w:rsidR="00734073" w:rsidRPr="00734073">
            <w:rPr>
              <w:rFonts w:ascii="Times New Roman" w:eastAsia="Times New Roman" w:hAnsi="Times New Roman" w:cs="Times New Roman"/>
              <w:noProof/>
              <w:kern w:val="0"/>
              <w:lang w:val="en-US"/>
              <w14:ligatures w14:val="none"/>
            </w:rPr>
            <w:t>(Atrill, 2019)</w:t>
          </w:r>
          <w:r w:rsidR="00B85D7D">
            <w:rPr>
              <w:rFonts w:ascii="Times New Roman" w:eastAsia="Times New Roman" w:hAnsi="Times New Roman" w:cs="Times New Roman"/>
              <w:kern w:val="0"/>
              <w14:ligatures w14:val="none"/>
            </w:rPr>
            <w:fldChar w:fldCharType="end"/>
          </w:r>
        </w:sdtContent>
      </w:sdt>
      <w:r>
        <w:rPr>
          <w:rFonts w:ascii="Times New Roman" w:eastAsia="Times New Roman" w:hAnsi="Times New Roman" w:cs="Times New Roman"/>
          <w:kern w:val="0"/>
          <w14:ligatures w14:val="none"/>
        </w:rPr>
        <w:t>. This works by figuring out the discount rate through which the company would break with the initial investment. But due to its simplicity, it can be unreliable in complex scenarios. In such complex scenarios, IRR might even give out wrong calculations</w:t>
      </w:r>
      <w:sdt>
        <w:sdtPr>
          <w:rPr>
            <w:rFonts w:ascii="Times New Roman" w:eastAsia="Times New Roman" w:hAnsi="Times New Roman" w:cs="Times New Roman"/>
            <w:kern w:val="0"/>
            <w14:ligatures w14:val="none"/>
          </w:rPr>
          <w:id w:val="-825734643"/>
          <w:citation/>
        </w:sdtPr>
        <w:sdtEndPr/>
        <w:sdtContent>
          <w:r w:rsidR="00CF2A49">
            <w:rPr>
              <w:rFonts w:ascii="Times New Roman" w:eastAsia="Times New Roman" w:hAnsi="Times New Roman" w:cs="Times New Roman"/>
              <w:kern w:val="0"/>
              <w14:ligatures w14:val="none"/>
            </w:rPr>
            <w:fldChar w:fldCharType="begin"/>
          </w:r>
          <w:r w:rsidR="00CF2A49">
            <w:rPr>
              <w:rFonts w:ascii="Times New Roman" w:eastAsia="Times New Roman" w:hAnsi="Times New Roman" w:cs="Times New Roman"/>
              <w:kern w:val="0"/>
              <w:lang w:val="en-US"/>
              <w14:ligatures w14:val="none"/>
            </w:rPr>
            <w:instrText xml:space="preserve"> CITATION CFI22 \l 1033 </w:instrText>
          </w:r>
          <w:r w:rsidR="00CF2A49">
            <w:rPr>
              <w:rFonts w:ascii="Times New Roman" w:eastAsia="Times New Roman" w:hAnsi="Times New Roman" w:cs="Times New Roman"/>
              <w:kern w:val="0"/>
              <w14:ligatures w14:val="none"/>
            </w:rPr>
            <w:fldChar w:fldCharType="separate"/>
          </w:r>
          <w:r w:rsidR="00734073">
            <w:rPr>
              <w:rFonts w:ascii="Times New Roman" w:eastAsia="Times New Roman" w:hAnsi="Times New Roman" w:cs="Times New Roman"/>
              <w:noProof/>
              <w:kern w:val="0"/>
              <w:lang w:val="en-US"/>
              <w14:ligatures w14:val="none"/>
            </w:rPr>
            <w:t xml:space="preserve"> </w:t>
          </w:r>
          <w:r w:rsidR="00734073" w:rsidRPr="00734073">
            <w:rPr>
              <w:rFonts w:ascii="Times New Roman" w:eastAsia="Times New Roman" w:hAnsi="Times New Roman" w:cs="Times New Roman"/>
              <w:noProof/>
              <w:kern w:val="0"/>
              <w:lang w:val="en-US"/>
              <w14:ligatures w14:val="none"/>
            </w:rPr>
            <w:t>(CFI, 2022)</w:t>
          </w:r>
          <w:r w:rsidR="00CF2A49">
            <w:rPr>
              <w:rFonts w:ascii="Times New Roman" w:eastAsia="Times New Roman" w:hAnsi="Times New Roman" w:cs="Times New Roman"/>
              <w:kern w:val="0"/>
              <w14:ligatures w14:val="none"/>
            </w:rPr>
            <w:fldChar w:fldCharType="end"/>
          </w:r>
        </w:sdtContent>
      </w:sdt>
      <w:r>
        <w:rPr>
          <w:rFonts w:ascii="Times New Roman" w:eastAsia="Times New Roman" w:hAnsi="Times New Roman" w:cs="Times New Roman"/>
          <w:kern w:val="0"/>
          <w14:ligatures w14:val="none"/>
        </w:rPr>
        <w:t xml:space="preserve">. The focus of the Payback Period method, however, is on liquidity. The method works by </w:t>
      </w:r>
      <w:r>
        <w:rPr>
          <w:rFonts w:ascii="Times New Roman" w:eastAsia="Times New Roman" w:hAnsi="Times New Roman" w:cs="Times New Roman"/>
          <w:kern w:val="0"/>
          <w14:ligatures w14:val="none"/>
        </w:rPr>
        <w:lastRenderedPageBreak/>
        <w:t>identifying the time period necessary for the investment options to give the parent company its initial investment</w:t>
      </w:r>
      <w:sdt>
        <w:sdtPr>
          <w:rPr>
            <w:rFonts w:ascii="Times New Roman" w:eastAsia="Times New Roman" w:hAnsi="Times New Roman" w:cs="Times New Roman"/>
            <w:kern w:val="0"/>
            <w14:ligatures w14:val="none"/>
          </w:rPr>
          <w:id w:val="-10842249"/>
          <w:citation/>
        </w:sdtPr>
        <w:sdtEndPr/>
        <w:sdtContent>
          <w:r w:rsidR="00E526A9">
            <w:rPr>
              <w:rFonts w:ascii="Times New Roman" w:eastAsia="Times New Roman" w:hAnsi="Times New Roman" w:cs="Times New Roman"/>
              <w:kern w:val="0"/>
              <w14:ligatures w14:val="none"/>
            </w:rPr>
            <w:fldChar w:fldCharType="begin"/>
          </w:r>
          <w:r w:rsidR="00E526A9">
            <w:rPr>
              <w:rFonts w:ascii="Times New Roman" w:eastAsia="Times New Roman" w:hAnsi="Times New Roman" w:cs="Times New Roman"/>
              <w:kern w:val="0"/>
              <w:lang w:val="en-US"/>
              <w14:ligatures w14:val="none"/>
            </w:rPr>
            <w:instrText xml:space="preserve"> CITATION Lin19 \l 1033 </w:instrText>
          </w:r>
          <w:r w:rsidR="00E526A9">
            <w:rPr>
              <w:rFonts w:ascii="Times New Roman" w:eastAsia="Times New Roman" w:hAnsi="Times New Roman" w:cs="Times New Roman"/>
              <w:kern w:val="0"/>
              <w14:ligatures w14:val="none"/>
            </w:rPr>
            <w:fldChar w:fldCharType="separate"/>
          </w:r>
          <w:r w:rsidR="00734073">
            <w:rPr>
              <w:rFonts w:ascii="Times New Roman" w:eastAsia="Times New Roman" w:hAnsi="Times New Roman" w:cs="Times New Roman"/>
              <w:noProof/>
              <w:kern w:val="0"/>
              <w:lang w:val="en-US"/>
              <w14:ligatures w14:val="none"/>
            </w:rPr>
            <w:t xml:space="preserve"> </w:t>
          </w:r>
          <w:r w:rsidR="00734073" w:rsidRPr="00734073">
            <w:rPr>
              <w:rFonts w:ascii="Times New Roman" w:eastAsia="Times New Roman" w:hAnsi="Times New Roman" w:cs="Times New Roman"/>
              <w:noProof/>
              <w:kern w:val="0"/>
              <w:lang w:val="en-US"/>
              <w14:ligatures w14:val="none"/>
            </w:rPr>
            <w:t>(Lin, 2019)</w:t>
          </w:r>
          <w:r w:rsidR="00E526A9">
            <w:rPr>
              <w:rFonts w:ascii="Times New Roman" w:eastAsia="Times New Roman" w:hAnsi="Times New Roman" w:cs="Times New Roman"/>
              <w:kern w:val="0"/>
              <w14:ligatures w14:val="none"/>
            </w:rPr>
            <w:fldChar w:fldCharType="end"/>
          </w:r>
        </w:sdtContent>
      </w:sdt>
      <w:r>
        <w:rPr>
          <w:rFonts w:ascii="Times New Roman" w:eastAsia="Times New Roman" w:hAnsi="Times New Roman" w:cs="Times New Roman"/>
          <w:kern w:val="0"/>
          <w14:ligatures w14:val="none"/>
        </w:rPr>
        <w:t>. But this method also has some shortcomings, as it cannot consider the fluctuations of the value of money over time or take into account cash flow after payback</w:t>
      </w:r>
      <w:sdt>
        <w:sdtPr>
          <w:rPr>
            <w:rFonts w:ascii="Times New Roman" w:eastAsia="Times New Roman" w:hAnsi="Times New Roman" w:cs="Times New Roman"/>
            <w:kern w:val="0"/>
            <w14:ligatures w14:val="none"/>
          </w:rPr>
          <w:id w:val="1401253255"/>
          <w:citation/>
        </w:sdtPr>
        <w:sdtEndPr/>
        <w:sdtContent>
          <w:r w:rsidR="0080033C">
            <w:rPr>
              <w:rFonts w:ascii="Times New Roman" w:eastAsia="Times New Roman" w:hAnsi="Times New Roman" w:cs="Times New Roman"/>
              <w:kern w:val="0"/>
              <w14:ligatures w14:val="none"/>
            </w:rPr>
            <w:fldChar w:fldCharType="begin"/>
          </w:r>
          <w:r w:rsidR="0080033C">
            <w:rPr>
              <w:rFonts w:ascii="Times New Roman" w:eastAsia="Times New Roman" w:hAnsi="Times New Roman" w:cs="Times New Roman"/>
              <w:kern w:val="0"/>
              <w:lang w:val="en-US"/>
              <w14:ligatures w14:val="none"/>
            </w:rPr>
            <w:instrText xml:space="preserve"> CITATION Mül17 \l 1033 </w:instrText>
          </w:r>
          <w:r w:rsidR="0080033C">
            <w:rPr>
              <w:rFonts w:ascii="Times New Roman" w:eastAsia="Times New Roman" w:hAnsi="Times New Roman" w:cs="Times New Roman"/>
              <w:kern w:val="0"/>
              <w14:ligatures w14:val="none"/>
            </w:rPr>
            <w:fldChar w:fldCharType="separate"/>
          </w:r>
          <w:r w:rsidR="00734073">
            <w:rPr>
              <w:rFonts w:ascii="Times New Roman" w:eastAsia="Times New Roman" w:hAnsi="Times New Roman" w:cs="Times New Roman"/>
              <w:noProof/>
              <w:kern w:val="0"/>
              <w:lang w:val="en-US"/>
              <w14:ligatures w14:val="none"/>
            </w:rPr>
            <w:t xml:space="preserve"> </w:t>
          </w:r>
          <w:r w:rsidR="00734073" w:rsidRPr="00734073">
            <w:rPr>
              <w:rFonts w:ascii="Times New Roman" w:eastAsia="Times New Roman" w:hAnsi="Times New Roman" w:cs="Times New Roman"/>
              <w:noProof/>
              <w:kern w:val="0"/>
              <w:lang w:val="en-US"/>
              <w14:ligatures w14:val="none"/>
            </w:rPr>
            <w:t>(Müller-Fürstenberger, 2017)</w:t>
          </w:r>
          <w:r w:rsidR="0080033C">
            <w:rPr>
              <w:rFonts w:ascii="Times New Roman" w:eastAsia="Times New Roman" w:hAnsi="Times New Roman" w:cs="Times New Roman"/>
              <w:kern w:val="0"/>
              <w14:ligatures w14:val="none"/>
            </w:rPr>
            <w:fldChar w:fldCharType="end"/>
          </w:r>
        </w:sdtContent>
      </w:sdt>
      <w:r>
        <w:rPr>
          <w:rFonts w:ascii="Times New Roman" w:eastAsia="Times New Roman" w:hAnsi="Times New Roman" w:cs="Times New Roman"/>
          <w:kern w:val="0"/>
          <w14:ligatures w14:val="none"/>
        </w:rPr>
        <w:t xml:space="preserve">.  The Accounting Rate of Return is a highly popular method for many companies. However, its focus on profits over revenue makes it unreliable, as it may provide some misleading figures. Moreover, it also cannot take into account discounts. </w:t>
      </w:r>
    </w:p>
    <w:p w14:paraId="2D39972C" w14:textId="4B4BA3C0" w:rsidR="004F4B73" w:rsidRPr="004F4B73" w:rsidRDefault="00E213AF" w:rsidP="0046750B">
      <w:pPr>
        <w:pStyle w:val="Heading2"/>
        <w:rPr>
          <w:rFonts w:eastAsia="Times New Roman"/>
        </w:rPr>
      </w:pPr>
      <w:bookmarkStart w:id="37" w:name="_Toc218984755"/>
      <w:r>
        <w:rPr>
          <w:rFonts w:eastAsia="Times New Roman"/>
        </w:rPr>
        <w:t>A</w:t>
      </w:r>
      <w:r w:rsidR="0046750B">
        <w:rPr>
          <w:rFonts w:eastAsia="Times New Roman"/>
        </w:rPr>
        <w:t>.</w:t>
      </w:r>
      <w:bookmarkEnd w:id="37"/>
      <w:r w:rsidR="0046750B">
        <w:rPr>
          <w:rFonts w:eastAsia="Times New Roman"/>
        </w:rPr>
        <w:t xml:space="preserve"> </w:t>
      </w:r>
    </w:p>
    <w:p w14:paraId="59EC5EF8" w14:textId="3A874D83" w:rsidR="007D50EA" w:rsidRPr="004F4B73" w:rsidRDefault="00AB6DD5" w:rsidP="0046750B">
      <w:pPr>
        <w:pStyle w:val="Heading3"/>
        <w:rPr>
          <w:rFonts w:eastAsia="Times New Roman"/>
        </w:rPr>
      </w:pPr>
      <w:bookmarkStart w:id="38" w:name="_Toc218984756"/>
      <w:r w:rsidRPr="004F4B73">
        <w:rPr>
          <w:rFonts w:eastAsia="Times New Roman"/>
        </w:rPr>
        <w:t>Net Present Value Technique</w:t>
      </w:r>
      <w:bookmarkEnd w:id="38"/>
    </w:p>
    <w:p w14:paraId="2B986698" w14:textId="65CCE218" w:rsidR="00AB6DD5" w:rsidRPr="007B59F7" w:rsidRDefault="00AB6DD5" w:rsidP="00AB6DD5">
      <w:pPr>
        <w:spacing w:before="100" w:beforeAutospacing="1" w:after="100" w:afterAutospacing="1" w:line="36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The NPV method evaluates whether a project is viable or not based on the comparison between the value of the future cash inflows to the initial investment by the parent company. If the result of the NPV is positive, it means that the investment would generate more returns than the cost of capital. This means that the venture would end up increasing the value for the shareholders</w:t>
      </w:r>
      <w:sdt>
        <w:sdtPr>
          <w:rPr>
            <w:rFonts w:ascii="Times New Roman" w:eastAsia="Times New Roman" w:hAnsi="Times New Roman" w:cs="Times New Roman"/>
            <w:kern w:val="0"/>
            <w14:ligatures w14:val="none"/>
          </w:rPr>
          <w:id w:val="-1835986468"/>
          <w:citation/>
        </w:sdtPr>
        <w:sdtEndPr/>
        <w:sdtContent>
          <w:r w:rsidR="000E39ED">
            <w:rPr>
              <w:rFonts w:ascii="Times New Roman" w:eastAsia="Times New Roman" w:hAnsi="Times New Roman" w:cs="Times New Roman"/>
              <w:kern w:val="0"/>
              <w14:ligatures w14:val="none"/>
            </w:rPr>
            <w:fldChar w:fldCharType="begin"/>
          </w:r>
          <w:r w:rsidR="000E39ED">
            <w:rPr>
              <w:rFonts w:ascii="Times New Roman" w:eastAsia="Times New Roman" w:hAnsi="Times New Roman" w:cs="Times New Roman"/>
              <w:kern w:val="0"/>
              <w:lang w:val="en-US"/>
              <w14:ligatures w14:val="none"/>
            </w:rPr>
            <w:instrText xml:space="preserve"> CITATION deJ11 \l 1033 </w:instrText>
          </w:r>
          <w:r w:rsidR="000E39ED">
            <w:rPr>
              <w:rFonts w:ascii="Times New Roman" w:eastAsia="Times New Roman" w:hAnsi="Times New Roman" w:cs="Times New Roman"/>
              <w:kern w:val="0"/>
              <w14:ligatures w14:val="none"/>
            </w:rPr>
            <w:fldChar w:fldCharType="separate"/>
          </w:r>
          <w:r w:rsidR="00734073">
            <w:rPr>
              <w:rFonts w:ascii="Times New Roman" w:eastAsia="Times New Roman" w:hAnsi="Times New Roman" w:cs="Times New Roman"/>
              <w:noProof/>
              <w:kern w:val="0"/>
              <w:lang w:val="en-US"/>
              <w14:ligatures w14:val="none"/>
            </w:rPr>
            <w:t xml:space="preserve"> </w:t>
          </w:r>
          <w:r w:rsidR="00734073" w:rsidRPr="00734073">
            <w:rPr>
              <w:rFonts w:ascii="Times New Roman" w:eastAsia="Times New Roman" w:hAnsi="Times New Roman" w:cs="Times New Roman"/>
              <w:noProof/>
              <w:kern w:val="0"/>
              <w:lang w:val="en-US"/>
              <w14:ligatures w14:val="none"/>
            </w:rPr>
            <w:t>(de Jongh, 2011)</w:t>
          </w:r>
          <w:r w:rsidR="000E39ED">
            <w:rPr>
              <w:rFonts w:ascii="Times New Roman" w:eastAsia="Times New Roman" w:hAnsi="Times New Roman" w:cs="Times New Roman"/>
              <w:kern w:val="0"/>
              <w14:ligatures w14:val="none"/>
            </w:rPr>
            <w:fldChar w:fldCharType="end"/>
          </w:r>
        </w:sdtContent>
      </w:sdt>
      <w:r>
        <w:rPr>
          <w:rFonts w:ascii="Times New Roman" w:eastAsia="Times New Roman" w:hAnsi="Times New Roman" w:cs="Times New Roman"/>
          <w:kern w:val="0"/>
          <w14:ligatures w14:val="none"/>
        </w:rPr>
        <w:t xml:space="preserve">. Negative NPV suggests that it’d generate less return than the initial investment, resulting in loss of value. </w:t>
      </w:r>
    </w:p>
    <w:p w14:paraId="10A497AF" w14:textId="77777777" w:rsidR="00AB6DD5" w:rsidRPr="007B59F7" w:rsidRDefault="00AB6DD5" w:rsidP="00AB6DD5">
      <w:pPr>
        <w:spacing w:before="100" w:beforeAutospacing="1" w:after="100" w:afterAutospacing="1" w:line="36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Fortunately for Westward plc, all three of its investment ventures have a positive NPV value. Taking into account the taxation and capital allowance and a discount rate of 6%, the NPV value for option A, option B, and option C is respectively </w:t>
      </w:r>
      <w:r w:rsidRPr="005576D4">
        <w:rPr>
          <w:rFonts w:ascii="Times New Roman" w:eastAsia="Times New Roman" w:hAnsi="Times New Roman" w:cs="Times New Roman"/>
          <w:kern w:val="0"/>
          <w14:ligatures w14:val="none"/>
        </w:rPr>
        <w:t>£643.17k</w:t>
      </w:r>
      <w:r>
        <w:rPr>
          <w:rFonts w:ascii="Times New Roman" w:eastAsia="Times New Roman" w:hAnsi="Times New Roman" w:cs="Times New Roman"/>
          <w:kern w:val="0"/>
          <w14:ligatures w14:val="none"/>
        </w:rPr>
        <w:t xml:space="preserve">, </w:t>
      </w:r>
      <w:r w:rsidRPr="005576D4">
        <w:rPr>
          <w:rFonts w:ascii="Times New Roman" w:eastAsia="Times New Roman" w:hAnsi="Times New Roman" w:cs="Times New Roman"/>
          <w:kern w:val="0"/>
          <w14:ligatures w14:val="none"/>
        </w:rPr>
        <w:t>£792.23k</w:t>
      </w:r>
      <w:r>
        <w:rPr>
          <w:rFonts w:ascii="Times New Roman" w:eastAsia="Times New Roman" w:hAnsi="Times New Roman" w:cs="Times New Roman"/>
          <w:kern w:val="0"/>
          <w14:ligatures w14:val="none"/>
        </w:rPr>
        <w:t xml:space="preserve">, </w:t>
      </w:r>
      <w:r w:rsidRPr="005576D4">
        <w:rPr>
          <w:rFonts w:ascii="Times New Roman" w:eastAsia="Times New Roman" w:hAnsi="Times New Roman" w:cs="Times New Roman"/>
          <w:kern w:val="0"/>
          <w14:ligatures w14:val="none"/>
        </w:rPr>
        <w:t>£742.48k</w:t>
      </w:r>
      <w:r>
        <w:rPr>
          <w:rFonts w:ascii="Times New Roman" w:eastAsia="Times New Roman" w:hAnsi="Times New Roman" w:cs="Times New Roman"/>
          <w:kern w:val="0"/>
          <w14:ligatures w14:val="none"/>
        </w:rPr>
        <w:t xml:space="preserve">. Since all three NPV values are in positive, this means that all three options for Westward plc are viable and would lead to business success. However, the best investment venture is the one with the best NPV. Thus, option B is the best investment venture option for the company. </w:t>
      </w:r>
    </w:p>
    <w:p w14:paraId="155BCC79" w14:textId="49AA7EA5" w:rsidR="00AB6DD5" w:rsidRDefault="00AB6DD5" w:rsidP="00AB6DD5">
      <w:pPr>
        <w:spacing w:before="100" w:beforeAutospacing="1" w:after="100" w:afterAutospacing="1" w:line="36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NPV is one of the best techniques for understanding which business investment venture is the best for an organization because it shows the time value of money, considers the capital costs, and is aligned with the value maximization for the shareholders</w:t>
      </w:r>
      <w:sdt>
        <w:sdtPr>
          <w:rPr>
            <w:rFonts w:ascii="Times New Roman" w:eastAsia="Times New Roman" w:hAnsi="Times New Roman" w:cs="Times New Roman"/>
            <w:kern w:val="0"/>
            <w14:ligatures w14:val="none"/>
          </w:rPr>
          <w:id w:val="-1070575824"/>
          <w:citation/>
        </w:sdtPr>
        <w:sdtEndPr/>
        <w:sdtContent>
          <w:r w:rsidR="0039000C">
            <w:rPr>
              <w:rFonts w:ascii="Times New Roman" w:eastAsia="Times New Roman" w:hAnsi="Times New Roman" w:cs="Times New Roman"/>
              <w:kern w:val="0"/>
              <w14:ligatures w14:val="none"/>
            </w:rPr>
            <w:fldChar w:fldCharType="begin"/>
          </w:r>
          <w:r w:rsidR="0039000C">
            <w:rPr>
              <w:rFonts w:ascii="Times New Roman" w:eastAsia="Times New Roman" w:hAnsi="Times New Roman" w:cs="Times New Roman"/>
              <w:kern w:val="0"/>
              <w:lang w:val="en-US"/>
              <w14:ligatures w14:val="none"/>
            </w:rPr>
            <w:instrText xml:space="preserve"> CITATION Hal16 \l 1033 </w:instrText>
          </w:r>
          <w:r w:rsidR="0039000C">
            <w:rPr>
              <w:rFonts w:ascii="Times New Roman" w:eastAsia="Times New Roman" w:hAnsi="Times New Roman" w:cs="Times New Roman"/>
              <w:kern w:val="0"/>
              <w14:ligatures w14:val="none"/>
            </w:rPr>
            <w:fldChar w:fldCharType="separate"/>
          </w:r>
          <w:r w:rsidR="00734073">
            <w:rPr>
              <w:rFonts w:ascii="Times New Roman" w:eastAsia="Times New Roman" w:hAnsi="Times New Roman" w:cs="Times New Roman"/>
              <w:noProof/>
              <w:kern w:val="0"/>
              <w:lang w:val="en-US"/>
              <w14:ligatures w14:val="none"/>
            </w:rPr>
            <w:t xml:space="preserve"> </w:t>
          </w:r>
          <w:r w:rsidR="00734073" w:rsidRPr="00734073">
            <w:rPr>
              <w:rFonts w:ascii="Times New Roman" w:eastAsia="Times New Roman" w:hAnsi="Times New Roman" w:cs="Times New Roman"/>
              <w:noProof/>
              <w:kern w:val="0"/>
              <w:lang w:val="en-US"/>
              <w14:ligatures w14:val="none"/>
            </w:rPr>
            <w:t>(Hall &amp; Sibanda, 2016)</w:t>
          </w:r>
          <w:r w:rsidR="0039000C">
            <w:rPr>
              <w:rFonts w:ascii="Times New Roman" w:eastAsia="Times New Roman" w:hAnsi="Times New Roman" w:cs="Times New Roman"/>
              <w:kern w:val="0"/>
              <w14:ligatures w14:val="none"/>
            </w:rPr>
            <w:fldChar w:fldCharType="end"/>
          </w:r>
        </w:sdtContent>
      </w:sdt>
      <w:r>
        <w:rPr>
          <w:rFonts w:ascii="Times New Roman" w:eastAsia="Times New Roman" w:hAnsi="Times New Roman" w:cs="Times New Roman"/>
          <w:kern w:val="0"/>
          <w14:ligatures w14:val="none"/>
        </w:rPr>
        <w:t xml:space="preserve">. However, NPV calculations are strongly dependent on projection, and thus remain not fully reliable. If the future revenues are overstated, costs are understated, and discount rates are wrong, resulting figures from the NPV analysis are then unreliable and misleading. It also does not take many of the external market factors such as inflation and interest rates into account when measuring viability, thus being unreliable. </w:t>
      </w:r>
    </w:p>
    <w:p w14:paraId="7DC004C3" w14:textId="77777777" w:rsidR="00AB6DD5" w:rsidRPr="007B59F7" w:rsidRDefault="00AB6DD5" w:rsidP="00AB6DD5">
      <w:pPr>
        <w:spacing w:before="100" w:beforeAutospacing="1" w:after="100" w:afterAutospacing="1" w:line="36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lastRenderedPageBreak/>
        <w:t xml:space="preserve">However, its shortcomings notwithstanding, NPV is a really good method for measuring the viability of investment opportunities. In this scenario, the investment option with the best NPV is option B, and it should be the clear choice between the three investment options. </w:t>
      </w:r>
    </w:p>
    <w:p w14:paraId="35E428B1" w14:textId="0D717E10" w:rsidR="007D50EA" w:rsidRPr="007B59F7" w:rsidRDefault="00AB6DD5" w:rsidP="0046750B">
      <w:pPr>
        <w:pStyle w:val="Heading3"/>
        <w:rPr>
          <w:rFonts w:eastAsia="Times New Roman"/>
        </w:rPr>
      </w:pPr>
      <w:bookmarkStart w:id="39" w:name="_Toc218984757"/>
      <w:r w:rsidRPr="007B59F7">
        <w:rPr>
          <w:rFonts w:eastAsia="Times New Roman"/>
        </w:rPr>
        <w:t>Payback Period Metho</w:t>
      </w:r>
      <w:r w:rsidR="007D50EA">
        <w:rPr>
          <w:rFonts w:eastAsia="Times New Roman"/>
        </w:rPr>
        <w:t>d</w:t>
      </w:r>
      <w:bookmarkEnd w:id="39"/>
    </w:p>
    <w:p w14:paraId="368FC7D1" w14:textId="3859EDB3" w:rsidR="00AB6DD5" w:rsidRPr="007B59F7" w:rsidRDefault="00AB6DD5" w:rsidP="00AB6DD5">
      <w:pPr>
        <w:spacing w:before="100" w:beforeAutospacing="1" w:after="100" w:afterAutospacing="1" w:line="36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The Payback Period method works by figuring out how much time it would take the investment option to give back the initial investment by the parent company using its own revenue. The shorter the time </w:t>
      </w:r>
      <w:proofErr w:type="gramStart"/>
      <w:r>
        <w:rPr>
          <w:rFonts w:ascii="Times New Roman" w:eastAsia="Times New Roman" w:hAnsi="Times New Roman" w:cs="Times New Roman"/>
          <w:kern w:val="0"/>
          <w14:ligatures w14:val="none"/>
        </w:rPr>
        <w:t>required,</w:t>
      </w:r>
      <w:proofErr w:type="gramEnd"/>
      <w:r>
        <w:rPr>
          <w:rFonts w:ascii="Times New Roman" w:eastAsia="Times New Roman" w:hAnsi="Times New Roman" w:cs="Times New Roman"/>
          <w:kern w:val="0"/>
          <w14:ligatures w14:val="none"/>
        </w:rPr>
        <w:t xml:space="preserve"> the best business investment options would be. In investing in a business growth venture, a company takes significant risk as it involves a lot of its funds in the new business venture, and longer time of payback means the company is vulnerable and under threat for longer. The different investment options for the different investment options show different timelines. The payback period for the investment options for the three different investment options are </w:t>
      </w:r>
      <w:r w:rsidRPr="004C71D6">
        <w:rPr>
          <w:rFonts w:ascii="Times New Roman" w:eastAsia="Times New Roman" w:hAnsi="Times New Roman" w:cs="Times New Roman"/>
          <w:kern w:val="0"/>
          <w14:ligatures w14:val="none"/>
        </w:rPr>
        <w:t>2.22 year</w:t>
      </w:r>
      <w:r>
        <w:rPr>
          <w:rFonts w:ascii="Times New Roman" w:eastAsia="Times New Roman" w:hAnsi="Times New Roman" w:cs="Times New Roman"/>
          <w:kern w:val="0"/>
          <w14:ligatures w14:val="none"/>
        </w:rPr>
        <w:t xml:space="preserve">s, </w:t>
      </w:r>
      <w:r w:rsidRPr="004C71D6">
        <w:rPr>
          <w:rFonts w:ascii="Times New Roman" w:eastAsia="Times New Roman" w:hAnsi="Times New Roman" w:cs="Times New Roman"/>
          <w:kern w:val="0"/>
          <w14:ligatures w14:val="none"/>
        </w:rPr>
        <w:t>2.44 years</w:t>
      </w:r>
      <w:r>
        <w:rPr>
          <w:rFonts w:ascii="Times New Roman" w:eastAsia="Times New Roman" w:hAnsi="Times New Roman" w:cs="Times New Roman"/>
          <w:kern w:val="0"/>
          <w14:ligatures w14:val="none"/>
        </w:rPr>
        <w:t xml:space="preserve">, and </w:t>
      </w:r>
      <w:r w:rsidRPr="004C71D6">
        <w:rPr>
          <w:rFonts w:ascii="Times New Roman" w:eastAsia="Times New Roman" w:hAnsi="Times New Roman" w:cs="Times New Roman"/>
          <w:kern w:val="0"/>
          <w14:ligatures w14:val="none"/>
        </w:rPr>
        <w:t>2.76 years</w:t>
      </w:r>
      <w:r>
        <w:rPr>
          <w:rFonts w:ascii="Times New Roman" w:eastAsia="Times New Roman" w:hAnsi="Times New Roman" w:cs="Times New Roman"/>
          <w:kern w:val="0"/>
          <w14:ligatures w14:val="none"/>
        </w:rPr>
        <w:t xml:space="preserve"> for option A, option B, and option C respectively</w:t>
      </w:r>
      <w:sdt>
        <w:sdtPr>
          <w:rPr>
            <w:rFonts w:ascii="Times New Roman" w:eastAsia="Times New Roman" w:hAnsi="Times New Roman" w:cs="Times New Roman"/>
            <w:kern w:val="0"/>
            <w14:ligatures w14:val="none"/>
          </w:rPr>
          <w:id w:val="-269081161"/>
          <w:citation/>
        </w:sdtPr>
        <w:sdtEndPr/>
        <w:sdtContent>
          <w:r w:rsidR="005E7537">
            <w:rPr>
              <w:rFonts w:ascii="Times New Roman" w:eastAsia="Times New Roman" w:hAnsi="Times New Roman" w:cs="Times New Roman"/>
              <w:kern w:val="0"/>
              <w14:ligatures w14:val="none"/>
            </w:rPr>
            <w:fldChar w:fldCharType="begin"/>
          </w:r>
          <w:r w:rsidR="005E7537">
            <w:rPr>
              <w:rFonts w:ascii="Times New Roman" w:eastAsia="Times New Roman" w:hAnsi="Times New Roman" w:cs="Times New Roman"/>
              <w:kern w:val="0"/>
              <w:lang w:val="en-US"/>
              <w14:ligatures w14:val="none"/>
            </w:rPr>
            <w:instrText xml:space="preserve"> CITATION Fin22 \l 1033 </w:instrText>
          </w:r>
          <w:r w:rsidR="005E7537">
            <w:rPr>
              <w:rFonts w:ascii="Times New Roman" w:eastAsia="Times New Roman" w:hAnsi="Times New Roman" w:cs="Times New Roman"/>
              <w:kern w:val="0"/>
              <w14:ligatures w14:val="none"/>
            </w:rPr>
            <w:fldChar w:fldCharType="separate"/>
          </w:r>
          <w:r w:rsidR="00734073">
            <w:rPr>
              <w:rFonts w:ascii="Times New Roman" w:eastAsia="Times New Roman" w:hAnsi="Times New Roman" w:cs="Times New Roman"/>
              <w:noProof/>
              <w:kern w:val="0"/>
              <w:lang w:val="en-US"/>
              <w14:ligatures w14:val="none"/>
            </w:rPr>
            <w:t xml:space="preserve"> </w:t>
          </w:r>
          <w:r w:rsidR="00734073" w:rsidRPr="00734073">
            <w:rPr>
              <w:rFonts w:ascii="Times New Roman" w:eastAsia="Times New Roman" w:hAnsi="Times New Roman" w:cs="Times New Roman"/>
              <w:noProof/>
              <w:kern w:val="0"/>
              <w:lang w:val="en-US"/>
              <w14:ligatures w14:val="none"/>
            </w:rPr>
            <w:t>(Finance Management, 2022)</w:t>
          </w:r>
          <w:r w:rsidR="005E7537">
            <w:rPr>
              <w:rFonts w:ascii="Times New Roman" w:eastAsia="Times New Roman" w:hAnsi="Times New Roman" w:cs="Times New Roman"/>
              <w:kern w:val="0"/>
              <w14:ligatures w14:val="none"/>
            </w:rPr>
            <w:fldChar w:fldCharType="end"/>
          </w:r>
        </w:sdtContent>
      </w:sdt>
      <w:r>
        <w:rPr>
          <w:rFonts w:ascii="Times New Roman" w:eastAsia="Times New Roman" w:hAnsi="Times New Roman" w:cs="Times New Roman"/>
          <w:kern w:val="0"/>
          <w14:ligatures w14:val="none"/>
        </w:rPr>
        <w:t xml:space="preserve">. </w:t>
      </w:r>
    </w:p>
    <w:p w14:paraId="44F17F15" w14:textId="080187EE" w:rsidR="00AB6DD5" w:rsidRPr="007B59F7" w:rsidRDefault="00AB6DD5" w:rsidP="00AB6DD5">
      <w:pPr>
        <w:spacing w:before="100" w:beforeAutospacing="1" w:after="100" w:afterAutospacing="1" w:line="36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These figures suggest that option A is the best investment option for Westward plc, as it would be able to get its initial investment back the fastest in this option. However, the Payback Period method also has significant weakness, or shortcomings. It is mainly focused on liquidity. Thus, option A seems the most viable as it prioritizes liquidity. However, it is worth pointing out that the method does not take into account the revenue generated after the payback period. Meaning, even if a venture generates more value overall, or more long-term value, but has a slow beginning, it would be flagged as unviable and less viable. It also does not take into account the fluctuation of the value of money over time</w:t>
      </w:r>
      <w:sdt>
        <w:sdtPr>
          <w:rPr>
            <w:rFonts w:ascii="Times New Roman" w:eastAsia="Times New Roman" w:hAnsi="Times New Roman" w:cs="Times New Roman"/>
            <w:kern w:val="0"/>
            <w14:ligatures w14:val="none"/>
          </w:rPr>
          <w:id w:val="519978130"/>
          <w:citation/>
        </w:sdtPr>
        <w:sdtEndPr/>
        <w:sdtContent>
          <w:r w:rsidR="005E6D8E">
            <w:rPr>
              <w:rFonts w:ascii="Times New Roman" w:eastAsia="Times New Roman" w:hAnsi="Times New Roman" w:cs="Times New Roman"/>
              <w:kern w:val="0"/>
              <w14:ligatures w14:val="none"/>
            </w:rPr>
            <w:fldChar w:fldCharType="begin"/>
          </w:r>
          <w:r w:rsidR="005E6D8E">
            <w:rPr>
              <w:rFonts w:ascii="Times New Roman" w:eastAsia="Times New Roman" w:hAnsi="Times New Roman" w:cs="Times New Roman"/>
              <w:kern w:val="0"/>
              <w:lang w:val="en-US"/>
              <w14:ligatures w14:val="none"/>
            </w:rPr>
            <w:instrText xml:space="preserve"> CITATION Kag25 \l 1033 </w:instrText>
          </w:r>
          <w:r w:rsidR="005E6D8E">
            <w:rPr>
              <w:rFonts w:ascii="Times New Roman" w:eastAsia="Times New Roman" w:hAnsi="Times New Roman" w:cs="Times New Roman"/>
              <w:kern w:val="0"/>
              <w14:ligatures w14:val="none"/>
            </w:rPr>
            <w:fldChar w:fldCharType="separate"/>
          </w:r>
          <w:r w:rsidR="00734073">
            <w:rPr>
              <w:rFonts w:ascii="Times New Roman" w:eastAsia="Times New Roman" w:hAnsi="Times New Roman" w:cs="Times New Roman"/>
              <w:noProof/>
              <w:kern w:val="0"/>
              <w:lang w:val="en-US"/>
              <w14:ligatures w14:val="none"/>
            </w:rPr>
            <w:t xml:space="preserve"> </w:t>
          </w:r>
          <w:r w:rsidR="00734073" w:rsidRPr="00734073">
            <w:rPr>
              <w:rFonts w:ascii="Times New Roman" w:eastAsia="Times New Roman" w:hAnsi="Times New Roman" w:cs="Times New Roman"/>
              <w:noProof/>
              <w:kern w:val="0"/>
              <w:lang w:val="en-US"/>
              <w14:ligatures w14:val="none"/>
            </w:rPr>
            <w:t>(Kagan, 2025)</w:t>
          </w:r>
          <w:r w:rsidR="005E6D8E">
            <w:rPr>
              <w:rFonts w:ascii="Times New Roman" w:eastAsia="Times New Roman" w:hAnsi="Times New Roman" w:cs="Times New Roman"/>
              <w:kern w:val="0"/>
              <w14:ligatures w14:val="none"/>
            </w:rPr>
            <w:fldChar w:fldCharType="end"/>
          </w:r>
        </w:sdtContent>
      </w:sdt>
      <w:r>
        <w:rPr>
          <w:rFonts w:ascii="Times New Roman" w:eastAsia="Times New Roman" w:hAnsi="Times New Roman" w:cs="Times New Roman"/>
          <w:kern w:val="0"/>
          <w14:ligatures w14:val="none"/>
        </w:rPr>
        <w:t xml:space="preserve">. </w:t>
      </w:r>
    </w:p>
    <w:p w14:paraId="34F2F47D" w14:textId="77777777" w:rsidR="00E213AF" w:rsidRDefault="00AB6DD5" w:rsidP="00E213AF">
      <w:pPr>
        <w:spacing w:before="100" w:beforeAutospacing="1" w:after="100" w:afterAutospacing="1" w:line="36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Its shortcomings notwithstanding, according to the Payback Period method, Option A is the best investment option for Westword plc. However, it is worth noting that option B generates more value overall when taking into account discounting.</w:t>
      </w:r>
    </w:p>
    <w:p w14:paraId="3C8FEE42" w14:textId="77777777" w:rsidR="00734073" w:rsidRDefault="00E213AF" w:rsidP="00E213AF">
      <w:pPr>
        <w:pStyle w:val="Heading2"/>
        <w:rPr>
          <w:rFonts w:eastAsia="Times New Roman" w:cs="Times New Roman"/>
          <w:kern w:val="0"/>
          <w14:ligatures w14:val="none"/>
        </w:rPr>
      </w:pPr>
      <w:bookmarkStart w:id="40" w:name="_Toc218984758"/>
      <w:r>
        <w:rPr>
          <w:rFonts w:eastAsia="Times New Roman" w:cs="Times New Roman"/>
          <w:kern w:val="0"/>
          <w14:ligatures w14:val="none"/>
        </w:rPr>
        <w:lastRenderedPageBreak/>
        <w:t>B.</w:t>
      </w:r>
      <w:bookmarkEnd w:id="40"/>
    </w:p>
    <w:p w14:paraId="555073EF" w14:textId="78B42174" w:rsidR="00AB6DD5" w:rsidRPr="00E213AF" w:rsidRDefault="00AB6DD5" w:rsidP="00734073">
      <w:pPr>
        <w:pStyle w:val="Heading3"/>
        <w:rPr>
          <w:rFonts w:eastAsia="Times New Roman" w:cs="Times New Roman"/>
          <w:kern w:val="0"/>
          <w14:ligatures w14:val="none"/>
        </w:rPr>
      </w:pPr>
      <w:bookmarkStart w:id="41" w:name="_Toc218984759"/>
      <w:r w:rsidRPr="007B59F7">
        <w:rPr>
          <w:rFonts w:eastAsia="Times New Roman"/>
        </w:rPr>
        <w:t>Internal Rate of Return (IRR) Method</w:t>
      </w:r>
      <w:bookmarkEnd w:id="41"/>
    </w:p>
    <w:p w14:paraId="0A7C82C0" w14:textId="77777777" w:rsidR="00AB6DD5" w:rsidRPr="007B59F7" w:rsidRDefault="00AB6DD5" w:rsidP="00AB6DD5">
      <w:pPr>
        <w:spacing w:before="100" w:beforeAutospacing="1" w:after="100" w:afterAutospacing="1" w:line="36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The Internal Rate of Return is a framework that is the discount rate in which a business investment venture’s NPV value is zero. It is a framework that shows the rate that the business investment venture is expected to give returns. If the business investment option’s IRR is more than the capital invested, the business investment option is viable. This is because it creates more returns than what is required at the minimum. </w:t>
      </w:r>
    </w:p>
    <w:p w14:paraId="65B0BAF1" w14:textId="3334785B" w:rsidR="00AB6DD5" w:rsidRDefault="00AB6DD5" w:rsidP="00AB6DD5">
      <w:pPr>
        <w:spacing w:before="100" w:beforeAutospacing="1" w:after="100" w:afterAutospacing="1" w:line="36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The recommended project is option B, and its IRR is </w:t>
      </w:r>
      <w:r w:rsidRPr="005329FE">
        <w:rPr>
          <w:rFonts w:ascii="Times New Roman" w:eastAsia="Times New Roman" w:hAnsi="Times New Roman" w:cs="Times New Roman"/>
          <w:kern w:val="0"/>
          <w14:ligatures w14:val="none"/>
        </w:rPr>
        <w:t>approximately 32.14%.</w:t>
      </w:r>
      <w:r>
        <w:rPr>
          <w:rFonts w:ascii="Times New Roman" w:eastAsia="Times New Roman" w:hAnsi="Times New Roman" w:cs="Times New Roman"/>
          <w:kern w:val="0"/>
          <w14:ligatures w14:val="none"/>
        </w:rPr>
        <w:t xml:space="preserve"> This is higher than the discount rate, which would be </w:t>
      </w:r>
      <w:r w:rsidRPr="005329FE">
        <w:rPr>
          <w:rFonts w:ascii="Times New Roman" w:eastAsia="Times New Roman" w:hAnsi="Times New Roman" w:cs="Times New Roman"/>
          <w:kern w:val="0"/>
          <w14:ligatures w14:val="none"/>
        </w:rPr>
        <w:t>6%</w:t>
      </w:r>
      <w:r>
        <w:rPr>
          <w:rFonts w:ascii="Times New Roman" w:eastAsia="Times New Roman" w:hAnsi="Times New Roman" w:cs="Times New Roman"/>
          <w:kern w:val="0"/>
          <w14:ligatures w14:val="none"/>
        </w:rPr>
        <w:t>. According to IRR guidelines, it means that the investment project is going to give out much stronger return margin, much more than the company’s projected capital investments. This is in alignment with the conclusion of the NPV that the Option B is the best option in terms of financial attractiveness and value returns</w:t>
      </w:r>
      <w:r w:rsidR="005E7537">
        <w:rPr>
          <w:rFonts w:ascii="Times New Roman" w:eastAsia="Times New Roman" w:hAnsi="Times New Roman" w:cs="Times New Roman"/>
          <w:kern w:val="0"/>
          <w14:ligatures w14:val="none"/>
        </w:rPr>
        <w:t xml:space="preserve"> </w:t>
      </w:r>
      <w:sdt>
        <w:sdtPr>
          <w:rPr>
            <w:rFonts w:ascii="Times New Roman" w:eastAsia="Times New Roman" w:hAnsi="Times New Roman" w:cs="Times New Roman"/>
            <w:kern w:val="0"/>
            <w14:ligatures w14:val="none"/>
          </w:rPr>
          <w:id w:val="-1928489740"/>
          <w:citation/>
        </w:sdtPr>
        <w:sdtEndPr/>
        <w:sdtContent>
          <w:r w:rsidR="005E7537">
            <w:rPr>
              <w:rFonts w:ascii="Times New Roman" w:eastAsia="Times New Roman" w:hAnsi="Times New Roman" w:cs="Times New Roman"/>
              <w:kern w:val="0"/>
              <w14:ligatures w14:val="none"/>
            </w:rPr>
            <w:fldChar w:fldCharType="begin"/>
          </w:r>
          <w:r w:rsidR="005E7537">
            <w:rPr>
              <w:rFonts w:ascii="Times New Roman" w:eastAsia="Times New Roman" w:hAnsi="Times New Roman" w:cs="Times New Roman"/>
              <w:kern w:val="0"/>
              <w:lang w:val="en-US"/>
              <w14:ligatures w14:val="none"/>
            </w:rPr>
            <w:instrText xml:space="preserve"> CITATION Inv22 \l 1033 </w:instrText>
          </w:r>
          <w:r w:rsidR="005E7537">
            <w:rPr>
              <w:rFonts w:ascii="Times New Roman" w:eastAsia="Times New Roman" w:hAnsi="Times New Roman" w:cs="Times New Roman"/>
              <w:kern w:val="0"/>
              <w14:ligatures w14:val="none"/>
            </w:rPr>
            <w:fldChar w:fldCharType="separate"/>
          </w:r>
          <w:r w:rsidR="00734073" w:rsidRPr="00734073">
            <w:rPr>
              <w:rFonts w:ascii="Times New Roman" w:eastAsia="Times New Roman" w:hAnsi="Times New Roman" w:cs="Times New Roman"/>
              <w:noProof/>
              <w:kern w:val="0"/>
              <w:lang w:val="en-US"/>
              <w14:ligatures w14:val="none"/>
            </w:rPr>
            <w:t>(Investopedia, 2022)</w:t>
          </w:r>
          <w:r w:rsidR="005E7537">
            <w:rPr>
              <w:rFonts w:ascii="Times New Roman" w:eastAsia="Times New Roman" w:hAnsi="Times New Roman" w:cs="Times New Roman"/>
              <w:kern w:val="0"/>
              <w14:ligatures w14:val="none"/>
            </w:rPr>
            <w:fldChar w:fldCharType="end"/>
          </w:r>
        </w:sdtContent>
      </w:sdt>
      <w:r>
        <w:rPr>
          <w:rFonts w:ascii="Times New Roman" w:eastAsia="Times New Roman" w:hAnsi="Times New Roman" w:cs="Times New Roman"/>
          <w:kern w:val="0"/>
          <w14:ligatures w14:val="none"/>
        </w:rPr>
        <w:t xml:space="preserve">.  </w:t>
      </w:r>
    </w:p>
    <w:p w14:paraId="48009C6C" w14:textId="0AD43F74" w:rsidR="00AB6DD5" w:rsidRPr="000E4CAA" w:rsidRDefault="00AB6DD5" w:rsidP="00AB6DD5">
      <w:pPr>
        <w:spacing w:before="100" w:beforeAutospacing="1" w:after="100" w:afterAutospacing="1" w:line="360" w:lineRule="auto"/>
        <w:jc w:val="both"/>
        <w:rPr>
          <w:rFonts w:ascii="Times New Roman" w:eastAsia="Times New Roman" w:hAnsi="Times New Roman" w:cs="Times New Roman"/>
          <w:kern w:val="0"/>
          <w:lang w:val="en-US"/>
          <w14:ligatures w14:val="none"/>
        </w:rPr>
      </w:pPr>
      <w:r>
        <w:rPr>
          <w:rFonts w:ascii="Times New Roman" w:eastAsia="Times New Roman" w:hAnsi="Times New Roman" w:cs="Times New Roman"/>
          <w:kern w:val="0"/>
          <w14:ligatures w14:val="none"/>
        </w:rPr>
        <w:t xml:space="preserve">IRR is also with its limits and shortcomings. It is worth noting that it cannot make sense of or take into account complex investment and business ecosystems, and becomes misleading when comparing multiple projects with different timelines and scale. It also functions under the implicit </w:t>
      </w:r>
      <w:r w:rsidRPr="000E4CAA">
        <w:rPr>
          <w:rFonts w:ascii="Times New Roman" w:eastAsia="Times New Roman" w:hAnsi="Times New Roman" w:cs="Times New Roman"/>
          <w:kern w:val="0"/>
          <w14:ligatures w14:val="none"/>
        </w:rPr>
        <w:t xml:space="preserve">assumption that the </w:t>
      </w:r>
      <w:r>
        <w:rPr>
          <w:rFonts w:ascii="Times New Roman" w:eastAsia="Times New Roman" w:hAnsi="Times New Roman" w:cs="Times New Roman"/>
          <w:kern w:val="0"/>
          <w14:ligatures w14:val="none"/>
        </w:rPr>
        <w:t>interim revenues would be reinvested. Moreover, if the business venture’s revenues do not follow a predictable pattern, there can be multiple IRR rates</w:t>
      </w:r>
      <w:sdt>
        <w:sdtPr>
          <w:rPr>
            <w:rFonts w:ascii="Times New Roman" w:eastAsia="Times New Roman" w:hAnsi="Times New Roman" w:cs="Times New Roman"/>
            <w:kern w:val="0"/>
            <w14:ligatures w14:val="none"/>
          </w:rPr>
          <w:id w:val="2015645040"/>
          <w:citation/>
        </w:sdtPr>
        <w:sdtEndPr/>
        <w:sdtContent>
          <w:r w:rsidR="000E39ED">
            <w:rPr>
              <w:rFonts w:ascii="Times New Roman" w:eastAsia="Times New Roman" w:hAnsi="Times New Roman" w:cs="Times New Roman"/>
              <w:kern w:val="0"/>
              <w14:ligatures w14:val="none"/>
            </w:rPr>
            <w:fldChar w:fldCharType="begin"/>
          </w:r>
          <w:r w:rsidR="000E39ED">
            <w:rPr>
              <w:rFonts w:ascii="Times New Roman" w:eastAsia="Times New Roman" w:hAnsi="Times New Roman" w:cs="Times New Roman"/>
              <w:kern w:val="0"/>
              <w:lang w:val="en-US"/>
              <w14:ligatures w14:val="none"/>
            </w:rPr>
            <w:instrText xml:space="preserve"> CITATION Aza14 \l 1033 </w:instrText>
          </w:r>
          <w:r w:rsidR="000E39ED">
            <w:rPr>
              <w:rFonts w:ascii="Times New Roman" w:eastAsia="Times New Roman" w:hAnsi="Times New Roman" w:cs="Times New Roman"/>
              <w:kern w:val="0"/>
              <w14:ligatures w14:val="none"/>
            </w:rPr>
            <w:fldChar w:fldCharType="separate"/>
          </w:r>
          <w:r w:rsidR="00734073">
            <w:rPr>
              <w:rFonts w:ascii="Times New Roman" w:eastAsia="Times New Roman" w:hAnsi="Times New Roman" w:cs="Times New Roman"/>
              <w:noProof/>
              <w:kern w:val="0"/>
              <w:lang w:val="en-US"/>
              <w14:ligatures w14:val="none"/>
            </w:rPr>
            <w:t xml:space="preserve"> </w:t>
          </w:r>
          <w:r w:rsidR="00734073" w:rsidRPr="00734073">
            <w:rPr>
              <w:rFonts w:ascii="Times New Roman" w:eastAsia="Times New Roman" w:hAnsi="Times New Roman" w:cs="Times New Roman"/>
              <w:noProof/>
              <w:kern w:val="0"/>
              <w:lang w:val="en-US"/>
              <w14:ligatures w14:val="none"/>
            </w:rPr>
            <w:t>(Azar &amp; Noueihed, 2014)</w:t>
          </w:r>
          <w:r w:rsidR="000E39ED">
            <w:rPr>
              <w:rFonts w:ascii="Times New Roman" w:eastAsia="Times New Roman" w:hAnsi="Times New Roman" w:cs="Times New Roman"/>
              <w:kern w:val="0"/>
              <w14:ligatures w14:val="none"/>
            </w:rPr>
            <w:fldChar w:fldCharType="end"/>
          </w:r>
        </w:sdtContent>
      </w:sdt>
      <w:r>
        <w:rPr>
          <w:rFonts w:ascii="Times New Roman" w:eastAsia="Times New Roman" w:hAnsi="Times New Roman" w:cs="Times New Roman"/>
          <w:kern w:val="0"/>
          <w14:ligatures w14:val="none"/>
        </w:rPr>
        <w:t xml:space="preserve">. </w:t>
      </w:r>
    </w:p>
    <w:p w14:paraId="5A7DB226" w14:textId="6DD6B946" w:rsidR="00AB6DD5" w:rsidRPr="007B59F7" w:rsidRDefault="00AB6DD5" w:rsidP="00AB6DD5">
      <w:pPr>
        <w:spacing w:after="0" w:line="36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Its shortcomings notwithstanding, it is a great supporting measure to be used alongside NPV</w:t>
      </w:r>
      <w:sdt>
        <w:sdtPr>
          <w:rPr>
            <w:rFonts w:ascii="Times New Roman" w:eastAsia="Times New Roman" w:hAnsi="Times New Roman" w:cs="Times New Roman"/>
            <w:kern w:val="0"/>
            <w14:ligatures w14:val="none"/>
          </w:rPr>
          <w:id w:val="-1725819005"/>
          <w:citation/>
        </w:sdtPr>
        <w:sdtEndPr/>
        <w:sdtContent>
          <w:r w:rsidR="004E5BE2">
            <w:rPr>
              <w:rFonts w:ascii="Times New Roman" w:eastAsia="Times New Roman" w:hAnsi="Times New Roman" w:cs="Times New Roman"/>
              <w:kern w:val="0"/>
              <w14:ligatures w14:val="none"/>
            </w:rPr>
            <w:fldChar w:fldCharType="begin"/>
          </w:r>
          <w:r w:rsidR="004E5BE2">
            <w:rPr>
              <w:rFonts w:ascii="Times New Roman" w:eastAsia="Times New Roman" w:hAnsi="Times New Roman" w:cs="Times New Roman"/>
              <w:kern w:val="0"/>
              <w:lang w:val="en-US"/>
              <w14:ligatures w14:val="none"/>
            </w:rPr>
            <w:instrText xml:space="preserve"> CITATION Chr23 \l 1033 </w:instrText>
          </w:r>
          <w:r w:rsidR="004E5BE2">
            <w:rPr>
              <w:rFonts w:ascii="Times New Roman" w:eastAsia="Times New Roman" w:hAnsi="Times New Roman" w:cs="Times New Roman"/>
              <w:kern w:val="0"/>
              <w14:ligatures w14:val="none"/>
            </w:rPr>
            <w:fldChar w:fldCharType="separate"/>
          </w:r>
          <w:r w:rsidR="00734073">
            <w:rPr>
              <w:rFonts w:ascii="Times New Roman" w:eastAsia="Times New Roman" w:hAnsi="Times New Roman" w:cs="Times New Roman"/>
              <w:noProof/>
              <w:kern w:val="0"/>
              <w:lang w:val="en-US"/>
              <w14:ligatures w14:val="none"/>
            </w:rPr>
            <w:t xml:space="preserve"> </w:t>
          </w:r>
          <w:r w:rsidR="00734073" w:rsidRPr="00734073">
            <w:rPr>
              <w:rFonts w:ascii="Times New Roman" w:eastAsia="Times New Roman" w:hAnsi="Times New Roman" w:cs="Times New Roman"/>
              <w:noProof/>
              <w:kern w:val="0"/>
              <w:lang w:val="en-US"/>
              <w14:ligatures w14:val="none"/>
            </w:rPr>
            <w:t>(Chron, 2023)</w:t>
          </w:r>
          <w:r w:rsidR="004E5BE2">
            <w:rPr>
              <w:rFonts w:ascii="Times New Roman" w:eastAsia="Times New Roman" w:hAnsi="Times New Roman" w:cs="Times New Roman"/>
              <w:kern w:val="0"/>
              <w14:ligatures w14:val="none"/>
            </w:rPr>
            <w:fldChar w:fldCharType="end"/>
          </w:r>
        </w:sdtContent>
      </w:sdt>
      <w:r>
        <w:rPr>
          <w:rFonts w:ascii="Times New Roman" w:eastAsia="Times New Roman" w:hAnsi="Times New Roman" w:cs="Times New Roman"/>
          <w:kern w:val="0"/>
          <w14:ligatures w14:val="none"/>
        </w:rPr>
        <w:t xml:space="preserve">. </w:t>
      </w:r>
    </w:p>
    <w:p w14:paraId="2328509F" w14:textId="24459778" w:rsidR="00AB6DD5" w:rsidRPr="007B59F7" w:rsidRDefault="00AB6DD5" w:rsidP="0046750B">
      <w:pPr>
        <w:pStyle w:val="Heading3"/>
        <w:rPr>
          <w:rFonts w:eastAsia="Times New Roman"/>
        </w:rPr>
      </w:pPr>
      <w:bookmarkStart w:id="42" w:name="_Toc218984760"/>
      <w:r w:rsidRPr="007B59F7">
        <w:rPr>
          <w:rFonts w:eastAsia="Times New Roman"/>
        </w:rPr>
        <w:t>Accounting Rate of Return (ARR)</w:t>
      </w:r>
      <w:bookmarkEnd w:id="42"/>
    </w:p>
    <w:p w14:paraId="5CA99E0E" w14:textId="167D97B4" w:rsidR="00AB6DD5" w:rsidRPr="007B59F7" w:rsidRDefault="00AB6DD5" w:rsidP="00AB6DD5">
      <w:pPr>
        <w:spacing w:before="100" w:beforeAutospacing="1" w:after="100" w:afterAutospacing="1" w:line="36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The Accounting Rate of Return is one of the most popular frameworks in the business world, </w:t>
      </w:r>
      <w:proofErr w:type="gramStart"/>
      <w:r>
        <w:rPr>
          <w:rFonts w:ascii="Times New Roman" w:eastAsia="Times New Roman" w:hAnsi="Times New Roman" w:cs="Times New Roman"/>
          <w:kern w:val="0"/>
          <w14:ligatures w14:val="none"/>
        </w:rPr>
        <w:t>This</w:t>
      </w:r>
      <w:proofErr w:type="gramEnd"/>
      <w:r>
        <w:rPr>
          <w:rFonts w:ascii="Times New Roman" w:eastAsia="Times New Roman" w:hAnsi="Times New Roman" w:cs="Times New Roman"/>
          <w:kern w:val="0"/>
          <w14:ligatures w14:val="none"/>
        </w:rPr>
        <w:t xml:space="preserve"> is so because it is based on the accounting profit, and it is easy to use and compare different ventures to a target return. However, it is not a reliable method to investigate investment options. This is so because it disregards revenue and discounting. Also, it may not be able to reflect </w:t>
      </w:r>
      <w:proofErr w:type="gramStart"/>
      <w:r>
        <w:rPr>
          <w:rFonts w:ascii="Times New Roman" w:eastAsia="Times New Roman" w:hAnsi="Times New Roman" w:cs="Times New Roman"/>
          <w:kern w:val="0"/>
          <w14:ligatures w14:val="none"/>
        </w:rPr>
        <w:t>real</w:t>
      </w:r>
      <w:proofErr w:type="gramEnd"/>
      <w:r>
        <w:rPr>
          <w:rFonts w:ascii="Times New Roman" w:eastAsia="Times New Roman" w:hAnsi="Times New Roman" w:cs="Times New Roman"/>
          <w:kern w:val="0"/>
          <w14:ligatures w14:val="none"/>
        </w:rPr>
        <w:t xml:space="preserve"> economic and business performance of an organization</w:t>
      </w:r>
      <w:sdt>
        <w:sdtPr>
          <w:rPr>
            <w:rFonts w:ascii="Times New Roman" w:eastAsia="Times New Roman" w:hAnsi="Times New Roman" w:cs="Times New Roman"/>
            <w:kern w:val="0"/>
            <w14:ligatures w14:val="none"/>
          </w:rPr>
          <w:id w:val="1682854319"/>
          <w:citation/>
        </w:sdtPr>
        <w:sdtEndPr/>
        <w:sdtContent>
          <w:r w:rsidR="0039000C">
            <w:rPr>
              <w:rFonts w:ascii="Times New Roman" w:eastAsia="Times New Roman" w:hAnsi="Times New Roman" w:cs="Times New Roman"/>
              <w:kern w:val="0"/>
              <w14:ligatures w14:val="none"/>
            </w:rPr>
            <w:fldChar w:fldCharType="begin"/>
          </w:r>
          <w:r w:rsidR="0039000C">
            <w:rPr>
              <w:rFonts w:ascii="Times New Roman" w:eastAsia="Times New Roman" w:hAnsi="Times New Roman" w:cs="Times New Roman"/>
              <w:kern w:val="0"/>
              <w:lang w:val="en-US"/>
              <w14:ligatures w14:val="none"/>
            </w:rPr>
            <w:instrText xml:space="preserve"> CITATION Adl10 \l 1033 </w:instrText>
          </w:r>
          <w:r w:rsidR="0039000C">
            <w:rPr>
              <w:rFonts w:ascii="Times New Roman" w:eastAsia="Times New Roman" w:hAnsi="Times New Roman" w:cs="Times New Roman"/>
              <w:kern w:val="0"/>
              <w14:ligatures w14:val="none"/>
            </w:rPr>
            <w:fldChar w:fldCharType="separate"/>
          </w:r>
          <w:r w:rsidR="00734073">
            <w:rPr>
              <w:rFonts w:ascii="Times New Roman" w:eastAsia="Times New Roman" w:hAnsi="Times New Roman" w:cs="Times New Roman"/>
              <w:noProof/>
              <w:kern w:val="0"/>
              <w:lang w:val="en-US"/>
              <w14:ligatures w14:val="none"/>
            </w:rPr>
            <w:t xml:space="preserve"> </w:t>
          </w:r>
          <w:r w:rsidR="00734073" w:rsidRPr="00734073">
            <w:rPr>
              <w:rFonts w:ascii="Times New Roman" w:eastAsia="Times New Roman" w:hAnsi="Times New Roman" w:cs="Times New Roman"/>
              <w:noProof/>
              <w:kern w:val="0"/>
              <w:lang w:val="en-US"/>
              <w14:ligatures w14:val="none"/>
            </w:rPr>
            <w:t>(Adler, 2010)</w:t>
          </w:r>
          <w:r w:rsidR="0039000C">
            <w:rPr>
              <w:rFonts w:ascii="Times New Roman" w:eastAsia="Times New Roman" w:hAnsi="Times New Roman" w:cs="Times New Roman"/>
              <w:kern w:val="0"/>
              <w14:ligatures w14:val="none"/>
            </w:rPr>
            <w:fldChar w:fldCharType="end"/>
          </w:r>
        </w:sdtContent>
      </w:sdt>
      <w:r>
        <w:rPr>
          <w:rFonts w:ascii="Times New Roman" w:eastAsia="Times New Roman" w:hAnsi="Times New Roman" w:cs="Times New Roman"/>
          <w:kern w:val="0"/>
          <w14:ligatures w14:val="none"/>
        </w:rPr>
        <w:t xml:space="preserve">. </w:t>
      </w:r>
    </w:p>
    <w:p w14:paraId="062EF8D3" w14:textId="0CE1FD2A" w:rsidR="00AB6DD5" w:rsidRPr="007B59F7" w:rsidRDefault="00AB6DD5" w:rsidP="004F4B73">
      <w:pPr>
        <w:spacing w:before="100" w:beforeAutospacing="1" w:after="100" w:afterAutospacing="1" w:line="36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lastRenderedPageBreak/>
        <w:t>Westward plc provides revenue information rather than profit information. Moreover, the report also focuses on discounted revenue outcome rather than profit. Thus, ARR is not a useful method in this context</w:t>
      </w:r>
      <w:sdt>
        <w:sdtPr>
          <w:rPr>
            <w:rFonts w:ascii="Times New Roman" w:eastAsia="Times New Roman" w:hAnsi="Times New Roman" w:cs="Times New Roman"/>
            <w:kern w:val="0"/>
            <w14:ligatures w14:val="none"/>
          </w:rPr>
          <w:id w:val="-1501194786"/>
          <w:citation/>
        </w:sdtPr>
        <w:sdtEndPr/>
        <w:sdtContent>
          <w:r w:rsidR="00131504">
            <w:rPr>
              <w:rFonts w:ascii="Times New Roman" w:eastAsia="Times New Roman" w:hAnsi="Times New Roman" w:cs="Times New Roman"/>
              <w:kern w:val="0"/>
              <w14:ligatures w14:val="none"/>
            </w:rPr>
            <w:fldChar w:fldCharType="begin"/>
          </w:r>
          <w:r w:rsidR="00131504">
            <w:rPr>
              <w:rFonts w:ascii="Times New Roman" w:eastAsia="Times New Roman" w:hAnsi="Times New Roman" w:cs="Times New Roman"/>
              <w:kern w:val="0"/>
              <w:lang w:val="en-US"/>
              <w14:ligatures w14:val="none"/>
            </w:rPr>
            <w:instrText xml:space="preserve"> CITATION Gor20 \l 1033 </w:instrText>
          </w:r>
          <w:r w:rsidR="00131504">
            <w:rPr>
              <w:rFonts w:ascii="Times New Roman" w:eastAsia="Times New Roman" w:hAnsi="Times New Roman" w:cs="Times New Roman"/>
              <w:kern w:val="0"/>
              <w14:ligatures w14:val="none"/>
            </w:rPr>
            <w:fldChar w:fldCharType="separate"/>
          </w:r>
          <w:r w:rsidR="00734073">
            <w:rPr>
              <w:rFonts w:ascii="Times New Roman" w:eastAsia="Times New Roman" w:hAnsi="Times New Roman" w:cs="Times New Roman"/>
              <w:noProof/>
              <w:kern w:val="0"/>
              <w:lang w:val="en-US"/>
              <w14:ligatures w14:val="none"/>
            </w:rPr>
            <w:t xml:space="preserve"> </w:t>
          </w:r>
          <w:r w:rsidR="00734073" w:rsidRPr="00734073">
            <w:rPr>
              <w:rFonts w:ascii="Times New Roman" w:eastAsia="Times New Roman" w:hAnsi="Times New Roman" w:cs="Times New Roman"/>
              <w:noProof/>
              <w:kern w:val="0"/>
              <w:lang w:val="en-US"/>
              <w14:ligatures w14:val="none"/>
            </w:rPr>
            <w:t>(Gordon, 2020)</w:t>
          </w:r>
          <w:r w:rsidR="00131504">
            <w:rPr>
              <w:rFonts w:ascii="Times New Roman" w:eastAsia="Times New Roman" w:hAnsi="Times New Roman" w:cs="Times New Roman"/>
              <w:kern w:val="0"/>
              <w14:ligatures w14:val="none"/>
            </w:rPr>
            <w:fldChar w:fldCharType="end"/>
          </w:r>
        </w:sdtContent>
      </w:sdt>
      <w:r>
        <w:rPr>
          <w:rFonts w:ascii="Times New Roman" w:eastAsia="Times New Roman" w:hAnsi="Times New Roman" w:cs="Times New Roman"/>
          <w:kern w:val="0"/>
          <w14:ligatures w14:val="none"/>
        </w:rPr>
        <w:t>. At best it can remain a secondary, supporting measurement</w:t>
      </w:r>
      <w:sdt>
        <w:sdtPr>
          <w:rPr>
            <w:rFonts w:ascii="Times New Roman" w:eastAsia="Times New Roman" w:hAnsi="Times New Roman" w:cs="Times New Roman"/>
            <w:kern w:val="0"/>
            <w14:ligatures w14:val="none"/>
          </w:rPr>
          <w:id w:val="-1987228188"/>
          <w:citation/>
        </w:sdtPr>
        <w:sdtEndPr/>
        <w:sdtContent>
          <w:r w:rsidR="00CF2A49">
            <w:rPr>
              <w:rFonts w:ascii="Times New Roman" w:eastAsia="Times New Roman" w:hAnsi="Times New Roman" w:cs="Times New Roman"/>
              <w:kern w:val="0"/>
              <w14:ligatures w14:val="none"/>
            </w:rPr>
            <w:fldChar w:fldCharType="begin"/>
          </w:r>
          <w:r w:rsidR="00CF2A49">
            <w:rPr>
              <w:rFonts w:ascii="Times New Roman" w:eastAsia="Times New Roman" w:hAnsi="Times New Roman" w:cs="Times New Roman"/>
              <w:kern w:val="0"/>
              <w:lang w:val="en-US"/>
              <w14:ligatures w14:val="none"/>
            </w:rPr>
            <w:instrText xml:space="preserve"> CITATION CFI25 \l 1033 </w:instrText>
          </w:r>
          <w:r w:rsidR="00CF2A49">
            <w:rPr>
              <w:rFonts w:ascii="Times New Roman" w:eastAsia="Times New Roman" w:hAnsi="Times New Roman" w:cs="Times New Roman"/>
              <w:kern w:val="0"/>
              <w14:ligatures w14:val="none"/>
            </w:rPr>
            <w:fldChar w:fldCharType="separate"/>
          </w:r>
          <w:r w:rsidR="00734073">
            <w:rPr>
              <w:rFonts w:ascii="Times New Roman" w:eastAsia="Times New Roman" w:hAnsi="Times New Roman" w:cs="Times New Roman"/>
              <w:noProof/>
              <w:kern w:val="0"/>
              <w:lang w:val="en-US"/>
              <w14:ligatures w14:val="none"/>
            </w:rPr>
            <w:t xml:space="preserve"> </w:t>
          </w:r>
          <w:r w:rsidR="00734073" w:rsidRPr="00734073">
            <w:rPr>
              <w:rFonts w:ascii="Times New Roman" w:eastAsia="Times New Roman" w:hAnsi="Times New Roman" w:cs="Times New Roman"/>
              <w:noProof/>
              <w:kern w:val="0"/>
              <w:lang w:val="en-US"/>
              <w14:ligatures w14:val="none"/>
            </w:rPr>
            <w:t>(CFI Team, n.d.)</w:t>
          </w:r>
          <w:r w:rsidR="00CF2A49">
            <w:rPr>
              <w:rFonts w:ascii="Times New Roman" w:eastAsia="Times New Roman" w:hAnsi="Times New Roman" w:cs="Times New Roman"/>
              <w:kern w:val="0"/>
              <w14:ligatures w14:val="none"/>
            </w:rPr>
            <w:fldChar w:fldCharType="end"/>
          </w:r>
        </w:sdtContent>
      </w:sdt>
      <w:r>
        <w:rPr>
          <w:rFonts w:ascii="Times New Roman" w:eastAsia="Times New Roman" w:hAnsi="Times New Roman" w:cs="Times New Roman"/>
          <w:kern w:val="0"/>
          <w14:ligatures w14:val="none"/>
        </w:rPr>
        <w:t xml:space="preserve">. </w:t>
      </w:r>
    </w:p>
    <w:p w14:paraId="4492F3C1" w14:textId="77777777" w:rsidR="00AC7CB6" w:rsidRDefault="00DC26D4" w:rsidP="0046750B">
      <w:pPr>
        <w:pStyle w:val="Heading2"/>
        <w:rPr>
          <w:rFonts w:eastAsia="Times New Roman"/>
        </w:rPr>
      </w:pPr>
      <w:bookmarkStart w:id="43" w:name="_Toc218984761"/>
      <w:r>
        <w:rPr>
          <w:rFonts w:eastAsia="Times New Roman"/>
        </w:rPr>
        <w:t>C</w:t>
      </w:r>
      <w:r w:rsidR="004F4B73">
        <w:rPr>
          <w:rFonts w:eastAsia="Times New Roman"/>
        </w:rPr>
        <w:t>.</w:t>
      </w:r>
      <w:bookmarkEnd w:id="43"/>
      <w:r w:rsidR="004F4B73">
        <w:rPr>
          <w:rFonts w:eastAsia="Times New Roman"/>
        </w:rPr>
        <w:t xml:space="preserve"> </w:t>
      </w:r>
    </w:p>
    <w:p w14:paraId="04C2C14C" w14:textId="6195A2C9" w:rsidR="004F4B73" w:rsidRPr="007B59F7" w:rsidRDefault="00AB6DD5" w:rsidP="0007165D">
      <w:pPr>
        <w:pStyle w:val="Heading3"/>
        <w:numPr>
          <w:ilvl w:val="0"/>
          <w:numId w:val="14"/>
        </w:numPr>
        <w:rPr>
          <w:rFonts w:eastAsia="Times New Roman"/>
        </w:rPr>
      </w:pPr>
      <w:bookmarkStart w:id="44" w:name="_Toc218984762"/>
      <w:r w:rsidRPr="007B59F7">
        <w:rPr>
          <w:rFonts w:eastAsia="Times New Roman"/>
        </w:rPr>
        <w:t>Why Net Present Value (NPV) and What is the Best Method for Investment Appraisal</w:t>
      </w:r>
      <w:bookmarkEnd w:id="44"/>
    </w:p>
    <w:p w14:paraId="1BEEE114" w14:textId="6A5C81C1" w:rsidR="00AB6DD5" w:rsidRPr="007B59F7" w:rsidRDefault="00AB6DD5" w:rsidP="00AB6DD5">
      <w:pPr>
        <w:spacing w:before="100" w:beforeAutospacing="1" w:after="100" w:afterAutospacing="1" w:line="36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The Net Present Value or NPV is one of the best approaches for the appraisal of investment options. This is so because the technique offers organizations that the different investment projects would contribute in terms of monetary value. It takes into account the value of future revenue after discounting. It also shows both profitability and timing. By taking into account capital investments, NPV figures out which project creates return more than the capital that the parent company has invested in it</w:t>
      </w:r>
      <w:sdt>
        <w:sdtPr>
          <w:rPr>
            <w:rFonts w:ascii="Times New Roman" w:eastAsia="Times New Roman" w:hAnsi="Times New Roman" w:cs="Times New Roman"/>
            <w:kern w:val="0"/>
            <w14:ligatures w14:val="none"/>
          </w:rPr>
          <w:id w:val="153116771"/>
          <w:citation/>
        </w:sdtPr>
        <w:sdtEndPr/>
        <w:sdtContent>
          <w:r w:rsidR="0080033C">
            <w:rPr>
              <w:rFonts w:ascii="Times New Roman" w:eastAsia="Times New Roman" w:hAnsi="Times New Roman" w:cs="Times New Roman"/>
              <w:kern w:val="0"/>
              <w14:ligatures w14:val="none"/>
            </w:rPr>
            <w:fldChar w:fldCharType="begin"/>
          </w:r>
          <w:r w:rsidR="0080033C">
            <w:rPr>
              <w:rFonts w:ascii="Times New Roman" w:eastAsia="Times New Roman" w:hAnsi="Times New Roman" w:cs="Times New Roman"/>
              <w:kern w:val="0"/>
              <w:lang w:val="en-US"/>
              <w14:ligatures w14:val="none"/>
            </w:rPr>
            <w:instrText xml:space="preserve"> CITATION Ell17 \l 1033 </w:instrText>
          </w:r>
          <w:r w:rsidR="0080033C">
            <w:rPr>
              <w:rFonts w:ascii="Times New Roman" w:eastAsia="Times New Roman" w:hAnsi="Times New Roman" w:cs="Times New Roman"/>
              <w:kern w:val="0"/>
              <w14:ligatures w14:val="none"/>
            </w:rPr>
            <w:fldChar w:fldCharType="separate"/>
          </w:r>
          <w:r w:rsidR="00734073">
            <w:rPr>
              <w:rFonts w:ascii="Times New Roman" w:eastAsia="Times New Roman" w:hAnsi="Times New Roman" w:cs="Times New Roman"/>
              <w:noProof/>
              <w:kern w:val="0"/>
              <w:lang w:val="en-US"/>
              <w14:ligatures w14:val="none"/>
            </w:rPr>
            <w:t xml:space="preserve"> </w:t>
          </w:r>
          <w:r w:rsidR="00734073" w:rsidRPr="00734073">
            <w:rPr>
              <w:rFonts w:ascii="Times New Roman" w:eastAsia="Times New Roman" w:hAnsi="Times New Roman" w:cs="Times New Roman"/>
              <w:noProof/>
              <w:kern w:val="0"/>
              <w:lang w:val="en-US"/>
              <w14:ligatures w14:val="none"/>
            </w:rPr>
            <w:t>(Elliott &amp; Elliott, 2017)</w:t>
          </w:r>
          <w:r w:rsidR="0080033C">
            <w:rPr>
              <w:rFonts w:ascii="Times New Roman" w:eastAsia="Times New Roman" w:hAnsi="Times New Roman" w:cs="Times New Roman"/>
              <w:kern w:val="0"/>
              <w14:ligatures w14:val="none"/>
            </w:rPr>
            <w:fldChar w:fldCharType="end"/>
          </w:r>
        </w:sdtContent>
      </w:sdt>
      <w:r>
        <w:rPr>
          <w:rFonts w:ascii="Times New Roman" w:eastAsia="Times New Roman" w:hAnsi="Times New Roman" w:cs="Times New Roman"/>
          <w:kern w:val="0"/>
          <w14:ligatures w14:val="none"/>
        </w:rPr>
        <w:t xml:space="preserve">. </w:t>
      </w:r>
    </w:p>
    <w:p w14:paraId="363D8CF7" w14:textId="77777777" w:rsidR="00AB6DD5" w:rsidRPr="007B59F7" w:rsidRDefault="00AB6DD5" w:rsidP="00AB6DD5">
      <w:pPr>
        <w:spacing w:before="100" w:beforeAutospacing="1" w:after="100" w:afterAutospacing="1" w:line="36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Both NPV and IRR are methods that measure the discounted revenue rates. They are better than other methods that do not take into account the fluctuations of the value of money over time. But sometimes, it is possible that NPV and IRR gives out conflicting recommendations regarding which project to venture. In such scenarios, it is safe to go with NPV. This is even more true for the ventures that are mutually exclusive. NPV figures the total value, rather than the rate of returns. It also allows itself to be aggregated across multiple projects. </w:t>
      </w:r>
    </w:p>
    <w:p w14:paraId="7255AB41" w14:textId="70AFA18C" w:rsidR="00AB6DD5" w:rsidRPr="007B59F7" w:rsidRDefault="00AB6DD5" w:rsidP="00AB6DD5">
      <w:pPr>
        <w:spacing w:before="100" w:beforeAutospacing="1" w:after="100" w:afterAutospacing="1" w:line="36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For this analysis, as seen in the appendix, the NPV method is the best for figuring out the basis of informed decision-making. It isolates Option B as the best business investment option, as it offers the highest value. Although the Payback Period method offers Option A as the best business investment option. However, </w:t>
      </w:r>
      <w:r w:rsidR="0039000C">
        <w:rPr>
          <w:rFonts w:ascii="Times New Roman" w:eastAsia="Times New Roman" w:hAnsi="Times New Roman" w:cs="Times New Roman"/>
          <w:kern w:val="0"/>
          <w14:ligatures w14:val="none"/>
        </w:rPr>
        <w:t xml:space="preserve">in this context, </w:t>
      </w:r>
      <w:r>
        <w:rPr>
          <w:rFonts w:ascii="Times New Roman" w:eastAsia="Times New Roman" w:hAnsi="Times New Roman" w:cs="Times New Roman"/>
          <w:kern w:val="0"/>
          <w14:ligatures w14:val="none"/>
        </w:rPr>
        <w:t>the Payback Period method cannot take into account the long-term implications. IRR is also thus used as a supporting method, but the main tool used here is NPV</w:t>
      </w:r>
      <w:sdt>
        <w:sdtPr>
          <w:rPr>
            <w:rFonts w:ascii="Times New Roman" w:eastAsia="Times New Roman" w:hAnsi="Times New Roman" w:cs="Times New Roman"/>
            <w:kern w:val="0"/>
            <w14:ligatures w14:val="none"/>
          </w:rPr>
          <w:id w:val="307744211"/>
          <w:citation/>
        </w:sdtPr>
        <w:sdtEndPr/>
        <w:sdtContent>
          <w:r w:rsidR="0039000C">
            <w:rPr>
              <w:rFonts w:ascii="Times New Roman" w:eastAsia="Times New Roman" w:hAnsi="Times New Roman" w:cs="Times New Roman"/>
              <w:kern w:val="0"/>
              <w14:ligatures w14:val="none"/>
            </w:rPr>
            <w:fldChar w:fldCharType="begin"/>
          </w:r>
          <w:r w:rsidR="0039000C">
            <w:rPr>
              <w:rFonts w:ascii="Times New Roman" w:eastAsia="Times New Roman" w:hAnsi="Times New Roman" w:cs="Times New Roman"/>
              <w:kern w:val="0"/>
              <w:lang w:val="en-US"/>
              <w14:ligatures w14:val="none"/>
            </w:rPr>
            <w:instrText xml:space="preserve"> CITATION Arj17 \l 1033 </w:instrText>
          </w:r>
          <w:r w:rsidR="0039000C">
            <w:rPr>
              <w:rFonts w:ascii="Times New Roman" w:eastAsia="Times New Roman" w:hAnsi="Times New Roman" w:cs="Times New Roman"/>
              <w:kern w:val="0"/>
              <w14:ligatures w14:val="none"/>
            </w:rPr>
            <w:fldChar w:fldCharType="separate"/>
          </w:r>
          <w:r w:rsidR="00734073">
            <w:rPr>
              <w:rFonts w:ascii="Times New Roman" w:eastAsia="Times New Roman" w:hAnsi="Times New Roman" w:cs="Times New Roman"/>
              <w:noProof/>
              <w:kern w:val="0"/>
              <w:lang w:val="en-US"/>
              <w14:ligatures w14:val="none"/>
            </w:rPr>
            <w:t xml:space="preserve"> </w:t>
          </w:r>
          <w:r w:rsidR="00734073" w:rsidRPr="00734073">
            <w:rPr>
              <w:rFonts w:ascii="Times New Roman" w:eastAsia="Times New Roman" w:hAnsi="Times New Roman" w:cs="Times New Roman"/>
              <w:noProof/>
              <w:kern w:val="0"/>
              <w:lang w:val="en-US"/>
              <w14:ligatures w14:val="none"/>
            </w:rPr>
            <w:t>(Arjunan, 2017)</w:t>
          </w:r>
          <w:r w:rsidR="0039000C">
            <w:rPr>
              <w:rFonts w:ascii="Times New Roman" w:eastAsia="Times New Roman" w:hAnsi="Times New Roman" w:cs="Times New Roman"/>
              <w:kern w:val="0"/>
              <w14:ligatures w14:val="none"/>
            </w:rPr>
            <w:fldChar w:fldCharType="end"/>
          </w:r>
        </w:sdtContent>
      </w:sdt>
      <w:r>
        <w:rPr>
          <w:rFonts w:ascii="Times New Roman" w:eastAsia="Times New Roman" w:hAnsi="Times New Roman" w:cs="Times New Roman"/>
          <w:kern w:val="0"/>
          <w14:ligatures w14:val="none"/>
        </w:rPr>
        <w:t xml:space="preserve">. </w:t>
      </w:r>
    </w:p>
    <w:p w14:paraId="5B97E069" w14:textId="7C8EACB3" w:rsidR="00AB6DD5" w:rsidRPr="007B59F7" w:rsidRDefault="00AB6DD5" w:rsidP="00AB6DD5">
      <w:pPr>
        <w:spacing w:after="0" w:line="36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Based on all the factors involved, and the context in which Westward plc operates, the NPV method is the best</w:t>
      </w:r>
      <w:r w:rsidR="005E7537">
        <w:rPr>
          <w:rFonts w:ascii="Times New Roman" w:eastAsia="Times New Roman" w:hAnsi="Times New Roman" w:cs="Times New Roman"/>
          <w:kern w:val="0"/>
          <w14:ligatures w14:val="none"/>
        </w:rPr>
        <w:t xml:space="preserve"> </w:t>
      </w:r>
      <w:sdt>
        <w:sdtPr>
          <w:rPr>
            <w:rFonts w:ascii="Times New Roman" w:eastAsia="Times New Roman" w:hAnsi="Times New Roman" w:cs="Times New Roman"/>
            <w:kern w:val="0"/>
            <w14:ligatures w14:val="none"/>
          </w:rPr>
          <w:id w:val="2108382325"/>
          <w:citation/>
        </w:sdtPr>
        <w:sdtEndPr/>
        <w:sdtContent>
          <w:r w:rsidR="005E7537">
            <w:rPr>
              <w:rFonts w:ascii="Times New Roman" w:eastAsia="Times New Roman" w:hAnsi="Times New Roman" w:cs="Times New Roman"/>
              <w:kern w:val="0"/>
              <w14:ligatures w14:val="none"/>
            </w:rPr>
            <w:fldChar w:fldCharType="begin"/>
          </w:r>
          <w:r w:rsidR="005E7537">
            <w:rPr>
              <w:rFonts w:ascii="Times New Roman" w:eastAsia="Times New Roman" w:hAnsi="Times New Roman" w:cs="Times New Roman"/>
              <w:kern w:val="0"/>
              <w:lang w:val="en-US"/>
              <w14:ligatures w14:val="none"/>
            </w:rPr>
            <w:instrText xml:space="preserve"> CITATION Inv23 \l 1033 </w:instrText>
          </w:r>
          <w:r w:rsidR="005E7537">
            <w:rPr>
              <w:rFonts w:ascii="Times New Roman" w:eastAsia="Times New Roman" w:hAnsi="Times New Roman" w:cs="Times New Roman"/>
              <w:kern w:val="0"/>
              <w14:ligatures w14:val="none"/>
            </w:rPr>
            <w:fldChar w:fldCharType="separate"/>
          </w:r>
          <w:r w:rsidR="00734073" w:rsidRPr="00734073">
            <w:rPr>
              <w:rFonts w:ascii="Times New Roman" w:eastAsia="Times New Roman" w:hAnsi="Times New Roman" w:cs="Times New Roman"/>
              <w:noProof/>
              <w:kern w:val="0"/>
              <w:lang w:val="en-US"/>
              <w14:ligatures w14:val="none"/>
            </w:rPr>
            <w:t>(Investguiding, 2023)</w:t>
          </w:r>
          <w:r w:rsidR="005E7537">
            <w:rPr>
              <w:rFonts w:ascii="Times New Roman" w:eastAsia="Times New Roman" w:hAnsi="Times New Roman" w:cs="Times New Roman"/>
              <w:kern w:val="0"/>
              <w14:ligatures w14:val="none"/>
            </w:rPr>
            <w:fldChar w:fldCharType="end"/>
          </w:r>
        </w:sdtContent>
      </w:sdt>
      <w:r>
        <w:rPr>
          <w:rFonts w:ascii="Times New Roman" w:eastAsia="Times New Roman" w:hAnsi="Times New Roman" w:cs="Times New Roman"/>
          <w:kern w:val="0"/>
          <w14:ligatures w14:val="none"/>
        </w:rPr>
        <w:t xml:space="preserve">. </w:t>
      </w:r>
    </w:p>
    <w:p w14:paraId="6C890976" w14:textId="71FCE28F" w:rsidR="00AB6DD5" w:rsidRPr="007B59F7" w:rsidRDefault="00AB6DD5" w:rsidP="004E6317">
      <w:pPr>
        <w:pStyle w:val="Heading3"/>
        <w:numPr>
          <w:ilvl w:val="0"/>
          <w:numId w:val="14"/>
        </w:numPr>
        <w:rPr>
          <w:rFonts w:eastAsia="Times New Roman"/>
        </w:rPr>
      </w:pPr>
      <w:bookmarkStart w:id="45" w:name="_Toc218984763"/>
      <w:r w:rsidRPr="007B59F7">
        <w:rPr>
          <w:rFonts w:eastAsia="Times New Roman"/>
        </w:rPr>
        <w:lastRenderedPageBreak/>
        <w:t>Why Do Decision-Makers Use Non-Discounting Methods</w:t>
      </w:r>
      <w:bookmarkEnd w:id="45"/>
    </w:p>
    <w:p w14:paraId="603CF498" w14:textId="60823538" w:rsidR="00AB6DD5" w:rsidRPr="007B59F7" w:rsidRDefault="00AB6DD5" w:rsidP="00AB6DD5">
      <w:pPr>
        <w:spacing w:before="100" w:beforeAutospacing="1" w:after="100" w:afterAutospacing="1" w:line="36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Methods that use the discounting methods are better than those that do not. Still methods that do not use discounting remain popular, such as the Payback Period method, because they are simple and easy to compare. Also, they too measure some important aspects of business venture success, such as liquidity. This is why they are used as a supporting tool alongside NPV</w:t>
      </w:r>
      <w:sdt>
        <w:sdtPr>
          <w:rPr>
            <w:rFonts w:ascii="Times New Roman" w:eastAsia="Times New Roman" w:hAnsi="Times New Roman" w:cs="Times New Roman"/>
            <w:kern w:val="0"/>
            <w14:ligatures w14:val="none"/>
          </w:rPr>
          <w:id w:val="1720164432"/>
          <w:citation/>
        </w:sdtPr>
        <w:sdtEndPr/>
        <w:sdtContent>
          <w:r w:rsidR="004E5BE2">
            <w:rPr>
              <w:rFonts w:ascii="Times New Roman" w:eastAsia="Times New Roman" w:hAnsi="Times New Roman" w:cs="Times New Roman"/>
              <w:kern w:val="0"/>
              <w14:ligatures w14:val="none"/>
            </w:rPr>
            <w:fldChar w:fldCharType="begin"/>
          </w:r>
          <w:r w:rsidR="004E5BE2">
            <w:rPr>
              <w:rFonts w:ascii="Times New Roman" w:eastAsia="Times New Roman" w:hAnsi="Times New Roman" w:cs="Times New Roman"/>
              <w:kern w:val="0"/>
              <w:lang w:val="en-US"/>
              <w14:ligatures w14:val="none"/>
            </w:rPr>
            <w:instrText xml:space="preserve"> CITATION Chr231 \l 1033 </w:instrText>
          </w:r>
          <w:r w:rsidR="004E5BE2">
            <w:rPr>
              <w:rFonts w:ascii="Times New Roman" w:eastAsia="Times New Roman" w:hAnsi="Times New Roman" w:cs="Times New Roman"/>
              <w:kern w:val="0"/>
              <w14:ligatures w14:val="none"/>
            </w:rPr>
            <w:fldChar w:fldCharType="separate"/>
          </w:r>
          <w:r w:rsidR="00734073">
            <w:rPr>
              <w:rFonts w:ascii="Times New Roman" w:eastAsia="Times New Roman" w:hAnsi="Times New Roman" w:cs="Times New Roman"/>
              <w:noProof/>
              <w:kern w:val="0"/>
              <w:lang w:val="en-US"/>
              <w14:ligatures w14:val="none"/>
            </w:rPr>
            <w:t xml:space="preserve"> </w:t>
          </w:r>
          <w:r w:rsidR="00734073" w:rsidRPr="00734073">
            <w:rPr>
              <w:rFonts w:ascii="Times New Roman" w:eastAsia="Times New Roman" w:hAnsi="Times New Roman" w:cs="Times New Roman"/>
              <w:noProof/>
              <w:kern w:val="0"/>
              <w:lang w:val="en-US"/>
              <w14:ligatures w14:val="none"/>
            </w:rPr>
            <w:t>(Chron, 2023)</w:t>
          </w:r>
          <w:r w:rsidR="004E5BE2">
            <w:rPr>
              <w:rFonts w:ascii="Times New Roman" w:eastAsia="Times New Roman" w:hAnsi="Times New Roman" w:cs="Times New Roman"/>
              <w:kern w:val="0"/>
              <w14:ligatures w14:val="none"/>
            </w:rPr>
            <w:fldChar w:fldCharType="end"/>
          </w:r>
        </w:sdtContent>
      </w:sdt>
      <w:r>
        <w:rPr>
          <w:rFonts w:ascii="Times New Roman" w:eastAsia="Times New Roman" w:hAnsi="Times New Roman" w:cs="Times New Roman"/>
          <w:kern w:val="0"/>
          <w14:ligatures w14:val="none"/>
        </w:rPr>
        <w:t xml:space="preserve">. The informed decisions are made by being aware of the shortcomings of each method, and taking all of their insights into account together. </w:t>
      </w:r>
    </w:p>
    <w:p w14:paraId="1D804775" w14:textId="77777777" w:rsidR="00AB6DD5" w:rsidRPr="007B59F7" w:rsidRDefault="00AB6DD5" w:rsidP="00AB6DD5">
      <w:pPr>
        <w:spacing w:before="100" w:beforeAutospacing="1" w:after="100" w:afterAutospacing="1" w:line="36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Methods that do not use discounting, such as the Payback Period method, is also quite useful when the full data is not available and also the decisions need to be made quickly. In many cases, the discounting rates and long-term projections are not valid, reliable, or trustworthy. In such situations, it is better to use Payback Period method and ARR, as these methods simplify the matter of decision-making quite a lot. </w:t>
      </w:r>
    </w:p>
    <w:p w14:paraId="22072A1E" w14:textId="404DBA7D" w:rsidR="004E6317" w:rsidRDefault="00AB6DD5" w:rsidP="004E6317">
      <w:pPr>
        <w:spacing w:before="100" w:beforeAutospacing="1" w:after="100" w:afterAutospacing="1" w:line="36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In short, the use of non-discounting methods </w:t>
      </w:r>
      <w:r w:rsidR="00790310">
        <w:rPr>
          <w:rFonts w:ascii="Times New Roman" w:eastAsia="Times New Roman" w:hAnsi="Times New Roman" w:cs="Times New Roman"/>
          <w:kern w:val="0"/>
          <w14:ligatures w14:val="none"/>
        </w:rPr>
        <w:t>shows</w:t>
      </w:r>
      <w:r>
        <w:rPr>
          <w:rFonts w:ascii="Times New Roman" w:eastAsia="Times New Roman" w:hAnsi="Times New Roman" w:cs="Times New Roman"/>
          <w:kern w:val="0"/>
          <w14:ligatures w14:val="none"/>
        </w:rPr>
        <w:t xml:space="preserve"> the practicality and need for informed decision-making, need for simplification, and risk management</w:t>
      </w:r>
      <w:r w:rsidR="00CF2A49">
        <w:rPr>
          <w:rFonts w:ascii="Times New Roman" w:eastAsia="Times New Roman" w:hAnsi="Times New Roman" w:cs="Times New Roman"/>
          <w:kern w:val="0"/>
          <w14:ligatures w14:val="none"/>
        </w:rPr>
        <w:t xml:space="preserve"> </w:t>
      </w:r>
      <w:sdt>
        <w:sdtPr>
          <w:rPr>
            <w:rFonts w:ascii="Times New Roman" w:eastAsia="Times New Roman" w:hAnsi="Times New Roman" w:cs="Times New Roman"/>
            <w:kern w:val="0"/>
            <w14:ligatures w14:val="none"/>
          </w:rPr>
          <w:id w:val="-1744865434"/>
          <w:citation/>
        </w:sdtPr>
        <w:sdtEndPr/>
        <w:sdtContent>
          <w:r w:rsidR="00CF2A49">
            <w:rPr>
              <w:rFonts w:ascii="Times New Roman" w:eastAsia="Times New Roman" w:hAnsi="Times New Roman" w:cs="Times New Roman"/>
              <w:kern w:val="0"/>
              <w14:ligatures w14:val="none"/>
            </w:rPr>
            <w:fldChar w:fldCharType="begin"/>
          </w:r>
          <w:r w:rsidR="00CF2A49">
            <w:rPr>
              <w:rFonts w:ascii="Times New Roman" w:eastAsia="Times New Roman" w:hAnsi="Times New Roman" w:cs="Times New Roman"/>
              <w:kern w:val="0"/>
              <w:lang w:val="en-US"/>
              <w14:ligatures w14:val="none"/>
            </w:rPr>
            <w:instrText xml:space="preserve"> CITATION Ima24 \l 1033 </w:instrText>
          </w:r>
          <w:r w:rsidR="00CF2A49">
            <w:rPr>
              <w:rFonts w:ascii="Times New Roman" w:eastAsia="Times New Roman" w:hAnsi="Times New Roman" w:cs="Times New Roman"/>
              <w:kern w:val="0"/>
              <w14:ligatures w14:val="none"/>
            </w:rPr>
            <w:fldChar w:fldCharType="separate"/>
          </w:r>
          <w:r w:rsidR="00734073" w:rsidRPr="00734073">
            <w:rPr>
              <w:rFonts w:ascii="Times New Roman" w:eastAsia="Times New Roman" w:hAnsi="Times New Roman" w:cs="Times New Roman"/>
              <w:noProof/>
              <w:kern w:val="0"/>
              <w:lang w:val="en-US"/>
              <w14:ligatures w14:val="none"/>
            </w:rPr>
            <w:t>(Imarticus, 2024)</w:t>
          </w:r>
          <w:r w:rsidR="00CF2A49">
            <w:rPr>
              <w:rFonts w:ascii="Times New Roman" w:eastAsia="Times New Roman" w:hAnsi="Times New Roman" w:cs="Times New Roman"/>
              <w:kern w:val="0"/>
              <w14:ligatures w14:val="none"/>
            </w:rPr>
            <w:fldChar w:fldCharType="end"/>
          </w:r>
        </w:sdtContent>
      </w:sdt>
      <w:r>
        <w:rPr>
          <w:rFonts w:ascii="Times New Roman" w:eastAsia="Times New Roman" w:hAnsi="Times New Roman" w:cs="Times New Roman"/>
          <w:kern w:val="0"/>
          <w14:ligatures w14:val="none"/>
        </w:rPr>
        <w:t xml:space="preserve">. </w:t>
      </w:r>
    </w:p>
    <w:p w14:paraId="4C851527" w14:textId="4EC621B0" w:rsidR="00AB6DD5" w:rsidRPr="004E6317" w:rsidRDefault="00AB6DD5" w:rsidP="004E6317">
      <w:pPr>
        <w:pStyle w:val="Heading3"/>
        <w:numPr>
          <w:ilvl w:val="0"/>
          <w:numId w:val="14"/>
        </w:numPr>
        <w:rPr>
          <w:rFonts w:eastAsia="Times New Roman" w:cs="Times New Roman"/>
          <w:kern w:val="0"/>
          <w14:ligatures w14:val="none"/>
        </w:rPr>
      </w:pPr>
      <w:bookmarkStart w:id="46" w:name="_Toc218984764"/>
      <w:r w:rsidRPr="007B59F7">
        <w:rPr>
          <w:rFonts w:eastAsia="Times New Roman"/>
        </w:rPr>
        <w:t>Other Factors That Should Be Considered Before an Investment Decision is Made</w:t>
      </w:r>
      <w:bookmarkEnd w:id="46"/>
    </w:p>
    <w:p w14:paraId="28895362" w14:textId="5FB013F5" w:rsidR="00AB6DD5" w:rsidRPr="007B59F7" w:rsidRDefault="00AB6DD5" w:rsidP="00AB6DD5">
      <w:pPr>
        <w:spacing w:before="100" w:beforeAutospacing="1" w:after="100" w:afterAutospacing="1" w:line="36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Although this report mainly focuses on numerical and financial reporting, before making the leap to the investment, there are many other factors that the Westward plc must take into account. Many of the environmental factors that the financial forecast </w:t>
      </w:r>
      <w:proofErr w:type="gramStart"/>
      <w:r>
        <w:rPr>
          <w:rFonts w:ascii="Times New Roman" w:eastAsia="Times New Roman" w:hAnsi="Times New Roman" w:cs="Times New Roman"/>
          <w:kern w:val="0"/>
          <w14:ligatures w14:val="none"/>
        </w:rPr>
        <w:t>take</w:t>
      </w:r>
      <w:proofErr w:type="gramEnd"/>
      <w:r>
        <w:rPr>
          <w:rFonts w:ascii="Times New Roman" w:eastAsia="Times New Roman" w:hAnsi="Times New Roman" w:cs="Times New Roman"/>
          <w:kern w:val="0"/>
          <w14:ligatures w14:val="none"/>
        </w:rPr>
        <w:t xml:space="preserve"> for granted, such as stable market, good execution, is overly optimistic and do not allow the complexities that may arise out of a real world venture</w:t>
      </w:r>
      <w:sdt>
        <w:sdtPr>
          <w:rPr>
            <w:rFonts w:ascii="Times New Roman" w:eastAsia="Times New Roman" w:hAnsi="Times New Roman" w:cs="Times New Roman"/>
            <w:kern w:val="0"/>
            <w14:ligatures w14:val="none"/>
          </w:rPr>
          <w:id w:val="841122922"/>
          <w:citation/>
        </w:sdtPr>
        <w:sdtEndPr/>
        <w:sdtContent>
          <w:r w:rsidR="00317C5B">
            <w:rPr>
              <w:rFonts w:ascii="Times New Roman" w:eastAsia="Times New Roman" w:hAnsi="Times New Roman" w:cs="Times New Roman"/>
              <w:kern w:val="0"/>
              <w14:ligatures w14:val="none"/>
            </w:rPr>
            <w:fldChar w:fldCharType="begin"/>
          </w:r>
          <w:r w:rsidR="00317C5B">
            <w:rPr>
              <w:rFonts w:ascii="Times New Roman" w:eastAsia="Times New Roman" w:hAnsi="Times New Roman" w:cs="Times New Roman"/>
              <w:kern w:val="0"/>
              <w:lang w:val="en-US"/>
              <w14:ligatures w14:val="none"/>
            </w:rPr>
            <w:instrText xml:space="preserve"> CITATION Sur22 \l 1033 </w:instrText>
          </w:r>
          <w:r w:rsidR="00317C5B">
            <w:rPr>
              <w:rFonts w:ascii="Times New Roman" w:eastAsia="Times New Roman" w:hAnsi="Times New Roman" w:cs="Times New Roman"/>
              <w:kern w:val="0"/>
              <w14:ligatures w14:val="none"/>
            </w:rPr>
            <w:fldChar w:fldCharType="separate"/>
          </w:r>
          <w:r w:rsidR="00734073">
            <w:rPr>
              <w:rFonts w:ascii="Times New Roman" w:eastAsia="Times New Roman" w:hAnsi="Times New Roman" w:cs="Times New Roman"/>
              <w:noProof/>
              <w:kern w:val="0"/>
              <w:lang w:val="en-US"/>
              <w14:ligatures w14:val="none"/>
            </w:rPr>
            <w:t xml:space="preserve"> </w:t>
          </w:r>
          <w:r w:rsidR="00734073" w:rsidRPr="00734073">
            <w:rPr>
              <w:rFonts w:ascii="Times New Roman" w:eastAsia="Times New Roman" w:hAnsi="Times New Roman" w:cs="Times New Roman"/>
              <w:noProof/>
              <w:kern w:val="0"/>
              <w:lang w:val="en-US"/>
              <w14:ligatures w14:val="none"/>
            </w:rPr>
            <w:t>(Surridge, 2022)</w:t>
          </w:r>
          <w:r w:rsidR="00317C5B">
            <w:rPr>
              <w:rFonts w:ascii="Times New Roman" w:eastAsia="Times New Roman" w:hAnsi="Times New Roman" w:cs="Times New Roman"/>
              <w:kern w:val="0"/>
              <w14:ligatures w14:val="none"/>
            </w:rPr>
            <w:fldChar w:fldCharType="end"/>
          </w:r>
        </w:sdtContent>
      </w:sdt>
      <w:r>
        <w:rPr>
          <w:rFonts w:ascii="Times New Roman" w:eastAsia="Times New Roman" w:hAnsi="Times New Roman" w:cs="Times New Roman"/>
          <w:kern w:val="0"/>
          <w14:ligatures w14:val="none"/>
        </w:rPr>
        <w:t xml:space="preserve">. </w:t>
      </w:r>
    </w:p>
    <w:p w14:paraId="3750A4C1" w14:textId="093C3E44" w:rsidR="00AB6DD5" w:rsidRPr="007B59F7" w:rsidRDefault="00AB6DD5" w:rsidP="00AB6DD5">
      <w:pPr>
        <w:spacing w:before="100" w:beforeAutospacing="1" w:after="100" w:afterAutospacing="1" w:line="36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There are many macro-environment factors such as interest rates, inflation, consumer spending, growth and demand, competition from rivals etc. that complicates the situation of the company’s business expansion significantly</w:t>
      </w:r>
      <w:sdt>
        <w:sdtPr>
          <w:rPr>
            <w:rFonts w:ascii="Times New Roman" w:eastAsia="Times New Roman" w:hAnsi="Times New Roman" w:cs="Times New Roman"/>
            <w:kern w:val="0"/>
            <w14:ligatures w14:val="none"/>
          </w:rPr>
          <w:id w:val="-688977351"/>
          <w:citation/>
        </w:sdtPr>
        <w:sdtEndPr/>
        <w:sdtContent>
          <w:r w:rsidR="00131504">
            <w:rPr>
              <w:rFonts w:ascii="Times New Roman" w:eastAsia="Times New Roman" w:hAnsi="Times New Roman" w:cs="Times New Roman"/>
              <w:kern w:val="0"/>
              <w14:ligatures w14:val="none"/>
            </w:rPr>
            <w:fldChar w:fldCharType="begin"/>
          </w:r>
          <w:r w:rsidR="00131504">
            <w:rPr>
              <w:rFonts w:ascii="Times New Roman" w:eastAsia="Times New Roman" w:hAnsi="Times New Roman" w:cs="Times New Roman"/>
              <w:kern w:val="0"/>
              <w:lang w:val="en-US"/>
              <w14:ligatures w14:val="none"/>
            </w:rPr>
            <w:instrText xml:space="preserve"> CITATION Joh21 \l 1033 </w:instrText>
          </w:r>
          <w:r w:rsidR="00131504">
            <w:rPr>
              <w:rFonts w:ascii="Times New Roman" w:eastAsia="Times New Roman" w:hAnsi="Times New Roman" w:cs="Times New Roman"/>
              <w:kern w:val="0"/>
              <w14:ligatures w14:val="none"/>
            </w:rPr>
            <w:fldChar w:fldCharType="separate"/>
          </w:r>
          <w:r w:rsidR="00734073">
            <w:rPr>
              <w:rFonts w:ascii="Times New Roman" w:eastAsia="Times New Roman" w:hAnsi="Times New Roman" w:cs="Times New Roman"/>
              <w:noProof/>
              <w:kern w:val="0"/>
              <w:lang w:val="en-US"/>
              <w14:ligatures w14:val="none"/>
            </w:rPr>
            <w:t xml:space="preserve"> </w:t>
          </w:r>
          <w:r w:rsidR="00734073" w:rsidRPr="00734073">
            <w:rPr>
              <w:rFonts w:ascii="Times New Roman" w:eastAsia="Times New Roman" w:hAnsi="Times New Roman" w:cs="Times New Roman"/>
              <w:noProof/>
              <w:kern w:val="0"/>
              <w:lang w:val="en-US"/>
              <w14:ligatures w14:val="none"/>
            </w:rPr>
            <w:t>(Johannesson, 2021)</w:t>
          </w:r>
          <w:r w:rsidR="00131504">
            <w:rPr>
              <w:rFonts w:ascii="Times New Roman" w:eastAsia="Times New Roman" w:hAnsi="Times New Roman" w:cs="Times New Roman"/>
              <w:kern w:val="0"/>
              <w14:ligatures w14:val="none"/>
            </w:rPr>
            <w:fldChar w:fldCharType="end"/>
          </w:r>
        </w:sdtContent>
      </w:sdt>
      <w:r>
        <w:rPr>
          <w:rFonts w:ascii="Times New Roman" w:eastAsia="Times New Roman" w:hAnsi="Times New Roman" w:cs="Times New Roman"/>
          <w:kern w:val="0"/>
          <w14:ligatures w14:val="none"/>
        </w:rPr>
        <w:t xml:space="preserve">. If the market faced recession or high inflation, if the purchase power per capita decreases, then the company faces significant challenges in establishing even a theoretically feasible business venture. There are other factors too, such as currency exchange rates, price of raw goods etc. </w:t>
      </w:r>
    </w:p>
    <w:p w14:paraId="2BCD44E6" w14:textId="572B4AC5" w:rsidR="00AB6DD5" w:rsidRPr="007B59F7" w:rsidRDefault="00AB6DD5" w:rsidP="00AB6DD5">
      <w:pPr>
        <w:spacing w:before="100" w:beforeAutospacing="1" w:after="100" w:afterAutospacing="1" w:line="36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lastRenderedPageBreak/>
        <w:t>Risk and ambiguity also have significant impact on the success or failure of a business investment venture. High return rates often come with high rates of risk and ambiguity. The company must first decide how much risk it is willing to take in its venture</w:t>
      </w:r>
      <w:sdt>
        <w:sdtPr>
          <w:rPr>
            <w:rFonts w:ascii="Times New Roman" w:eastAsia="Times New Roman" w:hAnsi="Times New Roman" w:cs="Times New Roman"/>
            <w:kern w:val="0"/>
            <w14:ligatures w14:val="none"/>
          </w:rPr>
          <w:id w:val="-325285112"/>
          <w:citation/>
        </w:sdtPr>
        <w:sdtEndPr/>
        <w:sdtContent>
          <w:r w:rsidR="0039000C">
            <w:rPr>
              <w:rFonts w:ascii="Times New Roman" w:eastAsia="Times New Roman" w:hAnsi="Times New Roman" w:cs="Times New Roman"/>
              <w:kern w:val="0"/>
              <w14:ligatures w14:val="none"/>
            </w:rPr>
            <w:fldChar w:fldCharType="begin"/>
          </w:r>
          <w:r w:rsidR="0039000C">
            <w:rPr>
              <w:rFonts w:ascii="Times New Roman" w:eastAsia="Times New Roman" w:hAnsi="Times New Roman" w:cs="Times New Roman"/>
              <w:kern w:val="0"/>
              <w:lang w:val="en-US"/>
              <w14:ligatures w14:val="none"/>
            </w:rPr>
            <w:instrText xml:space="preserve"> CITATION All21 \l 1033 </w:instrText>
          </w:r>
          <w:r w:rsidR="0039000C">
            <w:rPr>
              <w:rFonts w:ascii="Times New Roman" w:eastAsia="Times New Roman" w:hAnsi="Times New Roman" w:cs="Times New Roman"/>
              <w:kern w:val="0"/>
              <w14:ligatures w14:val="none"/>
            </w:rPr>
            <w:fldChar w:fldCharType="separate"/>
          </w:r>
          <w:r w:rsidR="00734073">
            <w:rPr>
              <w:rFonts w:ascii="Times New Roman" w:eastAsia="Times New Roman" w:hAnsi="Times New Roman" w:cs="Times New Roman"/>
              <w:noProof/>
              <w:kern w:val="0"/>
              <w:lang w:val="en-US"/>
              <w14:ligatures w14:val="none"/>
            </w:rPr>
            <w:t xml:space="preserve"> </w:t>
          </w:r>
          <w:r w:rsidR="00734073" w:rsidRPr="00734073">
            <w:rPr>
              <w:rFonts w:ascii="Times New Roman" w:eastAsia="Times New Roman" w:hAnsi="Times New Roman" w:cs="Times New Roman"/>
              <w:noProof/>
              <w:kern w:val="0"/>
              <w:lang w:val="en-US"/>
              <w14:ligatures w14:val="none"/>
            </w:rPr>
            <w:t>(Allen, 2021)</w:t>
          </w:r>
          <w:r w:rsidR="0039000C">
            <w:rPr>
              <w:rFonts w:ascii="Times New Roman" w:eastAsia="Times New Roman" w:hAnsi="Times New Roman" w:cs="Times New Roman"/>
              <w:kern w:val="0"/>
              <w14:ligatures w14:val="none"/>
            </w:rPr>
            <w:fldChar w:fldCharType="end"/>
          </w:r>
        </w:sdtContent>
      </w:sdt>
      <w:r>
        <w:rPr>
          <w:rFonts w:ascii="Times New Roman" w:eastAsia="Times New Roman" w:hAnsi="Times New Roman" w:cs="Times New Roman"/>
          <w:kern w:val="0"/>
          <w14:ligatures w14:val="none"/>
        </w:rPr>
        <w:t xml:space="preserve">. Option B, for example, has the greatest creation of value but comes with the greatest risk, due to especially technology, competition, logistics, high overhead costs etc. </w:t>
      </w:r>
    </w:p>
    <w:p w14:paraId="7CD8FBA6" w14:textId="77777777" w:rsidR="00AB6DD5" w:rsidRDefault="00AB6DD5" w:rsidP="00AB6DD5">
      <w:pPr>
        <w:spacing w:before="100" w:beforeAutospacing="1" w:after="100" w:afterAutospacing="1" w:line="360" w:lineRule="auto"/>
        <w:jc w:val="both"/>
        <w:rPr>
          <w:rFonts w:ascii="Times New Roman" w:eastAsia="Times New Roman" w:hAnsi="Times New Roman" w:cs="Times New Roman"/>
          <w:kern w:val="0"/>
          <w14:ligatures w14:val="none"/>
        </w:rPr>
      </w:pPr>
      <w:r w:rsidRPr="007B59F7">
        <w:rPr>
          <w:rFonts w:ascii="Times New Roman" w:eastAsia="Times New Roman" w:hAnsi="Times New Roman" w:cs="Times New Roman"/>
          <w:kern w:val="0"/>
          <w14:ligatures w14:val="none"/>
        </w:rPr>
        <w:t>Operational feasibility is critical. The availability of skilled staff, time required to implement, and resource capacity must be evaluated. A project may appear attractive financially but may fail if the company cannot implement it effectively. Governance and ethical risk should also be considered, including supplier dependencies, cyber risk (particularly for internet sales), regulatory requirements, and contractual liabilities.</w:t>
      </w:r>
    </w:p>
    <w:p w14:paraId="2B3B162D" w14:textId="5A6E91AF" w:rsidR="00AB6DD5" w:rsidRPr="007B59F7" w:rsidRDefault="00AB6DD5" w:rsidP="00AB6DD5">
      <w:pPr>
        <w:spacing w:before="100" w:beforeAutospacing="1" w:after="100" w:afterAutospacing="1" w:line="36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There are many factors in the internal environment of the Westward plc that also play critical role in the performance of its business venture</w:t>
      </w:r>
      <w:sdt>
        <w:sdtPr>
          <w:rPr>
            <w:rFonts w:ascii="Times New Roman" w:eastAsia="Times New Roman" w:hAnsi="Times New Roman" w:cs="Times New Roman"/>
            <w:kern w:val="0"/>
            <w14:ligatures w14:val="none"/>
          </w:rPr>
          <w:id w:val="-449858872"/>
          <w:citation/>
        </w:sdtPr>
        <w:sdtEndPr/>
        <w:sdtContent>
          <w:r w:rsidR="00CD2FB2">
            <w:rPr>
              <w:rFonts w:ascii="Times New Roman" w:eastAsia="Times New Roman" w:hAnsi="Times New Roman" w:cs="Times New Roman"/>
              <w:kern w:val="0"/>
              <w14:ligatures w14:val="none"/>
            </w:rPr>
            <w:fldChar w:fldCharType="begin"/>
          </w:r>
          <w:r w:rsidR="00CD2FB2">
            <w:rPr>
              <w:rFonts w:ascii="Times New Roman" w:eastAsia="Times New Roman" w:hAnsi="Times New Roman" w:cs="Times New Roman"/>
              <w:kern w:val="0"/>
              <w:lang w:val="en-US"/>
              <w14:ligatures w14:val="none"/>
            </w:rPr>
            <w:instrText xml:space="preserve"> CITATION Nen20 \l 1033 </w:instrText>
          </w:r>
          <w:r w:rsidR="00CD2FB2">
            <w:rPr>
              <w:rFonts w:ascii="Times New Roman" w:eastAsia="Times New Roman" w:hAnsi="Times New Roman" w:cs="Times New Roman"/>
              <w:kern w:val="0"/>
              <w14:ligatures w14:val="none"/>
            </w:rPr>
            <w:fldChar w:fldCharType="separate"/>
          </w:r>
          <w:r w:rsidR="00734073">
            <w:rPr>
              <w:rFonts w:ascii="Times New Roman" w:eastAsia="Times New Roman" w:hAnsi="Times New Roman" w:cs="Times New Roman"/>
              <w:noProof/>
              <w:kern w:val="0"/>
              <w:lang w:val="en-US"/>
              <w14:ligatures w14:val="none"/>
            </w:rPr>
            <w:t xml:space="preserve"> </w:t>
          </w:r>
          <w:r w:rsidR="00734073" w:rsidRPr="00734073">
            <w:rPr>
              <w:rFonts w:ascii="Times New Roman" w:eastAsia="Times New Roman" w:hAnsi="Times New Roman" w:cs="Times New Roman"/>
              <w:noProof/>
              <w:kern w:val="0"/>
              <w:lang w:val="en-US"/>
              <w14:ligatures w14:val="none"/>
            </w:rPr>
            <w:t>(Neneh, 2020)</w:t>
          </w:r>
          <w:r w:rsidR="00CD2FB2">
            <w:rPr>
              <w:rFonts w:ascii="Times New Roman" w:eastAsia="Times New Roman" w:hAnsi="Times New Roman" w:cs="Times New Roman"/>
              <w:kern w:val="0"/>
              <w14:ligatures w14:val="none"/>
            </w:rPr>
            <w:fldChar w:fldCharType="end"/>
          </w:r>
        </w:sdtContent>
      </w:sdt>
      <w:r>
        <w:rPr>
          <w:rFonts w:ascii="Times New Roman" w:eastAsia="Times New Roman" w:hAnsi="Times New Roman" w:cs="Times New Roman"/>
          <w:kern w:val="0"/>
          <w14:ligatures w14:val="none"/>
        </w:rPr>
        <w:t>. This includes the availability of human resources to ensure operational performance</w:t>
      </w:r>
      <w:sdt>
        <w:sdtPr>
          <w:rPr>
            <w:rFonts w:ascii="Times New Roman" w:eastAsia="Times New Roman" w:hAnsi="Times New Roman" w:cs="Times New Roman"/>
            <w:kern w:val="0"/>
            <w14:ligatures w14:val="none"/>
          </w:rPr>
          <w:id w:val="-1723283610"/>
          <w:citation/>
        </w:sdtPr>
        <w:sdtEndPr/>
        <w:sdtContent>
          <w:r w:rsidR="000E39ED">
            <w:rPr>
              <w:rFonts w:ascii="Times New Roman" w:eastAsia="Times New Roman" w:hAnsi="Times New Roman" w:cs="Times New Roman"/>
              <w:kern w:val="0"/>
              <w14:ligatures w14:val="none"/>
            </w:rPr>
            <w:fldChar w:fldCharType="begin"/>
          </w:r>
          <w:r w:rsidR="000E39ED">
            <w:rPr>
              <w:rFonts w:ascii="Times New Roman" w:eastAsia="Times New Roman" w:hAnsi="Times New Roman" w:cs="Times New Roman"/>
              <w:kern w:val="0"/>
              <w:lang w:val="en-US"/>
              <w14:ligatures w14:val="none"/>
            </w:rPr>
            <w:instrText xml:space="preserve"> CITATION Ayd19 \l 1033 </w:instrText>
          </w:r>
          <w:r w:rsidR="000E39ED">
            <w:rPr>
              <w:rFonts w:ascii="Times New Roman" w:eastAsia="Times New Roman" w:hAnsi="Times New Roman" w:cs="Times New Roman"/>
              <w:kern w:val="0"/>
              <w14:ligatures w14:val="none"/>
            </w:rPr>
            <w:fldChar w:fldCharType="separate"/>
          </w:r>
          <w:r w:rsidR="00734073">
            <w:rPr>
              <w:rFonts w:ascii="Times New Roman" w:eastAsia="Times New Roman" w:hAnsi="Times New Roman" w:cs="Times New Roman"/>
              <w:noProof/>
              <w:kern w:val="0"/>
              <w:lang w:val="en-US"/>
              <w14:ligatures w14:val="none"/>
            </w:rPr>
            <w:t xml:space="preserve"> </w:t>
          </w:r>
          <w:r w:rsidR="00734073" w:rsidRPr="00734073">
            <w:rPr>
              <w:rFonts w:ascii="Times New Roman" w:eastAsia="Times New Roman" w:hAnsi="Times New Roman" w:cs="Times New Roman"/>
              <w:noProof/>
              <w:kern w:val="0"/>
              <w:lang w:val="en-US"/>
              <w14:ligatures w14:val="none"/>
            </w:rPr>
            <w:t>(Aydiner, et al., 2019)</w:t>
          </w:r>
          <w:r w:rsidR="000E39ED">
            <w:rPr>
              <w:rFonts w:ascii="Times New Roman" w:eastAsia="Times New Roman" w:hAnsi="Times New Roman" w:cs="Times New Roman"/>
              <w:kern w:val="0"/>
              <w14:ligatures w14:val="none"/>
            </w:rPr>
            <w:fldChar w:fldCharType="end"/>
          </w:r>
        </w:sdtContent>
      </w:sdt>
      <w:r>
        <w:rPr>
          <w:rFonts w:ascii="Times New Roman" w:eastAsia="Times New Roman" w:hAnsi="Times New Roman" w:cs="Times New Roman"/>
          <w:kern w:val="0"/>
          <w14:ligatures w14:val="none"/>
        </w:rPr>
        <w:t xml:space="preserve">. Even if a project is theoretically feasible, the methods used in finding its viability does not take into account factors such as this. Therefore, it is vital for Westward plc to take into account the availability of skilled staff. </w:t>
      </w:r>
    </w:p>
    <w:p w14:paraId="19483BE5" w14:textId="77777777" w:rsidR="00C079B9" w:rsidRDefault="00AB6DD5" w:rsidP="00C079B9">
      <w:pPr>
        <w:spacing w:after="0" w:line="36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Lastly, even if the company has the ability to fund a project in theory, it may not be able to cope with the high upfront costs, leading to the failure of this project. Westward plc must take into account this factor as well. </w:t>
      </w:r>
    </w:p>
    <w:p w14:paraId="541F8436" w14:textId="0EC43C41" w:rsidR="00AB6DD5" w:rsidRPr="00C079B9" w:rsidRDefault="00AB6DD5" w:rsidP="00C079B9">
      <w:pPr>
        <w:pStyle w:val="Heading1"/>
        <w:rPr>
          <w:rFonts w:eastAsia="Times New Roman" w:cs="Times New Roman"/>
          <w:kern w:val="0"/>
          <w14:ligatures w14:val="none"/>
        </w:rPr>
      </w:pPr>
      <w:bookmarkStart w:id="47" w:name="_Toc218984765"/>
      <w:r w:rsidRPr="007B59F7">
        <w:rPr>
          <w:rFonts w:eastAsia="Times New Roman"/>
        </w:rPr>
        <w:t>Recommendation</w:t>
      </w:r>
      <w:bookmarkEnd w:id="47"/>
    </w:p>
    <w:p w14:paraId="581FFB2F" w14:textId="77777777" w:rsidR="00AB6DD5" w:rsidRPr="007B59F7" w:rsidRDefault="00AB6DD5" w:rsidP="00AB6DD5">
      <w:pPr>
        <w:spacing w:before="100" w:beforeAutospacing="1" w:after="100" w:afterAutospacing="1" w:line="36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For Westward plc’s business expansion, all three investment options have got positive NPV. This means that the company can stick with any one of them and expect to have returns that are more than the capital invested in those businesses. Option B has got the highest NPV, with </w:t>
      </w:r>
      <w:r w:rsidRPr="00C26D49">
        <w:rPr>
          <w:rFonts w:ascii="Times New Roman" w:eastAsia="Times New Roman" w:hAnsi="Times New Roman" w:cs="Times New Roman"/>
          <w:kern w:val="0"/>
          <w14:ligatures w14:val="none"/>
        </w:rPr>
        <w:t>£792.23k</w:t>
      </w:r>
      <w:r>
        <w:rPr>
          <w:rFonts w:ascii="Times New Roman" w:eastAsia="Times New Roman" w:hAnsi="Times New Roman" w:cs="Times New Roman"/>
          <w:kern w:val="0"/>
          <w14:ligatures w14:val="none"/>
        </w:rPr>
        <w:t xml:space="preserve">. Option A has </w:t>
      </w:r>
      <w:r w:rsidRPr="00066735">
        <w:rPr>
          <w:rFonts w:ascii="Times New Roman" w:eastAsia="Times New Roman" w:hAnsi="Times New Roman" w:cs="Times New Roman"/>
          <w:kern w:val="0"/>
          <w14:ligatures w14:val="none"/>
        </w:rPr>
        <w:t>£643.17k</w:t>
      </w:r>
      <w:r>
        <w:rPr>
          <w:rFonts w:ascii="Times New Roman" w:eastAsia="Times New Roman" w:hAnsi="Times New Roman" w:cs="Times New Roman"/>
          <w:kern w:val="0"/>
          <w14:ligatures w14:val="none"/>
        </w:rPr>
        <w:t xml:space="preserve">. Option C has </w:t>
      </w:r>
      <w:r w:rsidRPr="00066735">
        <w:rPr>
          <w:rFonts w:ascii="Times New Roman" w:eastAsia="Times New Roman" w:hAnsi="Times New Roman" w:cs="Times New Roman"/>
          <w:kern w:val="0"/>
          <w14:ligatures w14:val="none"/>
        </w:rPr>
        <w:t>£742.48k</w:t>
      </w:r>
      <w:r>
        <w:rPr>
          <w:rFonts w:ascii="Times New Roman" w:eastAsia="Times New Roman" w:hAnsi="Times New Roman" w:cs="Times New Roman"/>
          <w:kern w:val="0"/>
          <w14:ligatures w14:val="none"/>
        </w:rPr>
        <w:t xml:space="preserve">. According to NPV, option B offers the best value for the shareholders, and therefore must be selected as the investment option. </w:t>
      </w:r>
    </w:p>
    <w:p w14:paraId="5DF425AB" w14:textId="77777777" w:rsidR="00AB6DD5" w:rsidRPr="007B59F7" w:rsidRDefault="00AB6DD5" w:rsidP="00AB6DD5">
      <w:pPr>
        <w:spacing w:before="100" w:beforeAutospacing="1" w:after="100" w:afterAutospacing="1" w:line="36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According to the Payback Period method, option A gives back the cost that the parent company gives earlier than the other option. However, this method does not take into account the value </w:t>
      </w:r>
      <w:r>
        <w:rPr>
          <w:rFonts w:ascii="Times New Roman" w:eastAsia="Times New Roman" w:hAnsi="Times New Roman" w:cs="Times New Roman"/>
          <w:kern w:val="0"/>
          <w14:ligatures w14:val="none"/>
        </w:rPr>
        <w:lastRenderedPageBreak/>
        <w:t xml:space="preserve">given after the return of the investment. This method does not take into account the discount future returns. Thus, NPV takes priority over this. Moreover, option B still has a short return period of </w:t>
      </w:r>
      <w:r w:rsidRPr="00066735">
        <w:rPr>
          <w:rFonts w:ascii="Times New Roman" w:eastAsia="Times New Roman" w:hAnsi="Times New Roman" w:cs="Times New Roman"/>
          <w:kern w:val="0"/>
          <w14:ligatures w14:val="none"/>
        </w:rPr>
        <w:t>2.44 years</w:t>
      </w:r>
      <w:r>
        <w:rPr>
          <w:rFonts w:ascii="Times New Roman" w:eastAsia="Times New Roman" w:hAnsi="Times New Roman" w:cs="Times New Roman"/>
          <w:kern w:val="0"/>
          <w14:ligatures w14:val="none"/>
        </w:rPr>
        <w:t xml:space="preserve">. This makes it a reasonable choice supported by both NPV and Payback Period methods. </w:t>
      </w:r>
    </w:p>
    <w:p w14:paraId="7A560B07" w14:textId="77777777" w:rsidR="00AB6DD5" w:rsidRPr="007B59F7" w:rsidRDefault="00AB6DD5" w:rsidP="00AB6DD5">
      <w:pPr>
        <w:spacing w:before="100" w:beforeAutospacing="1" w:after="100" w:afterAutospacing="1" w:line="36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Option B’s IRR is also quite good, with it being approximately </w:t>
      </w:r>
      <w:r w:rsidRPr="00066735">
        <w:rPr>
          <w:rFonts w:ascii="Times New Roman" w:eastAsia="Times New Roman" w:hAnsi="Times New Roman" w:cs="Times New Roman"/>
          <w:kern w:val="0"/>
          <w14:ligatures w14:val="none"/>
        </w:rPr>
        <w:t>32.14%</w:t>
      </w:r>
      <w:r>
        <w:rPr>
          <w:rFonts w:ascii="Times New Roman" w:eastAsia="Times New Roman" w:hAnsi="Times New Roman" w:cs="Times New Roman"/>
          <w:kern w:val="0"/>
          <w14:ligatures w14:val="none"/>
        </w:rPr>
        <w:t xml:space="preserve">. This is significantly above the rate of 6% discounting. This makes it highly profitable. </w:t>
      </w:r>
    </w:p>
    <w:p w14:paraId="51F1F9B0" w14:textId="77777777" w:rsidR="00AB6DD5" w:rsidRDefault="00AB6DD5" w:rsidP="00AB6DD5">
      <w:pPr>
        <w:spacing w:before="100" w:beforeAutospacing="1" w:after="100" w:afterAutospacing="1" w:line="36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Based on the discussion above, as well as the calculations in the appendix below, it seems that the best decision for Westward plc is to invest into option B, which is Internet Sales. It creates the most value for the stakeholders and has got a good payback period too. </w:t>
      </w:r>
    </w:p>
    <w:p w14:paraId="4B04AF60" w14:textId="77777777" w:rsidR="00AB6DD5" w:rsidRPr="00E2344B" w:rsidRDefault="00AB6DD5" w:rsidP="0046750B">
      <w:pPr>
        <w:pStyle w:val="Heading1"/>
        <w:rPr>
          <w:rFonts w:eastAsia="Times New Roman"/>
        </w:rPr>
      </w:pPr>
      <w:bookmarkStart w:id="48" w:name="_Toc218984766"/>
      <w:r w:rsidRPr="00021712">
        <w:rPr>
          <w:rFonts w:eastAsia="Times New Roman"/>
        </w:rPr>
        <w:t>Conclusion</w:t>
      </w:r>
      <w:bookmarkEnd w:id="48"/>
    </w:p>
    <w:p w14:paraId="0DC8D8EF" w14:textId="0FAAD4D2" w:rsidR="00AB6DD5" w:rsidRPr="00021712" w:rsidRDefault="00AB6DD5" w:rsidP="00AB6DD5">
      <w:pPr>
        <w:spacing w:before="100" w:beforeAutospacing="1" w:after="100" w:afterAutospacing="1" w:line="36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Coca-Cola HBC’s financial ratios for the two years 2023 and 2024 show a clear improvement between the business performance. The company’s profitability improved quite a lot across all the dimensions: </w:t>
      </w:r>
      <w:r w:rsidRPr="00E2344B">
        <w:rPr>
          <w:rFonts w:ascii="Times New Roman" w:eastAsia="Times New Roman" w:hAnsi="Times New Roman" w:cs="Times New Roman"/>
          <w:kern w:val="0"/>
          <w14:ligatures w14:val="none"/>
        </w:rPr>
        <w:t>gross, operating and net margins</w:t>
      </w:r>
      <w:r>
        <w:rPr>
          <w:rFonts w:ascii="Times New Roman" w:eastAsia="Times New Roman" w:hAnsi="Times New Roman" w:cs="Times New Roman"/>
          <w:kern w:val="0"/>
          <w14:ligatures w14:val="none"/>
        </w:rPr>
        <w:t>. This happened because of the company being able to effectively and efficiently control its revenue, price setting, production and overhead expenditure etc. The return that the company gave also increased quite a lot. The increase in both ROCE and ROE suggests that the company was able to increase its returns for both investors and on the capital invested. The company’s liquidity remained low, due to its business of constant supply, demand, and cash flow</w:t>
      </w:r>
      <w:sdt>
        <w:sdtPr>
          <w:rPr>
            <w:rFonts w:ascii="Times New Roman" w:eastAsia="Times New Roman" w:hAnsi="Times New Roman" w:cs="Times New Roman"/>
            <w:kern w:val="0"/>
            <w14:ligatures w14:val="none"/>
          </w:rPr>
          <w:id w:val="1811275508"/>
          <w:citation/>
        </w:sdtPr>
        <w:sdtEndPr/>
        <w:sdtContent>
          <w:r w:rsidR="00131504">
            <w:rPr>
              <w:rFonts w:ascii="Times New Roman" w:eastAsia="Times New Roman" w:hAnsi="Times New Roman" w:cs="Times New Roman"/>
              <w:kern w:val="0"/>
              <w14:ligatures w14:val="none"/>
            </w:rPr>
            <w:fldChar w:fldCharType="begin"/>
          </w:r>
          <w:r w:rsidR="00131504">
            <w:rPr>
              <w:rFonts w:ascii="Times New Roman" w:eastAsia="Times New Roman" w:hAnsi="Times New Roman" w:cs="Times New Roman"/>
              <w:kern w:val="0"/>
              <w:lang w:val="en-US"/>
              <w14:ligatures w14:val="none"/>
            </w:rPr>
            <w:instrText xml:space="preserve"> CITATION Gli20 \l 1033 </w:instrText>
          </w:r>
          <w:r w:rsidR="00131504">
            <w:rPr>
              <w:rFonts w:ascii="Times New Roman" w:eastAsia="Times New Roman" w:hAnsi="Times New Roman" w:cs="Times New Roman"/>
              <w:kern w:val="0"/>
              <w14:ligatures w14:val="none"/>
            </w:rPr>
            <w:fldChar w:fldCharType="separate"/>
          </w:r>
          <w:r w:rsidR="00734073">
            <w:rPr>
              <w:rFonts w:ascii="Times New Roman" w:eastAsia="Times New Roman" w:hAnsi="Times New Roman" w:cs="Times New Roman"/>
              <w:noProof/>
              <w:kern w:val="0"/>
              <w:lang w:val="en-US"/>
              <w14:ligatures w14:val="none"/>
            </w:rPr>
            <w:t xml:space="preserve"> </w:t>
          </w:r>
          <w:r w:rsidR="00734073" w:rsidRPr="00734073">
            <w:rPr>
              <w:rFonts w:ascii="Times New Roman" w:eastAsia="Times New Roman" w:hAnsi="Times New Roman" w:cs="Times New Roman"/>
              <w:noProof/>
              <w:kern w:val="0"/>
              <w:lang w:val="en-US"/>
              <w14:ligatures w14:val="none"/>
            </w:rPr>
            <w:t>(Gligor, 2020)</w:t>
          </w:r>
          <w:r w:rsidR="00131504">
            <w:rPr>
              <w:rFonts w:ascii="Times New Roman" w:eastAsia="Times New Roman" w:hAnsi="Times New Roman" w:cs="Times New Roman"/>
              <w:kern w:val="0"/>
              <w14:ligatures w14:val="none"/>
            </w:rPr>
            <w:fldChar w:fldCharType="end"/>
          </w:r>
        </w:sdtContent>
      </w:sdt>
      <w:r>
        <w:rPr>
          <w:rFonts w:ascii="Times New Roman" w:eastAsia="Times New Roman" w:hAnsi="Times New Roman" w:cs="Times New Roman"/>
          <w:kern w:val="0"/>
          <w14:ligatures w14:val="none"/>
        </w:rPr>
        <w:t xml:space="preserve">. The company took measures to include liquidity by increasing inventory days and payables days. This makes the company dependent on the suppliers. The company has high gearing and good solvency. This shows that Coca-Cola HBC has good resilience, dynamic finances, and stability. </w:t>
      </w:r>
    </w:p>
    <w:p w14:paraId="5FE36F6D" w14:textId="7A725C29" w:rsidR="008428C1" w:rsidRDefault="00AB6DD5" w:rsidP="00AB6DD5">
      <w:pPr>
        <w:spacing w:before="100" w:beforeAutospacing="1" w:after="100" w:afterAutospacing="1" w:line="36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The investment appraisal conducted in this report concludes that even though all the investment options are viable for Westward plc, option B remains the best option for the company’s way forward. Option B has the best NPV</w:t>
      </w:r>
      <w:r w:rsidRPr="007F3A42">
        <w:t xml:space="preserve"> </w:t>
      </w:r>
      <w:r w:rsidRPr="007F3A42">
        <w:rPr>
          <w:rFonts w:ascii="Times New Roman" w:eastAsia="Times New Roman" w:hAnsi="Times New Roman" w:cs="Times New Roman"/>
          <w:kern w:val="0"/>
          <w14:ligatures w14:val="none"/>
        </w:rPr>
        <w:t>approximately £792.23k</w:t>
      </w:r>
      <w:r>
        <w:rPr>
          <w:rFonts w:ascii="Times New Roman" w:eastAsia="Times New Roman" w:hAnsi="Times New Roman" w:cs="Times New Roman"/>
          <w:kern w:val="0"/>
          <w14:ligatures w14:val="none"/>
        </w:rPr>
        <w:t xml:space="preserve">. This shows that option B would create the greatest return for the shareholders. Its IRR is also quite good at </w:t>
      </w:r>
      <w:r w:rsidRPr="007F3A42">
        <w:rPr>
          <w:rFonts w:ascii="Times New Roman" w:eastAsia="Times New Roman" w:hAnsi="Times New Roman" w:cs="Times New Roman"/>
          <w:kern w:val="0"/>
          <w14:ligatures w14:val="none"/>
        </w:rPr>
        <w:t>approximately 32.14%</w:t>
      </w:r>
      <w:r>
        <w:rPr>
          <w:rFonts w:ascii="Times New Roman" w:eastAsia="Times New Roman" w:hAnsi="Times New Roman" w:cs="Times New Roman"/>
          <w:kern w:val="0"/>
          <w14:ligatures w14:val="none"/>
        </w:rPr>
        <w:t xml:space="preserve">, which is above the cost of capital. Although option A offers the company shortest payback period, it ignores the long-term value creation to decide on the Payback Period metric. Thus, NPV is taken to be the main deciding tool for Westward plc. However, the company must take into account the </w:t>
      </w:r>
      <w:r>
        <w:rPr>
          <w:rFonts w:ascii="Times New Roman" w:eastAsia="Times New Roman" w:hAnsi="Times New Roman" w:cs="Times New Roman"/>
          <w:kern w:val="0"/>
          <w14:ligatures w14:val="none"/>
        </w:rPr>
        <w:lastRenderedPageBreak/>
        <w:t xml:space="preserve">other factors that do not rely on numeric values before advancing on with its investment option. </w:t>
      </w:r>
      <w:r w:rsidR="008428C1">
        <w:rPr>
          <w:rFonts w:ascii="Times New Roman" w:eastAsia="Times New Roman" w:hAnsi="Times New Roman" w:cs="Times New Roman"/>
          <w:kern w:val="0"/>
          <w14:ligatures w14:val="none"/>
        </w:rPr>
        <w:t xml:space="preserve">Macro and microenvironment factors can easily into loss any of the theoretically viable business ventures that Westward plc takes. These factors are more unpredictable, as they cannot be measured through calculations, projections, and reviews of the company’s performance. Rather, they require a deep understanding of the market environment. However, given their unpredictability, it becomes quite difficult to account for them. Thus, Westward plc must be prepared for anything, and not let the optimistic projection of the methods guide it. </w:t>
      </w:r>
    </w:p>
    <w:bookmarkStart w:id="49" w:name="_Toc218984767" w:displacedByCustomXml="next"/>
    <w:sdt>
      <w:sdtPr>
        <w:rPr>
          <w:rFonts w:asciiTheme="minorHAnsi" w:eastAsiaTheme="minorHAnsi" w:hAnsiTheme="minorHAnsi" w:cstheme="minorBidi"/>
          <w:color w:val="auto"/>
          <w:sz w:val="24"/>
          <w:szCs w:val="24"/>
        </w:rPr>
        <w:id w:val="-2104402679"/>
        <w:docPartObj>
          <w:docPartGallery w:val="Bibliographies"/>
          <w:docPartUnique/>
        </w:docPartObj>
      </w:sdtPr>
      <w:sdtEndPr/>
      <w:sdtContent>
        <w:p w14:paraId="58189396" w14:textId="56A98B12" w:rsidR="008428C1" w:rsidRPr="008428C1" w:rsidRDefault="008428C1">
          <w:pPr>
            <w:pStyle w:val="Heading1"/>
            <w:rPr>
              <w:rFonts w:cs="Times New Roman"/>
            </w:rPr>
          </w:pPr>
          <w:r w:rsidRPr="008428C1">
            <w:rPr>
              <w:rFonts w:cs="Times New Roman"/>
            </w:rPr>
            <w:t>Bibliography</w:t>
          </w:r>
          <w:bookmarkEnd w:id="49"/>
        </w:p>
        <w:sdt>
          <w:sdtPr>
            <w:rPr>
              <w:rFonts w:ascii="Times New Roman" w:hAnsi="Times New Roman" w:cs="Times New Roman"/>
            </w:rPr>
            <w:id w:val="111145805"/>
            <w:bibliography/>
          </w:sdtPr>
          <w:sdtEndPr>
            <w:rPr>
              <w:rFonts w:asciiTheme="minorHAnsi" w:hAnsiTheme="minorHAnsi" w:cstheme="minorBidi"/>
            </w:rPr>
          </w:sdtEndPr>
          <w:sdtContent>
            <w:p w14:paraId="0223F8E0" w14:textId="77777777" w:rsidR="00734073" w:rsidRPr="00B24F9A" w:rsidRDefault="008428C1" w:rsidP="00734073">
              <w:pPr>
                <w:pStyle w:val="Bibliography"/>
                <w:rPr>
                  <w:rFonts w:ascii="Times New Roman" w:hAnsi="Times New Roman" w:cs="Times New Roman"/>
                  <w:noProof/>
                  <w:sz w:val="22"/>
                  <w:szCs w:val="22"/>
                </w:rPr>
              </w:pPr>
              <w:r w:rsidRPr="00B24F9A">
                <w:rPr>
                  <w:rFonts w:ascii="Times New Roman" w:hAnsi="Times New Roman" w:cs="Times New Roman"/>
                  <w:sz w:val="22"/>
                  <w:szCs w:val="22"/>
                </w:rPr>
                <w:fldChar w:fldCharType="begin"/>
              </w:r>
              <w:r w:rsidRPr="00B24F9A">
                <w:rPr>
                  <w:rFonts w:ascii="Times New Roman" w:hAnsi="Times New Roman" w:cs="Times New Roman"/>
                  <w:sz w:val="22"/>
                  <w:szCs w:val="22"/>
                </w:rPr>
                <w:instrText xml:space="preserve"> BIBLIOGRAPHY </w:instrText>
              </w:r>
              <w:r w:rsidRPr="00B24F9A">
                <w:rPr>
                  <w:rFonts w:ascii="Times New Roman" w:hAnsi="Times New Roman" w:cs="Times New Roman"/>
                  <w:sz w:val="22"/>
                  <w:szCs w:val="22"/>
                </w:rPr>
                <w:fldChar w:fldCharType="separate"/>
              </w:r>
              <w:r w:rsidR="00734073" w:rsidRPr="00B24F9A">
                <w:rPr>
                  <w:rFonts w:ascii="Times New Roman" w:hAnsi="Times New Roman" w:cs="Times New Roman"/>
                  <w:noProof/>
                  <w:sz w:val="22"/>
                  <w:szCs w:val="22"/>
                </w:rPr>
                <w:t xml:space="preserve">Adler, R., 2010. Enhancing business success: The role of performance management. </w:t>
              </w:r>
              <w:r w:rsidR="00734073" w:rsidRPr="00B24F9A">
                <w:rPr>
                  <w:rFonts w:ascii="Times New Roman" w:hAnsi="Times New Roman" w:cs="Times New Roman"/>
                  <w:i/>
                  <w:iCs/>
                  <w:noProof/>
                  <w:sz w:val="22"/>
                  <w:szCs w:val="22"/>
                </w:rPr>
                <w:t xml:space="preserve">Business Horizons, </w:t>
              </w:r>
              <w:r w:rsidR="00734073" w:rsidRPr="00B24F9A">
                <w:rPr>
                  <w:rFonts w:ascii="Times New Roman" w:hAnsi="Times New Roman" w:cs="Times New Roman"/>
                  <w:noProof/>
                  <w:sz w:val="22"/>
                  <w:szCs w:val="22"/>
                </w:rPr>
                <w:t>53(4), p. 331–333.</w:t>
              </w:r>
            </w:p>
            <w:p w14:paraId="390F5F40" w14:textId="77777777" w:rsidR="00734073" w:rsidRPr="00B24F9A" w:rsidRDefault="00734073" w:rsidP="00734073">
              <w:pPr>
                <w:pStyle w:val="Bibliography"/>
                <w:rPr>
                  <w:rFonts w:ascii="Times New Roman" w:hAnsi="Times New Roman" w:cs="Times New Roman"/>
                  <w:noProof/>
                  <w:sz w:val="22"/>
                  <w:szCs w:val="22"/>
                </w:rPr>
              </w:pPr>
              <w:r w:rsidRPr="00B24F9A">
                <w:rPr>
                  <w:rFonts w:ascii="Times New Roman" w:hAnsi="Times New Roman" w:cs="Times New Roman"/>
                  <w:noProof/>
                  <w:sz w:val="22"/>
                  <w:szCs w:val="22"/>
                </w:rPr>
                <w:t xml:space="preserve">Alexander, D. &amp; Britton, A., 2017. </w:t>
              </w:r>
              <w:r w:rsidRPr="00B24F9A">
                <w:rPr>
                  <w:rFonts w:ascii="Times New Roman" w:hAnsi="Times New Roman" w:cs="Times New Roman"/>
                  <w:i/>
                  <w:iCs/>
                  <w:noProof/>
                  <w:sz w:val="22"/>
                  <w:szCs w:val="22"/>
                </w:rPr>
                <w:t xml:space="preserve">International Financial Reporting and Analysis. </w:t>
              </w:r>
              <w:r w:rsidRPr="00B24F9A">
                <w:rPr>
                  <w:rFonts w:ascii="Times New Roman" w:hAnsi="Times New Roman" w:cs="Times New Roman"/>
                  <w:noProof/>
                  <w:sz w:val="22"/>
                  <w:szCs w:val="22"/>
                </w:rPr>
                <w:t>7 ed. London: Cengage Learning.</w:t>
              </w:r>
            </w:p>
            <w:p w14:paraId="1DC5E4BC" w14:textId="77777777" w:rsidR="00734073" w:rsidRPr="00B24F9A" w:rsidRDefault="00734073" w:rsidP="00734073">
              <w:pPr>
                <w:pStyle w:val="Bibliography"/>
                <w:rPr>
                  <w:rFonts w:ascii="Times New Roman" w:hAnsi="Times New Roman" w:cs="Times New Roman"/>
                  <w:noProof/>
                  <w:sz w:val="22"/>
                  <w:szCs w:val="22"/>
                </w:rPr>
              </w:pPr>
              <w:r w:rsidRPr="00B24F9A">
                <w:rPr>
                  <w:rFonts w:ascii="Times New Roman" w:hAnsi="Times New Roman" w:cs="Times New Roman"/>
                  <w:noProof/>
                  <w:sz w:val="22"/>
                  <w:szCs w:val="22"/>
                </w:rPr>
                <w:t xml:space="preserve">Allen, D., 2021. Risk and managerial finance. </w:t>
              </w:r>
              <w:r w:rsidRPr="00B24F9A">
                <w:rPr>
                  <w:rFonts w:ascii="Times New Roman" w:hAnsi="Times New Roman" w:cs="Times New Roman"/>
                  <w:i/>
                  <w:iCs/>
                  <w:noProof/>
                  <w:sz w:val="22"/>
                  <w:szCs w:val="22"/>
                </w:rPr>
                <w:t xml:space="preserve">Managerial Finance, </w:t>
              </w:r>
              <w:r w:rsidRPr="00B24F9A">
                <w:rPr>
                  <w:rFonts w:ascii="Times New Roman" w:hAnsi="Times New Roman" w:cs="Times New Roman"/>
                  <w:noProof/>
                  <w:sz w:val="22"/>
                  <w:szCs w:val="22"/>
                </w:rPr>
                <w:t>21(1), p. 3–14.</w:t>
              </w:r>
            </w:p>
            <w:p w14:paraId="4BE4B98B" w14:textId="77777777" w:rsidR="00734073" w:rsidRPr="00B24F9A" w:rsidRDefault="00734073" w:rsidP="00734073">
              <w:pPr>
                <w:pStyle w:val="Bibliography"/>
                <w:rPr>
                  <w:rFonts w:ascii="Times New Roman" w:hAnsi="Times New Roman" w:cs="Times New Roman"/>
                  <w:noProof/>
                  <w:sz w:val="22"/>
                  <w:szCs w:val="22"/>
                </w:rPr>
              </w:pPr>
              <w:r w:rsidRPr="00B24F9A">
                <w:rPr>
                  <w:rFonts w:ascii="Times New Roman" w:hAnsi="Times New Roman" w:cs="Times New Roman"/>
                  <w:noProof/>
                  <w:sz w:val="22"/>
                  <w:szCs w:val="22"/>
                </w:rPr>
                <w:t>Anon., n.d. [Online].</w:t>
              </w:r>
            </w:p>
            <w:p w14:paraId="20AEDAA5" w14:textId="77777777" w:rsidR="00734073" w:rsidRPr="00B24F9A" w:rsidRDefault="00734073" w:rsidP="00734073">
              <w:pPr>
                <w:pStyle w:val="Bibliography"/>
                <w:rPr>
                  <w:rFonts w:ascii="Times New Roman" w:hAnsi="Times New Roman" w:cs="Times New Roman"/>
                  <w:noProof/>
                  <w:sz w:val="22"/>
                  <w:szCs w:val="22"/>
                </w:rPr>
              </w:pPr>
              <w:r w:rsidRPr="00B24F9A">
                <w:rPr>
                  <w:rFonts w:ascii="Times New Roman" w:hAnsi="Times New Roman" w:cs="Times New Roman"/>
                  <w:noProof/>
                  <w:sz w:val="22"/>
                  <w:szCs w:val="22"/>
                </w:rPr>
                <w:t xml:space="preserve">Arjunan, K., 2017. IRR Performs Better than NPV: A Critical Analysis of Cases of Multiple IRR and Mutually Exclusive and Independent Investment Projects. </w:t>
              </w:r>
              <w:r w:rsidRPr="00B24F9A">
                <w:rPr>
                  <w:rFonts w:ascii="Times New Roman" w:hAnsi="Times New Roman" w:cs="Times New Roman"/>
                  <w:i/>
                  <w:iCs/>
                  <w:noProof/>
                  <w:sz w:val="22"/>
                  <w:szCs w:val="22"/>
                </w:rPr>
                <w:t xml:space="preserve">SSRN Electronic Journal, </w:t>
              </w:r>
              <w:r w:rsidRPr="00B24F9A">
                <w:rPr>
                  <w:rFonts w:ascii="Times New Roman" w:hAnsi="Times New Roman" w:cs="Times New Roman"/>
                  <w:noProof/>
                  <w:sz w:val="22"/>
                  <w:szCs w:val="22"/>
                </w:rPr>
                <w:t>1(1).</w:t>
              </w:r>
            </w:p>
            <w:p w14:paraId="6F06BAEA" w14:textId="77777777" w:rsidR="00734073" w:rsidRPr="00B24F9A" w:rsidRDefault="00734073" w:rsidP="00734073">
              <w:pPr>
                <w:pStyle w:val="Bibliography"/>
                <w:rPr>
                  <w:rFonts w:ascii="Times New Roman" w:hAnsi="Times New Roman" w:cs="Times New Roman"/>
                  <w:noProof/>
                  <w:sz w:val="22"/>
                  <w:szCs w:val="22"/>
                </w:rPr>
              </w:pPr>
              <w:r w:rsidRPr="00B24F9A">
                <w:rPr>
                  <w:rFonts w:ascii="Times New Roman" w:hAnsi="Times New Roman" w:cs="Times New Roman"/>
                  <w:noProof/>
                  <w:sz w:val="22"/>
                  <w:szCs w:val="22"/>
                </w:rPr>
                <w:t xml:space="preserve">Atrill, P., 2019. </w:t>
              </w:r>
              <w:r w:rsidRPr="00B24F9A">
                <w:rPr>
                  <w:rFonts w:ascii="Times New Roman" w:hAnsi="Times New Roman" w:cs="Times New Roman"/>
                  <w:i/>
                  <w:iCs/>
                  <w:noProof/>
                  <w:sz w:val="22"/>
                  <w:szCs w:val="22"/>
                </w:rPr>
                <w:t xml:space="preserve">Financial Management for Decision Makers. </w:t>
              </w:r>
              <w:r w:rsidRPr="00B24F9A">
                <w:rPr>
                  <w:rFonts w:ascii="Times New Roman" w:hAnsi="Times New Roman" w:cs="Times New Roman"/>
                  <w:noProof/>
                  <w:sz w:val="22"/>
                  <w:szCs w:val="22"/>
                </w:rPr>
                <w:t>9 ed. Harlow: Pearson.</w:t>
              </w:r>
            </w:p>
            <w:p w14:paraId="703D8E14" w14:textId="77777777" w:rsidR="00734073" w:rsidRPr="00B24F9A" w:rsidRDefault="00734073" w:rsidP="00734073">
              <w:pPr>
                <w:pStyle w:val="Bibliography"/>
                <w:rPr>
                  <w:rFonts w:ascii="Times New Roman" w:hAnsi="Times New Roman" w:cs="Times New Roman"/>
                  <w:noProof/>
                  <w:sz w:val="22"/>
                  <w:szCs w:val="22"/>
                </w:rPr>
              </w:pPr>
              <w:r w:rsidRPr="00B24F9A">
                <w:rPr>
                  <w:rFonts w:ascii="Times New Roman" w:hAnsi="Times New Roman" w:cs="Times New Roman"/>
                  <w:noProof/>
                  <w:sz w:val="22"/>
                  <w:szCs w:val="22"/>
                </w:rPr>
                <w:t xml:space="preserve">Atrill, P. &amp; McLaney, E., 2006. </w:t>
              </w:r>
              <w:r w:rsidRPr="00B24F9A">
                <w:rPr>
                  <w:rFonts w:ascii="Times New Roman" w:hAnsi="Times New Roman" w:cs="Times New Roman"/>
                  <w:i/>
                  <w:iCs/>
                  <w:noProof/>
                  <w:sz w:val="22"/>
                  <w:szCs w:val="22"/>
                </w:rPr>
                <w:t xml:space="preserve">Accounting and Finance for Non-Specialists. </w:t>
              </w:r>
              <w:r w:rsidRPr="00B24F9A">
                <w:rPr>
                  <w:rFonts w:ascii="Times New Roman" w:hAnsi="Times New Roman" w:cs="Times New Roman"/>
                  <w:noProof/>
                  <w:sz w:val="22"/>
                  <w:szCs w:val="22"/>
                </w:rPr>
                <w:t>5 ed. Harlow: Pearson Education Limited.</w:t>
              </w:r>
            </w:p>
            <w:p w14:paraId="048084D6" w14:textId="77777777" w:rsidR="00734073" w:rsidRPr="00B24F9A" w:rsidRDefault="00734073" w:rsidP="00734073">
              <w:pPr>
                <w:pStyle w:val="Bibliography"/>
                <w:rPr>
                  <w:rFonts w:ascii="Times New Roman" w:hAnsi="Times New Roman" w:cs="Times New Roman"/>
                  <w:noProof/>
                  <w:sz w:val="22"/>
                  <w:szCs w:val="22"/>
                </w:rPr>
              </w:pPr>
              <w:r w:rsidRPr="00B24F9A">
                <w:rPr>
                  <w:rFonts w:ascii="Times New Roman" w:hAnsi="Times New Roman" w:cs="Times New Roman"/>
                  <w:noProof/>
                  <w:sz w:val="22"/>
                  <w:szCs w:val="22"/>
                </w:rPr>
                <w:t xml:space="preserve">Atrill, P. &amp; McLaney, E., 2016. </w:t>
              </w:r>
              <w:r w:rsidRPr="00B24F9A">
                <w:rPr>
                  <w:rFonts w:ascii="Times New Roman" w:hAnsi="Times New Roman" w:cs="Times New Roman"/>
                  <w:i/>
                  <w:iCs/>
                  <w:noProof/>
                  <w:sz w:val="22"/>
                  <w:szCs w:val="22"/>
                </w:rPr>
                <w:t xml:space="preserve">Financial Accounting for Decision-makers. </w:t>
              </w:r>
              <w:r w:rsidRPr="00B24F9A">
                <w:rPr>
                  <w:rFonts w:ascii="Times New Roman" w:hAnsi="Times New Roman" w:cs="Times New Roman"/>
                  <w:noProof/>
                  <w:sz w:val="22"/>
                  <w:szCs w:val="22"/>
                </w:rPr>
                <w:t>8 ed. Harlow: Pearson Education Limited.</w:t>
              </w:r>
            </w:p>
            <w:p w14:paraId="5174CB0D" w14:textId="77777777" w:rsidR="00734073" w:rsidRPr="00B24F9A" w:rsidRDefault="00734073" w:rsidP="00734073">
              <w:pPr>
                <w:pStyle w:val="Bibliography"/>
                <w:rPr>
                  <w:rFonts w:ascii="Times New Roman" w:hAnsi="Times New Roman" w:cs="Times New Roman"/>
                  <w:noProof/>
                  <w:sz w:val="22"/>
                  <w:szCs w:val="22"/>
                </w:rPr>
              </w:pPr>
              <w:r w:rsidRPr="00B24F9A">
                <w:rPr>
                  <w:rFonts w:ascii="Times New Roman" w:hAnsi="Times New Roman" w:cs="Times New Roman"/>
                  <w:noProof/>
                  <w:sz w:val="22"/>
                  <w:szCs w:val="22"/>
                </w:rPr>
                <w:t xml:space="preserve">Aydiner, A. et al., 2019. Business analytics and firm performance: The mediating role of business process performance. </w:t>
              </w:r>
              <w:r w:rsidRPr="00B24F9A">
                <w:rPr>
                  <w:rFonts w:ascii="Times New Roman" w:hAnsi="Times New Roman" w:cs="Times New Roman"/>
                  <w:i/>
                  <w:iCs/>
                  <w:noProof/>
                  <w:sz w:val="22"/>
                  <w:szCs w:val="22"/>
                </w:rPr>
                <w:t xml:space="preserve">Journal of Business Research, </w:t>
              </w:r>
              <w:r w:rsidRPr="00B24F9A">
                <w:rPr>
                  <w:rFonts w:ascii="Times New Roman" w:hAnsi="Times New Roman" w:cs="Times New Roman"/>
                  <w:noProof/>
                  <w:sz w:val="22"/>
                  <w:szCs w:val="22"/>
                </w:rPr>
                <w:t>Volume 96, p. 228–237.</w:t>
              </w:r>
            </w:p>
            <w:p w14:paraId="089E8C3D" w14:textId="77777777" w:rsidR="00734073" w:rsidRPr="00B24F9A" w:rsidRDefault="00734073" w:rsidP="00734073">
              <w:pPr>
                <w:pStyle w:val="Bibliography"/>
                <w:rPr>
                  <w:rFonts w:ascii="Times New Roman" w:hAnsi="Times New Roman" w:cs="Times New Roman"/>
                  <w:noProof/>
                  <w:sz w:val="22"/>
                  <w:szCs w:val="22"/>
                </w:rPr>
              </w:pPr>
              <w:r w:rsidRPr="00B24F9A">
                <w:rPr>
                  <w:rFonts w:ascii="Times New Roman" w:hAnsi="Times New Roman" w:cs="Times New Roman"/>
                  <w:noProof/>
                  <w:sz w:val="22"/>
                  <w:szCs w:val="22"/>
                </w:rPr>
                <w:t xml:space="preserve">Azar, S. &amp; Noueihed, N., 2014. A Probabilistic Internal Rate of Return: Theory and Illustration. </w:t>
              </w:r>
              <w:r w:rsidRPr="00B24F9A">
                <w:rPr>
                  <w:rFonts w:ascii="Times New Roman" w:hAnsi="Times New Roman" w:cs="Times New Roman"/>
                  <w:i/>
                  <w:iCs/>
                  <w:noProof/>
                  <w:sz w:val="22"/>
                  <w:szCs w:val="22"/>
                </w:rPr>
                <w:t xml:space="preserve">International Journal of Business and Managemen, </w:t>
              </w:r>
              <w:r w:rsidRPr="00B24F9A">
                <w:rPr>
                  <w:rFonts w:ascii="Times New Roman" w:hAnsi="Times New Roman" w:cs="Times New Roman"/>
                  <w:noProof/>
                  <w:sz w:val="22"/>
                  <w:szCs w:val="22"/>
                </w:rPr>
                <w:t>9(4).</w:t>
              </w:r>
            </w:p>
            <w:p w14:paraId="4576C3D2" w14:textId="77777777" w:rsidR="00734073" w:rsidRPr="00B24F9A" w:rsidRDefault="00734073" w:rsidP="00734073">
              <w:pPr>
                <w:pStyle w:val="Bibliography"/>
                <w:rPr>
                  <w:rFonts w:ascii="Times New Roman" w:hAnsi="Times New Roman" w:cs="Times New Roman"/>
                  <w:noProof/>
                  <w:sz w:val="22"/>
                  <w:szCs w:val="22"/>
                </w:rPr>
              </w:pPr>
              <w:r w:rsidRPr="00B24F9A">
                <w:rPr>
                  <w:rFonts w:ascii="Times New Roman" w:hAnsi="Times New Roman" w:cs="Times New Roman"/>
                  <w:noProof/>
                  <w:sz w:val="22"/>
                  <w:szCs w:val="22"/>
                </w:rPr>
                <w:t xml:space="preserve">Baker, H. &amp; Ricciardi, V., 2014. </w:t>
              </w:r>
              <w:r w:rsidRPr="00B24F9A">
                <w:rPr>
                  <w:rFonts w:ascii="Times New Roman" w:hAnsi="Times New Roman" w:cs="Times New Roman"/>
                  <w:i/>
                  <w:iCs/>
                  <w:noProof/>
                  <w:sz w:val="22"/>
                  <w:szCs w:val="22"/>
                </w:rPr>
                <w:t xml:space="preserve">Investor Behavior. </w:t>
              </w:r>
              <w:r w:rsidRPr="00B24F9A">
                <w:rPr>
                  <w:rFonts w:ascii="Times New Roman" w:hAnsi="Times New Roman" w:cs="Times New Roman"/>
                  <w:noProof/>
                  <w:sz w:val="22"/>
                  <w:szCs w:val="22"/>
                </w:rPr>
                <w:t>Hoboken: John Wiley &amp; Sons.</w:t>
              </w:r>
            </w:p>
            <w:p w14:paraId="784329F3" w14:textId="77777777" w:rsidR="00734073" w:rsidRPr="00B24F9A" w:rsidRDefault="00734073" w:rsidP="00734073">
              <w:pPr>
                <w:pStyle w:val="Bibliography"/>
                <w:rPr>
                  <w:rFonts w:ascii="Times New Roman" w:hAnsi="Times New Roman" w:cs="Times New Roman"/>
                  <w:noProof/>
                  <w:sz w:val="22"/>
                  <w:szCs w:val="22"/>
                </w:rPr>
              </w:pPr>
              <w:r w:rsidRPr="00B24F9A">
                <w:rPr>
                  <w:rFonts w:ascii="Times New Roman" w:hAnsi="Times New Roman" w:cs="Times New Roman"/>
                  <w:noProof/>
                  <w:sz w:val="22"/>
                  <w:szCs w:val="22"/>
                </w:rPr>
                <w:t xml:space="preserve">Best, R., 2013. </w:t>
              </w:r>
              <w:r w:rsidRPr="00B24F9A">
                <w:rPr>
                  <w:rFonts w:ascii="Times New Roman" w:hAnsi="Times New Roman" w:cs="Times New Roman"/>
                  <w:i/>
                  <w:iCs/>
                  <w:noProof/>
                  <w:sz w:val="22"/>
                  <w:szCs w:val="22"/>
                </w:rPr>
                <w:t xml:space="preserve">Market-based Management: Strategies for Growing Customer Value and Profitability. </w:t>
              </w:r>
              <w:r w:rsidRPr="00B24F9A">
                <w:rPr>
                  <w:rFonts w:ascii="Times New Roman" w:hAnsi="Times New Roman" w:cs="Times New Roman"/>
                  <w:noProof/>
                  <w:sz w:val="22"/>
                  <w:szCs w:val="22"/>
                </w:rPr>
                <w:t>Upper Saddle River, NJ: Pearson Education.</w:t>
              </w:r>
            </w:p>
            <w:p w14:paraId="43AD473D" w14:textId="77777777" w:rsidR="00734073" w:rsidRPr="00B24F9A" w:rsidRDefault="00734073" w:rsidP="00734073">
              <w:pPr>
                <w:pStyle w:val="Bibliography"/>
                <w:rPr>
                  <w:rFonts w:ascii="Times New Roman" w:hAnsi="Times New Roman" w:cs="Times New Roman"/>
                  <w:noProof/>
                  <w:sz w:val="22"/>
                  <w:szCs w:val="22"/>
                </w:rPr>
              </w:pPr>
              <w:r w:rsidRPr="00B24F9A">
                <w:rPr>
                  <w:rFonts w:ascii="Times New Roman" w:hAnsi="Times New Roman" w:cs="Times New Roman"/>
                  <w:noProof/>
                  <w:sz w:val="22"/>
                  <w:szCs w:val="22"/>
                </w:rPr>
                <w:t xml:space="preserve">Bhimani, A., 2022. </w:t>
              </w:r>
              <w:r w:rsidRPr="00B24F9A">
                <w:rPr>
                  <w:rFonts w:ascii="Times New Roman" w:hAnsi="Times New Roman" w:cs="Times New Roman"/>
                  <w:i/>
                  <w:iCs/>
                  <w:noProof/>
                  <w:sz w:val="22"/>
                  <w:szCs w:val="22"/>
                </w:rPr>
                <w:t xml:space="preserve">Financial Management for Technology Start-ups: A Handbook for Growth. </w:t>
              </w:r>
              <w:r w:rsidRPr="00B24F9A">
                <w:rPr>
                  <w:rFonts w:ascii="Times New Roman" w:hAnsi="Times New Roman" w:cs="Times New Roman"/>
                  <w:noProof/>
                  <w:sz w:val="22"/>
                  <w:szCs w:val="22"/>
                </w:rPr>
                <w:t>2 ed. London: Kogan Page.</w:t>
              </w:r>
            </w:p>
            <w:p w14:paraId="6992C1A7" w14:textId="77777777" w:rsidR="00734073" w:rsidRPr="00B24F9A" w:rsidRDefault="00734073" w:rsidP="00734073">
              <w:pPr>
                <w:pStyle w:val="Bibliography"/>
                <w:rPr>
                  <w:rFonts w:ascii="Times New Roman" w:hAnsi="Times New Roman" w:cs="Times New Roman"/>
                  <w:noProof/>
                  <w:sz w:val="22"/>
                  <w:szCs w:val="22"/>
                </w:rPr>
              </w:pPr>
              <w:r w:rsidRPr="00B24F9A">
                <w:rPr>
                  <w:rFonts w:ascii="Times New Roman" w:hAnsi="Times New Roman" w:cs="Times New Roman"/>
                  <w:noProof/>
                  <w:sz w:val="22"/>
                  <w:szCs w:val="22"/>
                </w:rPr>
                <w:lastRenderedPageBreak/>
                <w:t xml:space="preserve">Bloomenthal, A., 2025. </w:t>
              </w:r>
              <w:r w:rsidRPr="00B24F9A">
                <w:rPr>
                  <w:rFonts w:ascii="Times New Roman" w:hAnsi="Times New Roman" w:cs="Times New Roman"/>
                  <w:i/>
                  <w:iCs/>
                  <w:noProof/>
                  <w:sz w:val="22"/>
                  <w:szCs w:val="22"/>
                </w:rPr>
                <w:t xml:space="preserve">Gross Profit Margin: Formula and What It Tells You. </w:t>
              </w:r>
              <w:r w:rsidRPr="00B24F9A">
                <w:rPr>
                  <w:rFonts w:ascii="Times New Roman" w:hAnsi="Times New Roman" w:cs="Times New Roman"/>
                  <w:noProof/>
                  <w:sz w:val="22"/>
                  <w:szCs w:val="22"/>
                </w:rPr>
                <w:t xml:space="preserve">[Online] </w:t>
              </w:r>
              <w:r w:rsidRPr="00B24F9A">
                <w:rPr>
                  <w:rFonts w:ascii="Times New Roman" w:hAnsi="Times New Roman" w:cs="Times New Roman"/>
                  <w:noProof/>
                  <w:sz w:val="22"/>
                  <w:szCs w:val="22"/>
                </w:rPr>
                <w:br/>
                <w:t xml:space="preserve">Available at: </w:t>
              </w:r>
              <w:r w:rsidRPr="00B24F9A">
                <w:rPr>
                  <w:rFonts w:ascii="Times New Roman" w:hAnsi="Times New Roman" w:cs="Times New Roman"/>
                  <w:noProof/>
                  <w:sz w:val="22"/>
                  <w:szCs w:val="22"/>
                  <w:u w:val="single"/>
                </w:rPr>
                <w:t>https://www.investopedia.com/terms/g/gross_profit_margin.asp</w:t>
              </w:r>
              <w:r w:rsidRPr="00B24F9A">
                <w:rPr>
                  <w:rFonts w:ascii="Times New Roman" w:hAnsi="Times New Roman" w:cs="Times New Roman"/>
                  <w:noProof/>
                  <w:sz w:val="22"/>
                  <w:szCs w:val="22"/>
                </w:rPr>
                <w:br/>
                <w:t>[Accessed 23 December 2025].</w:t>
              </w:r>
            </w:p>
            <w:p w14:paraId="3E1C2359" w14:textId="77777777" w:rsidR="00734073" w:rsidRPr="00B24F9A" w:rsidRDefault="00734073" w:rsidP="00734073">
              <w:pPr>
                <w:pStyle w:val="Bibliography"/>
                <w:rPr>
                  <w:rFonts w:ascii="Times New Roman" w:hAnsi="Times New Roman" w:cs="Times New Roman"/>
                  <w:noProof/>
                  <w:sz w:val="22"/>
                  <w:szCs w:val="22"/>
                </w:rPr>
              </w:pPr>
              <w:r w:rsidRPr="00B24F9A">
                <w:rPr>
                  <w:rFonts w:ascii="Times New Roman" w:hAnsi="Times New Roman" w:cs="Times New Roman"/>
                  <w:noProof/>
                  <w:sz w:val="22"/>
                  <w:szCs w:val="22"/>
                </w:rPr>
                <w:t xml:space="preserve">Bragg, S., 2018. </w:t>
              </w:r>
              <w:r w:rsidRPr="00B24F9A">
                <w:rPr>
                  <w:rFonts w:ascii="Times New Roman" w:hAnsi="Times New Roman" w:cs="Times New Roman"/>
                  <w:i/>
                  <w:iCs/>
                  <w:noProof/>
                  <w:sz w:val="22"/>
                  <w:szCs w:val="22"/>
                </w:rPr>
                <w:t xml:space="preserve">Business Ratios and Formulas: A Comprehensive Guide. </w:t>
              </w:r>
              <w:r w:rsidRPr="00B24F9A">
                <w:rPr>
                  <w:rFonts w:ascii="Times New Roman" w:hAnsi="Times New Roman" w:cs="Times New Roman"/>
                  <w:noProof/>
                  <w:sz w:val="22"/>
                  <w:szCs w:val="22"/>
                </w:rPr>
                <w:t>Hoboken, NJ: Wiley.</w:t>
              </w:r>
            </w:p>
            <w:p w14:paraId="5884D496" w14:textId="77777777" w:rsidR="00734073" w:rsidRPr="00B24F9A" w:rsidRDefault="00734073" w:rsidP="00734073">
              <w:pPr>
                <w:pStyle w:val="Bibliography"/>
                <w:rPr>
                  <w:rFonts w:ascii="Times New Roman" w:hAnsi="Times New Roman" w:cs="Times New Roman"/>
                  <w:noProof/>
                  <w:sz w:val="22"/>
                  <w:szCs w:val="22"/>
                </w:rPr>
              </w:pPr>
              <w:r w:rsidRPr="00B24F9A">
                <w:rPr>
                  <w:rFonts w:ascii="Times New Roman" w:hAnsi="Times New Roman" w:cs="Times New Roman"/>
                  <w:noProof/>
                  <w:sz w:val="22"/>
                  <w:szCs w:val="22"/>
                </w:rPr>
                <w:t xml:space="preserve">Brainkart, 2018. </w:t>
              </w:r>
              <w:r w:rsidRPr="00B24F9A">
                <w:rPr>
                  <w:rFonts w:ascii="Times New Roman" w:hAnsi="Times New Roman" w:cs="Times New Roman"/>
                  <w:i/>
                  <w:iCs/>
                  <w:noProof/>
                  <w:sz w:val="22"/>
                  <w:szCs w:val="22"/>
                </w:rPr>
                <w:t xml:space="preserve">Factors influencing investment decisions. </w:t>
              </w:r>
              <w:r w:rsidRPr="00B24F9A">
                <w:rPr>
                  <w:rFonts w:ascii="Times New Roman" w:hAnsi="Times New Roman" w:cs="Times New Roman"/>
                  <w:noProof/>
                  <w:sz w:val="22"/>
                  <w:szCs w:val="22"/>
                </w:rPr>
                <w:t xml:space="preserve">[Online] </w:t>
              </w:r>
              <w:r w:rsidRPr="00B24F9A">
                <w:rPr>
                  <w:rFonts w:ascii="Times New Roman" w:hAnsi="Times New Roman" w:cs="Times New Roman"/>
                  <w:noProof/>
                  <w:sz w:val="22"/>
                  <w:szCs w:val="22"/>
                </w:rPr>
                <w:br/>
                <w:t xml:space="preserve">Available at: </w:t>
              </w:r>
              <w:r w:rsidRPr="00B24F9A">
                <w:rPr>
                  <w:rFonts w:ascii="Times New Roman" w:hAnsi="Times New Roman" w:cs="Times New Roman"/>
                  <w:noProof/>
                  <w:sz w:val="22"/>
                  <w:szCs w:val="22"/>
                  <w:u w:val="single"/>
                </w:rPr>
                <w:t>http://marts.brainkart.com/article/factors-influencing-investment-decisions---capital-budgeting-----a-conceptual-framework-1009/</w:t>
              </w:r>
              <w:r w:rsidRPr="00B24F9A">
                <w:rPr>
                  <w:rFonts w:ascii="Times New Roman" w:hAnsi="Times New Roman" w:cs="Times New Roman"/>
                  <w:noProof/>
                  <w:sz w:val="22"/>
                  <w:szCs w:val="22"/>
                </w:rPr>
                <w:br/>
                <w:t>[Accessed 07 March 2023].</w:t>
              </w:r>
            </w:p>
            <w:p w14:paraId="7ADC74BA" w14:textId="77777777" w:rsidR="00734073" w:rsidRPr="00B24F9A" w:rsidRDefault="00734073" w:rsidP="00734073">
              <w:pPr>
                <w:pStyle w:val="Bibliography"/>
                <w:rPr>
                  <w:rFonts w:ascii="Times New Roman" w:hAnsi="Times New Roman" w:cs="Times New Roman"/>
                  <w:noProof/>
                  <w:sz w:val="22"/>
                  <w:szCs w:val="22"/>
                </w:rPr>
              </w:pPr>
              <w:r w:rsidRPr="00B24F9A">
                <w:rPr>
                  <w:rFonts w:ascii="Times New Roman" w:hAnsi="Times New Roman" w:cs="Times New Roman"/>
                  <w:noProof/>
                  <w:sz w:val="22"/>
                  <w:szCs w:val="22"/>
                </w:rPr>
                <w:t xml:space="preserve">Campbell, D., 2021. </w:t>
              </w:r>
              <w:r w:rsidRPr="00B24F9A">
                <w:rPr>
                  <w:rFonts w:ascii="Times New Roman" w:hAnsi="Times New Roman" w:cs="Times New Roman"/>
                  <w:i/>
                  <w:iCs/>
                  <w:noProof/>
                  <w:sz w:val="22"/>
                  <w:szCs w:val="22"/>
                </w:rPr>
                <w:t xml:space="preserve">Business Strategy. </w:t>
              </w:r>
              <w:r w:rsidRPr="00B24F9A">
                <w:rPr>
                  <w:rFonts w:ascii="Times New Roman" w:hAnsi="Times New Roman" w:cs="Times New Roman"/>
                  <w:noProof/>
                  <w:sz w:val="22"/>
                  <w:szCs w:val="22"/>
                </w:rPr>
                <w:t>5 ed. London: Pearson.</w:t>
              </w:r>
            </w:p>
            <w:p w14:paraId="7676F589" w14:textId="77777777" w:rsidR="00734073" w:rsidRPr="00B24F9A" w:rsidRDefault="00734073" w:rsidP="00734073">
              <w:pPr>
                <w:pStyle w:val="Bibliography"/>
                <w:rPr>
                  <w:rFonts w:ascii="Times New Roman" w:hAnsi="Times New Roman" w:cs="Times New Roman"/>
                  <w:noProof/>
                  <w:sz w:val="22"/>
                  <w:szCs w:val="22"/>
                </w:rPr>
              </w:pPr>
              <w:r w:rsidRPr="00B24F9A">
                <w:rPr>
                  <w:rFonts w:ascii="Times New Roman" w:hAnsi="Times New Roman" w:cs="Times New Roman"/>
                  <w:noProof/>
                  <w:sz w:val="22"/>
                  <w:szCs w:val="22"/>
                </w:rPr>
                <w:t xml:space="preserve">CFI Team, 2022. </w:t>
              </w:r>
              <w:r w:rsidRPr="00B24F9A">
                <w:rPr>
                  <w:rFonts w:ascii="Times New Roman" w:hAnsi="Times New Roman" w:cs="Times New Roman"/>
                  <w:i/>
                  <w:iCs/>
                  <w:noProof/>
                  <w:sz w:val="22"/>
                  <w:szCs w:val="22"/>
                </w:rPr>
                <w:t xml:space="preserve">Days Payable Outstanding. </w:t>
              </w:r>
              <w:r w:rsidRPr="00B24F9A">
                <w:rPr>
                  <w:rFonts w:ascii="Times New Roman" w:hAnsi="Times New Roman" w:cs="Times New Roman"/>
                  <w:noProof/>
                  <w:sz w:val="22"/>
                  <w:szCs w:val="22"/>
                </w:rPr>
                <w:t xml:space="preserve">[Online] </w:t>
              </w:r>
              <w:r w:rsidRPr="00B24F9A">
                <w:rPr>
                  <w:rFonts w:ascii="Times New Roman" w:hAnsi="Times New Roman" w:cs="Times New Roman"/>
                  <w:noProof/>
                  <w:sz w:val="22"/>
                  <w:szCs w:val="22"/>
                </w:rPr>
                <w:br/>
                <w:t xml:space="preserve">Available at: </w:t>
              </w:r>
              <w:r w:rsidRPr="00B24F9A">
                <w:rPr>
                  <w:rFonts w:ascii="Times New Roman" w:hAnsi="Times New Roman" w:cs="Times New Roman"/>
                  <w:noProof/>
                  <w:sz w:val="22"/>
                  <w:szCs w:val="22"/>
                  <w:u w:val="single"/>
                </w:rPr>
                <w:t>https://corporatefinanceinstitute.com/resources/accounting/days-payable-outstanding/</w:t>
              </w:r>
              <w:r w:rsidRPr="00B24F9A">
                <w:rPr>
                  <w:rFonts w:ascii="Times New Roman" w:hAnsi="Times New Roman" w:cs="Times New Roman"/>
                  <w:noProof/>
                  <w:sz w:val="22"/>
                  <w:szCs w:val="22"/>
                </w:rPr>
                <w:br/>
                <w:t>[Accessed 03 January 2026].</w:t>
              </w:r>
            </w:p>
            <w:p w14:paraId="4CB66D3F" w14:textId="77777777" w:rsidR="00734073" w:rsidRPr="00B24F9A" w:rsidRDefault="00734073" w:rsidP="00734073">
              <w:pPr>
                <w:pStyle w:val="Bibliography"/>
                <w:rPr>
                  <w:rFonts w:ascii="Times New Roman" w:hAnsi="Times New Roman" w:cs="Times New Roman"/>
                  <w:noProof/>
                  <w:sz w:val="22"/>
                  <w:szCs w:val="22"/>
                </w:rPr>
              </w:pPr>
              <w:r w:rsidRPr="00B24F9A">
                <w:rPr>
                  <w:rFonts w:ascii="Times New Roman" w:hAnsi="Times New Roman" w:cs="Times New Roman"/>
                  <w:noProof/>
                  <w:sz w:val="22"/>
                  <w:szCs w:val="22"/>
                </w:rPr>
                <w:t xml:space="preserve">CFI Team, n.d. </w:t>
              </w:r>
              <w:r w:rsidRPr="00B24F9A">
                <w:rPr>
                  <w:rFonts w:ascii="Times New Roman" w:hAnsi="Times New Roman" w:cs="Times New Roman"/>
                  <w:i/>
                  <w:iCs/>
                  <w:noProof/>
                  <w:sz w:val="22"/>
                  <w:szCs w:val="22"/>
                </w:rPr>
                <w:t xml:space="preserve">Annual Recurring Revenue (ARR). </w:t>
              </w:r>
              <w:r w:rsidRPr="00B24F9A">
                <w:rPr>
                  <w:rFonts w:ascii="Times New Roman" w:hAnsi="Times New Roman" w:cs="Times New Roman"/>
                  <w:noProof/>
                  <w:sz w:val="22"/>
                  <w:szCs w:val="22"/>
                </w:rPr>
                <w:t xml:space="preserve">[Online] </w:t>
              </w:r>
              <w:r w:rsidRPr="00B24F9A">
                <w:rPr>
                  <w:rFonts w:ascii="Times New Roman" w:hAnsi="Times New Roman" w:cs="Times New Roman"/>
                  <w:noProof/>
                  <w:sz w:val="22"/>
                  <w:szCs w:val="22"/>
                </w:rPr>
                <w:br/>
                <w:t xml:space="preserve">Available at: </w:t>
              </w:r>
              <w:r w:rsidRPr="00B24F9A">
                <w:rPr>
                  <w:rFonts w:ascii="Times New Roman" w:hAnsi="Times New Roman" w:cs="Times New Roman"/>
                  <w:noProof/>
                  <w:sz w:val="22"/>
                  <w:szCs w:val="22"/>
                  <w:u w:val="single"/>
                </w:rPr>
                <w:t>https://corporatefinanceinstitute.com/resources/valuation/annual-recurring-revenue-arr/</w:t>
              </w:r>
              <w:r w:rsidRPr="00B24F9A">
                <w:rPr>
                  <w:rFonts w:ascii="Times New Roman" w:hAnsi="Times New Roman" w:cs="Times New Roman"/>
                  <w:noProof/>
                  <w:sz w:val="22"/>
                  <w:szCs w:val="22"/>
                </w:rPr>
                <w:br/>
                <w:t>[Accessed 29 December 2025].</w:t>
              </w:r>
            </w:p>
            <w:p w14:paraId="0D89FA0F" w14:textId="77777777" w:rsidR="00734073" w:rsidRPr="00B24F9A" w:rsidRDefault="00734073" w:rsidP="00734073">
              <w:pPr>
                <w:pStyle w:val="Bibliography"/>
                <w:rPr>
                  <w:rFonts w:ascii="Times New Roman" w:hAnsi="Times New Roman" w:cs="Times New Roman"/>
                  <w:noProof/>
                  <w:sz w:val="22"/>
                  <w:szCs w:val="22"/>
                </w:rPr>
              </w:pPr>
              <w:r w:rsidRPr="00B24F9A">
                <w:rPr>
                  <w:rFonts w:ascii="Times New Roman" w:hAnsi="Times New Roman" w:cs="Times New Roman"/>
                  <w:noProof/>
                  <w:sz w:val="22"/>
                  <w:szCs w:val="22"/>
                </w:rPr>
                <w:t xml:space="preserve">CFI, 2020. </w:t>
              </w:r>
              <w:r w:rsidRPr="00B24F9A">
                <w:rPr>
                  <w:rFonts w:ascii="Times New Roman" w:hAnsi="Times New Roman" w:cs="Times New Roman"/>
                  <w:i/>
                  <w:iCs/>
                  <w:noProof/>
                  <w:sz w:val="22"/>
                  <w:szCs w:val="22"/>
                </w:rPr>
                <w:t xml:space="preserve">Liquidity Ratio. </w:t>
              </w:r>
              <w:r w:rsidRPr="00B24F9A">
                <w:rPr>
                  <w:rFonts w:ascii="Times New Roman" w:hAnsi="Times New Roman" w:cs="Times New Roman"/>
                  <w:noProof/>
                  <w:sz w:val="22"/>
                  <w:szCs w:val="22"/>
                </w:rPr>
                <w:t xml:space="preserve">[Online] </w:t>
              </w:r>
              <w:r w:rsidRPr="00B24F9A">
                <w:rPr>
                  <w:rFonts w:ascii="Times New Roman" w:hAnsi="Times New Roman" w:cs="Times New Roman"/>
                  <w:noProof/>
                  <w:sz w:val="22"/>
                  <w:szCs w:val="22"/>
                </w:rPr>
                <w:br/>
                <w:t xml:space="preserve">Available at: </w:t>
              </w:r>
              <w:r w:rsidRPr="00B24F9A">
                <w:rPr>
                  <w:rFonts w:ascii="Times New Roman" w:hAnsi="Times New Roman" w:cs="Times New Roman"/>
                  <w:noProof/>
                  <w:sz w:val="22"/>
                  <w:szCs w:val="22"/>
                  <w:u w:val="single"/>
                </w:rPr>
                <w:t>https://corporatefinanceinstitute.com/resources/accounting/liquidity-ratio/</w:t>
              </w:r>
              <w:r w:rsidRPr="00B24F9A">
                <w:rPr>
                  <w:rFonts w:ascii="Times New Roman" w:hAnsi="Times New Roman" w:cs="Times New Roman"/>
                  <w:noProof/>
                  <w:sz w:val="22"/>
                  <w:szCs w:val="22"/>
                </w:rPr>
                <w:br/>
                <w:t>[Accessed 02 January 2026].</w:t>
              </w:r>
            </w:p>
            <w:p w14:paraId="014AC1B5" w14:textId="77777777" w:rsidR="00734073" w:rsidRPr="00B24F9A" w:rsidRDefault="00734073" w:rsidP="00734073">
              <w:pPr>
                <w:pStyle w:val="Bibliography"/>
                <w:rPr>
                  <w:rFonts w:ascii="Times New Roman" w:hAnsi="Times New Roman" w:cs="Times New Roman"/>
                  <w:noProof/>
                  <w:sz w:val="22"/>
                  <w:szCs w:val="22"/>
                </w:rPr>
              </w:pPr>
              <w:r w:rsidRPr="00B24F9A">
                <w:rPr>
                  <w:rFonts w:ascii="Times New Roman" w:hAnsi="Times New Roman" w:cs="Times New Roman"/>
                  <w:noProof/>
                  <w:sz w:val="22"/>
                  <w:szCs w:val="22"/>
                </w:rPr>
                <w:t xml:space="preserve">CFI, 2022. </w:t>
              </w:r>
              <w:r w:rsidRPr="00B24F9A">
                <w:rPr>
                  <w:rFonts w:ascii="Times New Roman" w:hAnsi="Times New Roman" w:cs="Times New Roman"/>
                  <w:i/>
                  <w:iCs/>
                  <w:noProof/>
                  <w:sz w:val="22"/>
                  <w:szCs w:val="22"/>
                </w:rPr>
                <w:t xml:space="preserve">NPV vs IRR. </w:t>
              </w:r>
              <w:r w:rsidRPr="00B24F9A">
                <w:rPr>
                  <w:rFonts w:ascii="Times New Roman" w:hAnsi="Times New Roman" w:cs="Times New Roman"/>
                  <w:noProof/>
                  <w:sz w:val="22"/>
                  <w:szCs w:val="22"/>
                </w:rPr>
                <w:t xml:space="preserve">[Online] </w:t>
              </w:r>
              <w:r w:rsidRPr="00B24F9A">
                <w:rPr>
                  <w:rFonts w:ascii="Times New Roman" w:hAnsi="Times New Roman" w:cs="Times New Roman"/>
                  <w:noProof/>
                  <w:sz w:val="22"/>
                  <w:szCs w:val="22"/>
                </w:rPr>
                <w:br/>
                <w:t xml:space="preserve">Available at: </w:t>
              </w:r>
              <w:r w:rsidRPr="00B24F9A">
                <w:rPr>
                  <w:rFonts w:ascii="Times New Roman" w:hAnsi="Times New Roman" w:cs="Times New Roman"/>
                  <w:noProof/>
                  <w:sz w:val="22"/>
                  <w:szCs w:val="22"/>
                  <w:u w:val="single"/>
                </w:rPr>
                <w:t>https://corporatefinanceinstitute.com/resources/valuation/npv-vs-irr/</w:t>
              </w:r>
              <w:r w:rsidRPr="00B24F9A">
                <w:rPr>
                  <w:rFonts w:ascii="Times New Roman" w:hAnsi="Times New Roman" w:cs="Times New Roman"/>
                  <w:noProof/>
                  <w:sz w:val="22"/>
                  <w:szCs w:val="22"/>
                </w:rPr>
                <w:br/>
                <w:t>[Accessed 26 December 2025].</w:t>
              </w:r>
            </w:p>
            <w:p w14:paraId="2BF5EF55" w14:textId="77777777" w:rsidR="00734073" w:rsidRPr="00B24F9A" w:rsidRDefault="00734073" w:rsidP="00734073">
              <w:pPr>
                <w:pStyle w:val="Bibliography"/>
                <w:rPr>
                  <w:rFonts w:ascii="Times New Roman" w:hAnsi="Times New Roman" w:cs="Times New Roman"/>
                  <w:noProof/>
                  <w:sz w:val="22"/>
                  <w:szCs w:val="22"/>
                </w:rPr>
              </w:pPr>
              <w:r w:rsidRPr="00B24F9A">
                <w:rPr>
                  <w:rFonts w:ascii="Times New Roman" w:hAnsi="Times New Roman" w:cs="Times New Roman"/>
                  <w:noProof/>
                  <w:sz w:val="22"/>
                  <w:szCs w:val="22"/>
                </w:rPr>
                <w:t xml:space="preserve">Chen, W.-P., Chung, H., Hsu, T.-L. &amp; Wu, S., 2010. External Financing Needs, Corporate Governance, and Firm Value. </w:t>
              </w:r>
              <w:r w:rsidRPr="00B24F9A">
                <w:rPr>
                  <w:rFonts w:ascii="Times New Roman" w:hAnsi="Times New Roman" w:cs="Times New Roman"/>
                  <w:i/>
                  <w:iCs/>
                  <w:noProof/>
                  <w:sz w:val="22"/>
                  <w:szCs w:val="22"/>
                </w:rPr>
                <w:t xml:space="preserve">Corporate Governance: An International Review, </w:t>
              </w:r>
              <w:r w:rsidRPr="00B24F9A">
                <w:rPr>
                  <w:rFonts w:ascii="Times New Roman" w:hAnsi="Times New Roman" w:cs="Times New Roman"/>
                  <w:noProof/>
                  <w:sz w:val="22"/>
                  <w:szCs w:val="22"/>
                </w:rPr>
                <w:t>18(3), p. 234–249.</w:t>
              </w:r>
            </w:p>
            <w:p w14:paraId="14EB5AA9" w14:textId="77777777" w:rsidR="00734073" w:rsidRPr="00B24F9A" w:rsidRDefault="00734073" w:rsidP="00734073">
              <w:pPr>
                <w:pStyle w:val="Bibliography"/>
                <w:rPr>
                  <w:rFonts w:ascii="Times New Roman" w:hAnsi="Times New Roman" w:cs="Times New Roman"/>
                  <w:noProof/>
                  <w:sz w:val="22"/>
                  <w:szCs w:val="22"/>
                </w:rPr>
              </w:pPr>
              <w:r w:rsidRPr="00B24F9A">
                <w:rPr>
                  <w:rFonts w:ascii="Times New Roman" w:hAnsi="Times New Roman" w:cs="Times New Roman"/>
                  <w:noProof/>
                  <w:sz w:val="22"/>
                  <w:szCs w:val="22"/>
                </w:rPr>
                <w:t xml:space="preserve">Chopra, S., 2021. </w:t>
              </w:r>
              <w:r w:rsidRPr="00B24F9A">
                <w:rPr>
                  <w:rFonts w:ascii="Times New Roman" w:hAnsi="Times New Roman" w:cs="Times New Roman"/>
                  <w:i/>
                  <w:iCs/>
                  <w:noProof/>
                  <w:sz w:val="22"/>
                  <w:szCs w:val="22"/>
                </w:rPr>
                <w:t xml:space="preserve">Supply Chain Management: Strategy, Planning and Operation. </w:t>
              </w:r>
              <w:r w:rsidRPr="00B24F9A">
                <w:rPr>
                  <w:rFonts w:ascii="Times New Roman" w:hAnsi="Times New Roman" w:cs="Times New Roman"/>
                  <w:noProof/>
                  <w:sz w:val="22"/>
                  <w:szCs w:val="22"/>
                </w:rPr>
                <w:t>7 ed. New York: Pearson Education.</w:t>
              </w:r>
            </w:p>
            <w:p w14:paraId="2401CF03" w14:textId="77777777" w:rsidR="00734073" w:rsidRPr="00B24F9A" w:rsidRDefault="00734073" w:rsidP="00734073">
              <w:pPr>
                <w:pStyle w:val="Bibliography"/>
                <w:rPr>
                  <w:rFonts w:ascii="Times New Roman" w:hAnsi="Times New Roman" w:cs="Times New Roman"/>
                  <w:noProof/>
                  <w:sz w:val="22"/>
                  <w:szCs w:val="22"/>
                </w:rPr>
              </w:pPr>
              <w:r w:rsidRPr="00B24F9A">
                <w:rPr>
                  <w:rFonts w:ascii="Times New Roman" w:hAnsi="Times New Roman" w:cs="Times New Roman"/>
                  <w:noProof/>
                  <w:sz w:val="22"/>
                  <w:szCs w:val="22"/>
                </w:rPr>
                <w:t xml:space="preserve">Chorafas, D., 2015. </w:t>
              </w:r>
              <w:r w:rsidRPr="00B24F9A">
                <w:rPr>
                  <w:rFonts w:ascii="Times New Roman" w:hAnsi="Times New Roman" w:cs="Times New Roman"/>
                  <w:i/>
                  <w:iCs/>
                  <w:noProof/>
                  <w:sz w:val="22"/>
                  <w:szCs w:val="22"/>
                </w:rPr>
                <w:t xml:space="preserve">Business Efficiency and Ethics: Values and Strategic Decision-making. </w:t>
              </w:r>
              <w:r w:rsidRPr="00B24F9A">
                <w:rPr>
                  <w:rFonts w:ascii="Times New Roman" w:hAnsi="Times New Roman" w:cs="Times New Roman"/>
                  <w:noProof/>
                  <w:sz w:val="22"/>
                  <w:szCs w:val="22"/>
                </w:rPr>
                <w:t>New York: Palgrave Macmillan.</w:t>
              </w:r>
            </w:p>
            <w:p w14:paraId="746F7E77" w14:textId="77777777" w:rsidR="00734073" w:rsidRPr="00B24F9A" w:rsidRDefault="00734073" w:rsidP="00734073">
              <w:pPr>
                <w:pStyle w:val="Bibliography"/>
                <w:rPr>
                  <w:rFonts w:ascii="Times New Roman" w:hAnsi="Times New Roman" w:cs="Times New Roman"/>
                  <w:noProof/>
                  <w:sz w:val="22"/>
                  <w:szCs w:val="22"/>
                </w:rPr>
              </w:pPr>
              <w:r w:rsidRPr="00B24F9A">
                <w:rPr>
                  <w:rFonts w:ascii="Times New Roman" w:hAnsi="Times New Roman" w:cs="Times New Roman"/>
                  <w:noProof/>
                  <w:sz w:val="22"/>
                  <w:szCs w:val="22"/>
                </w:rPr>
                <w:t xml:space="preserve">Chron, 2023. </w:t>
              </w:r>
              <w:r w:rsidRPr="00B24F9A">
                <w:rPr>
                  <w:rFonts w:ascii="Times New Roman" w:hAnsi="Times New Roman" w:cs="Times New Roman"/>
                  <w:i/>
                  <w:iCs/>
                  <w:noProof/>
                  <w:sz w:val="22"/>
                  <w:szCs w:val="22"/>
                </w:rPr>
                <w:t xml:space="preserve">Net Present Value method vs Payback period method. </w:t>
              </w:r>
              <w:r w:rsidRPr="00B24F9A">
                <w:rPr>
                  <w:rFonts w:ascii="Times New Roman" w:hAnsi="Times New Roman" w:cs="Times New Roman"/>
                  <w:noProof/>
                  <w:sz w:val="22"/>
                  <w:szCs w:val="22"/>
                </w:rPr>
                <w:t xml:space="preserve">[Online] </w:t>
              </w:r>
              <w:r w:rsidRPr="00B24F9A">
                <w:rPr>
                  <w:rFonts w:ascii="Times New Roman" w:hAnsi="Times New Roman" w:cs="Times New Roman"/>
                  <w:noProof/>
                  <w:sz w:val="22"/>
                  <w:szCs w:val="22"/>
                </w:rPr>
                <w:br/>
                <w:t xml:space="preserve">Available at: </w:t>
              </w:r>
              <w:r w:rsidRPr="00B24F9A">
                <w:rPr>
                  <w:rFonts w:ascii="Times New Roman" w:hAnsi="Times New Roman" w:cs="Times New Roman"/>
                  <w:noProof/>
                  <w:sz w:val="22"/>
                  <w:szCs w:val="22"/>
                  <w:u w:val="single"/>
                </w:rPr>
                <w:t>https://smallbusiness.chron.com/solve-conflicts-involving-capital-rationing-35799.html</w:t>
              </w:r>
              <w:r w:rsidRPr="00B24F9A">
                <w:rPr>
                  <w:rFonts w:ascii="Times New Roman" w:hAnsi="Times New Roman" w:cs="Times New Roman"/>
                  <w:noProof/>
                  <w:sz w:val="22"/>
                  <w:szCs w:val="22"/>
                </w:rPr>
                <w:br/>
                <w:t>[Accessed 20 December 2024].</w:t>
              </w:r>
            </w:p>
            <w:p w14:paraId="745391A7" w14:textId="77777777" w:rsidR="00734073" w:rsidRPr="00B24F9A" w:rsidRDefault="00734073" w:rsidP="00734073">
              <w:pPr>
                <w:pStyle w:val="Bibliography"/>
                <w:rPr>
                  <w:rFonts w:ascii="Times New Roman" w:hAnsi="Times New Roman" w:cs="Times New Roman"/>
                  <w:noProof/>
                  <w:sz w:val="22"/>
                  <w:szCs w:val="22"/>
                </w:rPr>
              </w:pPr>
              <w:r w:rsidRPr="00B24F9A">
                <w:rPr>
                  <w:rFonts w:ascii="Times New Roman" w:hAnsi="Times New Roman" w:cs="Times New Roman"/>
                  <w:noProof/>
                  <w:sz w:val="22"/>
                  <w:szCs w:val="22"/>
                </w:rPr>
                <w:t xml:space="preserve">Chron, 2023. </w:t>
              </w:r>
              <w:r w:rsidRPr="00B24F9A">
                <w:rPr>
                  <w:rFonts w:ascii="Times New Roman" w:hAnsi="Times New Roman" w:cs="Times New Roman"/>
                  <w:i/>
                  <w:iCs/>
                  <w:noProof/>
                  <w:sz w:val="22"/>
                  <w:szCs w:val="22"/>
                </w:rPr>
                <w:t xml:space="preserve">Why is the Internal Rate of Return important to the organization?. </w:t>
              </w:r>
              <w:r w:rsidRPr="00B24F9A">
                <w:rPr>
                  <w:rFonts w:ascii="Times New Roman" w:hAnsi="Times New Roman" w:cs="Times New Roman"/>
                  <w:noProof/>
                  <w:sz w:val="22"/>
                  <w:szCs w:val="22"/>
                </w:rPr>
                <w:t xml:space="preserve">[Online] </w:t>
              </w:r>
              <w:r w:rsidRPr="00B24F9A">
                <w:rPr>
                  <w:rFonts w:ascii="Times New Roman" w:hAnsi="Times New Roman" w:cs="Times New Roman"/>
                  <w:noProof/>
                  <w:sz w:val="22"/>
                  <w:szCs w:val="22"/>
                </w:rPr>
                <w:br/>
                <w:t xml:space="preserve">Available at: </w:t>
              </w:r>
              <w:r w:rsidRPr="00B24F9A">
                <w:rPr>
                  <w:rFonts w:ascii="Times New Roman" w:hAnsi="Times New Roman" w:cs="Times New Roman"/>
                  <w:noProof/>
                  <w:sz w:val="22"/>
                  <w:szCs w:val="22"/>
                  <w:u w:val="single"/>
                </w:rPr>
                <w:t>https://smallbusiness.chron.com/solve-conflicts-involving-capital-rationing-35799.html</w:t>
              </w:r>
              <w:r w:rsidRPr="00B24F9A">
                <w:rPr>
                  <w:rFonts w:ascii="Times New Roman" w:hAnsi="Times New Roman" w:cs="Times New Roman"/>
                  <w:noProof/>
                  <w:sz w:val="22"/>
                  <w:szCs w:val="22"/>
                </w:rPr>
                <w:br/>
                <w:t>[Accessed 01 January 2025].</w:t>
              </w:r>
            </w:p>
            <w:p w14:paraId="4507A3FC" w14:textId="77777777" w:rsidR="00734073" w:rsidRPr="00B24F9A" w:rsidRDefault="00734073" w:rsidP="00734073">
              <w:pPr>
                <w:pStyle w:val="Bibliography"/>
                <w:rPr>
                  <w:rFonts w:ascii="Times New Roman" w:hAnsi="Times New Roman" w:cs="Times New Roman"/>
                  <w:noProof/>
                  <w:sz w:val="22"/>
                  <w:szCs w:val="22"/>
                </w:rPr>
              </w:pPr>
              <w:r w:rsidRPr="00B24F9A">
                <w:rPr>
                  <w:rFonts w:ascii="Times New Roman" w:hAnsi="Times New Roman" w:cs="Times New Roman"/>
                  <w:noProof/>
                  <w:sz w:val="22"/>
                  <w:szCs w:val="22"/>
                </w:rPr>
                <w:t xml:space="preserve">Clayman, M., Fridson, M. &amp; Troughton, G., 2012. </w:t>
              </w:r>
              <w:r w:rsidRPr="00B24F9A">
                <w:rPr>
                  <w:rFonts w:ascii="Times New Roman" w:hAnsi="Times New Roman" w:cs="Times New Roman"/>
                  <w:i/>
                  <w:iCs/>
                  <w:noProof/>
                  <w:sz w:val="22"/>
                  <w:szCs w:val="22"/>
                </w:rPr>
                <w:t xml:space="preserve">Corporate Finance. </w:t>
              </w:r>
              <w:r w:rsidRPr="00B24F9A">
                <w:rPr>
                  <w:rFonts w:ascii="Times New Roman" w:hAnsi="Times New Roman" w:cs="Times New Roman"/>
                  <w:noProof/>
                  <w:sz w:val="22"/>
                  <w:szCs w:val="22"/>
                </w:rPr>
                <w:t>Hoboken, NJ: John Wiley &amp; Sons.</w:t>
              </w:r>
            </w:p>
            <w:p w14:paraId="512ADF2D" w14:textId="77777777" w:rsidR="00734073" w:rsidRPr="00B24F9A" w:rsidRDefault="00734073" w:rsidP="00734073">
              <w:pPr>
                <w:pStyle w:val="Bibliography"/>
                <w:rPr>
                  <w:rFonts w:ascii="Times New Roman" w:hAnsi="Times New Roman" w:cs="Times New Roman"/>
                  <w:noProof/>
                  <w:sz w:val="22"/>
                  <w:szCs w:val="22"/>
                </w:rPr>
              </w:pPr>
              <w:r w:rsidRPr="00B24F9A">
                <w:rPr>
                  <w:rFonts w:ascii="Times New Roman" w:hAnsi="Times New Roman" w:cs="Times New Roman"/>
                  <w:noProof/>
                  <w:sz w:val="22"/>
                  <w:szCs w:val="22"/>
                </w:rPr>
                <w:t xml:space="preserve">Connolly, M., 2007. </w:t>
              </w:r>
              <w:r w:rsidRPr="00B24F9A">
                <w:rPr>
                  <w:rFonts w:ascii="Times New Roman" w:hAnsi="Times New Roman" w:cs="Times New Roman"/>
                  <w:i/>
                  <w:iCs/>
                  <w:noProof/>
                  <w:sz w:val="22"/>
                  <w:szCs w:val="22"/>
                </w:rPr>
                <w:t xml:space="preserve">International Business Finance. </w:t>
              </w:r>
              <w:r w:rsidRPr="00B24F9A">
                <w:rPr>
                  <w:rFonts w:ascii="Times New Roman" w:hAnsi="Times New Roman" w:cs="Times New Roman"/>
                  <w:noProof/>
                  <w:sz w:val="22"/>
                  <w:szCs w:val="22"/>
                </w:rPr>
                <w:t>New York: Routledge.</w:t>
              </w:r>
            </w:p>
            <w:p w14:paraId="74C09903" w14:textId="77777777" w:rsidR="00734073" w:rsidRPr="00B24F9A" w:rsidRDefault="00734073" w:rsidP="00734073">
              <w:pPr>
                <w:pStyle w:val="Bibliography"/>
                <w:rPr>
                  <w:rFonts w:ascii="Times New Roman" w:hAnsi="Times New Roman" w:cs="Times New Roman"/>
                  <w:noProof/>
                  <w:sz w:val="22"/>
                  <w:szCs w:val="22"/>
                </w:rPr>
              </w:pPr>
              <w:r w:rsidRPr="00B24F9A">
                <w:rPr>
                  <w:rFonts w:ascii="Times New Roman" w:hAnsi="Times New Roman" w:cs="Times New Roman"/>
                  <w:noProof/>
                  <w:sz w:val="22"/>
                  <w:szCs w:val="22"/>
                </w:rPr>
                <w:lastRenderedPageBreak/>
                <w:t xml:space="preserve">de Jongh, M., 2011. Shareholders’ Duties to the Company and Fellow Shareholder. </w:t>
              </w:r>
              <w:r w:rsidRPr="00B24F9A">
                <w:rPr>
                  <w:rFonts w:ascii="Times New Roman" w:hAnsi="Times New Roman" w:cs="Times New Roman"/>
                  <w:i/>
                  <w:iCs/>
                  <w:noProof/>
                  <w:sz w:val="22"/>
                  <w:szCs w:val="22"/>
                </w:rPr>
                <w:t>SSRN Electronic Journal.</w:t>
              </w:r>
            </w:p>
            <w:p w14:paraId="1BBAF5DD" w14:textId="77777777" w:rsidR="00734073" w:rsidRPr="00B24F9A" w:rsidRDefault="00734073" w:rsidP="00734073">
              <w:pPr>
                <w:pStyle w:val="Bibliography"/>
                <w:rPr>
                  <w:rFonts w:ascii="Times New Roman" w:hAnsi="Times New Roman" w:cs="Times New Roman"/>
                  <w:noProof/>
                  <w:sz w:val="22"/>
                  <w:szCs w:val="22"/>
                </w:rPr>
              </w:pPr>
              <w:r w:rsidRPr="00B24F9A">
                <w:rPr>
                  <w:rFonts w:ascii="Times New Roman" w:hAnsi="Times New Roman" w:cs="Times New Roman"/>
                  <w:noProof/>
                  <w:sz w:val="22"/>
                  <w:szCs w:val="22"/>
                </w:rPr>
                <w:t xml:space="preserve">Drury, C., 2020. </w:t>
              </w:r>
              <w:r w:rsidRPr="00B24F9A">
                <w:rPr>
                  <w:rFonts w:ascii="Times New Roman" w:hAnsi="Times New Roman" w:cs="Times New Roman"/>
                  <w:i/>
                  <w:iCs/>
                  <w:noProof/>
                  <w:sz w:val="22"/>
                  <w:szCs w:val="22"/>
                </w:rPr>
                <w:t xml:space="preserve">Management and Cost Accounting. </w:t>
              </w:r>
              <w:r w:rsidRPr="00B24F9A">
                <w:rPr>
                  <w:rFonts w:ascii="Times New Roman" w:hAnsi="Times New Roman" w:cs="Times New Roman"/>
                  <w:noProof/>
                  <w:sz w:val="22"/>
                  <w:szCs w:val="22"/>
                </w:rPr>
                <w:t>11 ed. Boston: Cengage Learning.</w:t>
              </w:r>
            </w:p>
            <w:p w14:paraId="6E76D6CE" w14:textId="77777777" w:rsidR="00734073" w:rsidRPr="00B24F9A" w:rsidRDefault="00734073" w:rsidP="00734073">
              <w:pPr>
                <w:pStyle w:val="Bibliography"/>
                <w:rPr>
                  <w:rFonts w:ascii="Times New Roman" w:hAnsi="Times New Roman" w:cs="Times New Roman"/>
                  <w:noProof/>
                  <w:sz w:val="22"/>
                  <w:szCs w:val="22"/>
                </w:rPr>
              </w:pPr>
              <w:r w:rsidRPr="00B24F9A">
                <w:rPr>
                  <w:rFonts w:ascii="Times New Roman" w:hAnsi="Times New Roman" w:cs="Times New Roman"/>
                  <w:noProof/>
                  <w:sz w:val="22"/>
                  <w:szCs w:val="22"/>
                </w:rPr>
                <w:t xml:space="preserve">Elliott, B. &amp; Elliott, J., 2017. </w:t>
              </w:r>
              <w:r w:rsidRPr="00B24F9A">
                <w:rPr>
                  <w:rFonts w:ascii="Times New Roman" w:hAnsi="Times New Roman" w:cs="Times New Roman"/>
                  <w:i/>
                  <w:iCs/>
                  <w:noProof/>
                  <w:sz w:val="22"/>
                  <w:szCs w:val="22"/>
                </w:rPr>
                <w:t xml:space="preserve">Financial Accounting and Reporting. </w:t>
              </w:r>
              <w:r w:rsidRPr="00B24F9A">
                <w:rPr>
                  <w:rFonts w:ascii="Times New Roman" w:hAnsi="Times New Roman" w:cs="Times New Roman"/>
                  <w:noProof/>
                  <w:sz w:val="22"/>
                  <w:szCs w:val="22"/>
                </w:rPr>
                <w:t>18 ed. Harlow: Pearson.</w:t>
              </w:r>
            </w:p>
            <w:p w14:paraId="601B8D87" w14:textId="77777777" w:rsidR="00734073" w:rsidRPr="00B24F9A" w:rsidRDefault="00734073" w:rsidP="00734073">
              <w:pPr>
                <w:pStyle w:val="Bibliography"/>
                <w:rPr>
                  <w:rFonts w:ascii="Times New Roman" w:hAnsi="Times New Roman" w:cs="Times New Roman"/>
                  <w:noProof/>
                  <w:sz w:val="22"/>
                  <w:szCs w:val="22"/>
                </w:rPr>
              </w:pPr>
              <w:r w:rsidRPr="00B24F9A">
                <w:rPr>
                  <w:rFonts w:ascii="Times New Roman" w:hAnsi="Times New Roman" w:cs="Times New Roman"/>
                  <w:noProof/>
                  <w:sz w:val="22"/>
                  <w:szCs w:val="22"/>
                </w:rPr>
                <w:t xml:space="preserve">Fernando, J., 2025. </w:t>
              </w:r>
              <w:r w:rsidRPr="00B24F9A">
                <w:rPr>
                  <w:rFonts w:ascii="Times New Roman" w:hAnsi="Times New Roman" w:cs="Times New Roman"/>
                  <w:i/>
                  <w:iCs/>
                  <w:noProof/>
                  <w:sz w:val="22"/>
                  <w:szCs w:val="22"/>
                </w:rPr>
                <w:t xml:space="preserve">Return on Equity (ROE) Calculation and What It Means. </w:t>
              </w:r>
              <w:r w:rsidRPr="00B24F9A">
                <w:rPr>
                  <w:rFonts w:ascii="Times New Roman" w:hAnsi="Times New Roman" w:cs="Times New Roman"/>
                  <w:noProof/>
                  <w:sz w:val="22"/>
                  <w:szCs w:val="22"/>
                </w:rPr>
                <w:t xml:space="preserve">[Online] </w:t>
              </w:r>
              <w:r w:rsidRPr="00B24F9A">
                <w:rPr>
                  <w:rFonts w:ascii="Times New Roman" w:hAnsi="Times New Roman" w:cs="Times New Roman"/>
                  <w:noProof/>
                  <w:sz w:val="22"/>
                  <w:szCs w:val="22"/>
                </w:rPr>
                <w:br/>
                <w:t xml:space="preserve">Available at: </w:t>
              </w:r>
              <w:r w:rsidRPr="00B24F9A">
                <w:rPr>
                  <w:rFonts w:ascii="Times New Roman" w:hAnsi="Times New Roman" w:cs="Times New Roman"/>
                  <w:noProof/>
                  <w:sz w:val="22"/>
                  <w:szCs w:val="22"/>
                  <w:u w:val="single"/>
                </w:rPr>
                <w:t>https://www.investopedia.com/terms/r/returnonequity.asp</w:t>
              </w:r>
              <w:r w:rsidRPr="00B24F9A">
                <w:rPr>
                  <w:rFonts w:ascii="Times New Roman" w:hAnsi="Times New Roman" w:cs="Times New Roman"/>
                  <w:noProof/>
                  <w:sz w:val="22"/>
                  <w:szCs w:val="22"/>
                </w:rPr>
                <w:br/>
                <w:t>[Accessed 03 January 2026].</w:t>
              </w:r>
            </w:p>
            <w:p w14:paraId="1C115514" w14:textId="77777777" w:rsidR="00734073" w:rsidRPr="00B24F9A" w:rsidRDefault="00734073" w:rsidP="00734073">
              <w:pPr>
                <w:pStyle w:val="Bibliography"/>
                <w:rPr>
                  <w:rFonts w:ascii="Times New Roman" w:hAnsi="Times New Roman" w:cs="Times New Roman"/>
                  <w:noProof/>
                  <w:sz w:val="22"/>
                  <w:szCs w:val="22"/>
                </w:rPr>
              </w:pPr>
              <w:r w:rsidRPr="00B24F9A">
                <w:rPr>
                  <w:rFonts w:ascii="Times New Roman" w:hAnsi="Times New Roman" w:cs="Times New Roman"/>
                  <w:noProof/>
                  <w:sz w:val="22"/>
                  <w:szCs w:val="22"/>
                </w:rPr>
                <w:t xml:space="preserve">Finance Management, 2022. </w:t>
              </w:r>
              <w:r w:rsidRPr="00B24F9A">
                <w:rPr>
                  <w:rFonts w:ascii="Times New Roman" w:hAnsi="Times New Roman" w:cs="Times New Roman"/>
                  <w:i/>
                  <w:iCs/>
                  <w:noProof/>
                  <w:sz w:val="22"/>
                  <w:szCs w:val="22"/>
                </w:rPr>
                <w:t xml:space="preserve">Payback Period. </w:t>
              </w:r>
              <w:r w:rsidRPr="00B24F9A">
                <w:rPr>
                  <w:rFonts w:ascii="Times New Roman" w:hAnsi="Times New Roman" w:cs="Times New Roman"/>
                  <w:noProof/>
                  <w:sz w:val="22"/>
                  <w:szCs w:val="22"/>
                </w:rPr>
                <w:t xml:space="preserve">[Online] </w:t>
              </w:r>
              <w:r w:rsidRPr="00B24F9A">
                <w:rPr>
                  <w:rFonts w:ascii="Times New Roman" w:hAnsi="Times New Roman" w:cs="Times New Roman"/>
                  <w:noProof/>
                  <w:sz w:val="22"/>
                  <w:szCs w:val="22"/>
                </w:rPr>
                <w:br/>
                <w:t xml:space="preserve">Available at: </w:t>
              </w:r>
              <w:r w:rsidRPr="00B24F9A">
                <w:rPr>
                  <w:rFonts w:ascii="Times New Roman" w:hAnsi="Times New Roman" w:cs="Times New Roman"/>
                  <w:noProof/>
                  <w:sz w:val="22"/>
                  <w:szCs w:val="22"/>
                  <w:u w:val="single"/>
                </w:rPr>
                <w:t>https://efinancemanagement.com/investment-decisions/payback-period-pbp</w:t>
              </w:r>
              <w:r w:rsidRPr="00B24F9A">
                <w:rPr>
                  <w:rFonts w:ascii="Times New Roman" w:hAnsi="Times New Roman" w:cs="Times New Roman"/>
                  <w:noProof/>
                  <w:sz w:val="22"/>
                  <w:szCs w:val="22"/>
                </w:rPr>
                <w:br/>
                <w:t>[Accessed 01 January 2025].</w:t>
              </w:r>
            </w:p>
            <w:p w14:paraId="5FF99C5B" w14:textId="77777777" w:rsidR="00734073" w:rsidRPr="00B24F9A" w:rsidRDefault="00734073" w:rsidP="00734073">
              <w:pPr>
                <w:pStyle w:val="Bibliography"/>
                <w:rPr>
                  <w:rFonts w:ascii="Times New Roman" w:hAnsi="Times New Roman" w:cs="Times New Roman"/>
                  <w:noProof/>
                  <w:sz w:val="22"/>
                  <w:szCs w:val="22"/>
                </w:rPr>
              </w:pPr>
              <w:r w:rsidRPr="00B24F9A">
                <w:rPr>
                  <w:rFonts w:ascii="Times New Roman" w:hAnsi="Times New Roman" w:cs="Times New Roman"/>
                  <w:noProof/>
                  <w:sz w:val="22"/>
                  <w:szCs w:val="22"/>
                </w:rPr>
                <w:t xml:space="preserve">Flynn, B., 2021. On Theory in Supply Chain Uncertainty and its Implications for Supply Chain Integration. </w:t>
              </w:r>
              <w:r w:rsidRPr="00B24F9A">
                <w:rPr>
                  <w:rFonts w:ascii="Times New Roman" w:hAnsi="Times New Roman" w:cs="Times New Roman"/>
                  <w:i/>
                  <w:iCs/>
                  <w:noProof/>
                  <w:sz w:val="22"/>
                  <w:szCs w:val="22"/>
                </w:rPr>
                <w:t xml:space="preserve">Journal of Supply Chain Management, </w:t>
              </w:r>
              <w:r w:rsidRPr="00B24F9A">
                <w:rPr>
                  <w:rFonts w:ascii="Times New Roman" w:hAnsi="Times New Roman" w:cs="Times New Roman"/>
                  <w:noProof/>
                  <w:sz w:val="22"/>
                  <w:szCs w:val="22"/>
                </w:rPr>
                <w:t>52(3), p. 3–27.</w:t>
              </w:r>
            </w:p>
            <w:p w14:paraId="05F042D4" w14:textId="77777777" w:rsidR="00734073" w:rsidRPr="00B24F9A" w:rsidRDefault="00734073" w:rsidP="00734073">
              <w:pPr>
                <w:pStyle w:val="Bibliography"/>
                <w:rPr>
                  <w:rFonts w:ascii="Times New Roman" w:hAnsi="Times New Roman" w:cs="Times New Roman"/>
                  <w:noProof/>
                  <w:sz w:val="22"/>
                  <w:szCs w:val="22"/>
                </w:rPr>
              </w:pPr>
              <w:r w:rsidRPr="00B24F9A">
                <w:rPr>
                  <w:rFonts w:ascii="Times New Roman" w:hAnsi="Times New Roman" w:cs="Times New Roman"/>
                  <w:noProof/>
                  <w:sz w:val="22"/>
                  <w:szCs w:val="22"/>
                </w:rPr>
                <w:t xml:space="preserve">Gianfrate, G. &amp; Loewenthal, S., 2015. Private Equity throughout the Financial Crisis. </w:t>
              </w:r>
              <w:r w:rsidRPr="00B24F9A">
                <w:rPr>
                  <w:rFonts w:ascii="Times New Roman" w:hAnsi="Times New Roman" w:cs="Times New Roman"/>
                  <w:i/>
                  <w:iCs/>
                  <w:noProof/>
                  <w:sz w:val="22"/>
                  <w:szCs w:val="22"/>
                </w:rPr>
                <w:t>The Journal of Private Equity.</w:t>
              </w:r>
            </w:p>
            <w:p w14:paraId="6D40647A" w14:textId="77777777" w:rsidR="00734073" w:rsidRPr="00B24F9A" w:rsidRDefault="00734073" w:rsidP="00734073">
              <w:pPr>
                <w:pStyle w:val="Bibliography"/>
                <w:rPr>
                  <w:rFonts w:ascii="Times New Roman" w:hAnsi="Times New Roman" w:cs="Times New Roman"/>
                  <w:noProof/>
                  <w:sz w:val="22"/>
                  <w:szCs w:val="22"/>
                </w:rPr>
              </w:pPr>
              <w:r w:rsidRPr="00B24F9A">
                <w:rPr>
                  <w:rFonts w:ascii="Times New Roman" w:hAnsi="Times New Roman" w:cs="Times New Roman"/>
                  <w:noProof/>
                  <w:sz w:val="22"/>
                  <w:szCs w:val="22"/>
                </w:rPr>
                <w:t xml:space="preserve">Gligor, D., 2020. The Role of Supply Chain Agility in Achieving Supply Chain Fit. </w:t>
              </w:r>
              <w:r w:rsidRPr="00B24F9A">
                <w:rPr>
                  <w:rFonts w:ascii="Times New Roman" w:hAnsi="Times New Roman" w:cs="Times New Roman"/>
                  <w:i/>
                  <w:iCs/>
                  <w:noProof/>
                  <w:sz w:val="22"/>
                  <w:szCs w:val="22"/>
                </w:rPr>
                <w:t xml:space="preserve">Decision Sciences, </w:t>
              </w:r>
              <w:r w:rsidRPr="00B24F9A">
                <w:rPr>
                  <w:rFonts w:ascii="Times New Roman" w:hAnsi="Times New Roman" w:cs="Times New Roman"/>
                  <w:noProof/>
                  <w:sz w:val="22"/>
                  <w:szCs w:val="22"/>
                </w:rPr>
                <w:t>47(3), p. 524–553.</w:t>
              </w:r>
            </w:p>
            <w:p w14:paraId="5A5B95A1" w14:textId="77777777" w:rsidR="00734073" w:rsidRPr="00B24F9A" w:rsidRDefault="00734073" w:rsidP="00734073">
              <w:pPr>
                <w:pStyle w:val="Bibliography"/>
                <w:rPr>
                  <w:rFonts w:ascii="Times New Roman" w:hAnsi="Times New Roman" w:cs="Times New Roman"/>
                  <w:noProof/>
                  <w:sz w:val="22"/>
                  <w:szCs w:val="22"/>
                </w:rPr>
              </w:pPr>
              <w:r w:rsidRPr="00B24F9A">
                <w:rPr>
                  <w:rFonts w:ascii="Times New Roman" w:hAnsi="Times New Roman" w:cs="Times New Roman"/>
                  <w:noProof/>
                  <w:sz w:val="22"/>
                  <w:szCs w:val="22"/>
                </w:rPr>
                <w:t xml:space="preserve">Gordon, L., 2020. Accounting Rate of Return vs. Economic Rate of Return. </w:t>
              </w:r>
              <w:r w:rsidRPr="00B24F9A">
                <w:rPr>
                  <w:rFonts w:ascii="Times New Roman" w:hAnsi="Times New Roman" w:cs="Times New Roman"/>
                  <w:i/>
                  <w:iCs/>
                  <w:noProof/>
                  <w:sz w:val="22"/>
                  <w:szCs w:val="22"/>
                </w:rPr>
                <w:t xml:space="preserve">Journal of Business Finance &amp; Accounting, </w:t>
              </w:r>
              <w:r w:rsidRPr="00B24F9A">
                <w:rPr>
                  <w:rFonts w:ascii="Times New Roman" w:hAnsi="Times New Roman" w:cs="Times New Roman"/>
                  <w:noProof/>
                  <w:sz w:val="22"/>
                  <w:szCs w:val="22"/>
                </w:rPr>
                <w:t>1(3), p. 343–356.</w:t>
              </w:r>
            </w:p>
            <w:p w14:paraId="06881E54" w14:textId="77777777" w:rsidR="00734073" w:rsidRPr="00B24F9A" w:rsidRDefault="00734073" w:rsidP="00734073">
              <w:pPr>
                <w:pStyle w:val="Bibliography"/>
                <w:rPr>
                  <w:rFonts w:ascii="Times New Roman" w:hAnsi="Times New Roman" w:cs="Times New Roman"/>
                  <w:noProof/>
                  <w:sz w:val="22"/>
                  <w:szCs w:val="22"/>
                </w:rPr>
              </w:pPr>
              <w:r w:rsidRPr="00B24F9A">
                <w:rPr>
                  <w:rFonts w:ascii="Times New Roman" w:hAnsi="Times New Roman" w:cs="Times New Roman"/>
                  <w:noProof/>
                  <w:sz w:val="22"/>
                  <w:szCs w:val="22"/>
                </w:rPr>
                <w:t xml:space="preserve">Hall, J. &amp; Sibanda, T., 2016. Capital budgeting practices: An empirical study of listed small and medium enterprises. </w:t>
              </w:r>
              <w:r w:rsidRPr="00B24F9A">
                <w:rPr>
                  <w:rFonts w:ascii="Times New Roman" w:hAnsi="Times New Roman" w:cs="Times New Roman"/>
                  <w:i/>
                  <w:iCs/>
                  <w:noProof/>
                  <w:sz w:val="22"/>
                  <w:szCs w:val="22"/>
                </w:rPr>
                <w:t xml:space="preserve">Corporate Ownership and Control, </w:t>
              </w:r>
              <w:r w:rsidRPr="00B24F9A">
                <w:rPr>
                  <w:rFonts w:ascii="Times New Roman" w:hAnsi="Times New Roman" w:cs="Times New Roman"/>
                  <w:noProof/>
                  <w:sz w:val="22"/>
                  <w:szCs w:val="22"/>
                </w:rPr>
                <w:t>Volume 13, p. 199–208.</w:t>
              </w:r>
            </w:p>
            <w:p w14:paraId="2F003204" w14:textId="77777777" w:rsidR="00734073" w:rsidRPr="00B24F9A" w:rsidRDefault="00734073" w:rsidP="00734073">
              <w:pPr>
                <w:pStyle w:val="Bibliography"/>
                <w:rPr>
                  <w:rFonts w:ascii="Times New Roman" w:hAnsi="Times New Roman" w:cs="Times New Roman"/>
                  <w:noProof/>
                  <w:sz w:val="22"/>
                  <w:szCs w:val="22"/>
                </w:rPr>
              </w:pPr>
              <w:r w:rsidRPr="00B24F9A">
                <w:rPr>
                  <w:rFonts w:ascii="Times New Roman" w:hAnsi="Times New Roman" w:cs="Times New Roman"/>
                  <w:noProof/>
                  <w:sz w:val="22"/>
                  <w:szCs w:val="22"/>
                </w:rPr>
                <w:t xml:space="preserve">Hanantijo, G., 2023. Capital Structures Mediating Role in Profitability, Liquidity, and Firm Value. </w:t>
              </w:r>
              <w:r w:rsidRPr="00B24F9A">
                <w:rPr>
                  <w:rFonts w:ascii="Times New Roman" w:hAnsi="Times New Roman" w:cs="Times New Roman"/>
                  <w:i/>
                  <w:iCs/>
                  <w:noProof/>
                  <w:sz w:val="22"/>
                  <w:szCs w:val="22"/>
                </w:rPr>
                <w:t xml:space="preserve">International Journal of Science and Research (IJSR), </w:t>
              </w:r>
              <w:r w:rsidRPr="00B24F9A">
                <w:rPr>
                  <w:rFonts w:ascii="Times New Roman" w:hAnsi="Times New Roman" w:cs="Times New Roman"/>
                  <w:noProof/>
                  <w:sz w:val="22"/>
                  <w:szCs w:val="22"/>
                </w:rPr>
                <w:t>12(7), p. 1163–1166.</w:t>
              </w:r>
            </w:p>
            <w:p w14:paraId="358B9174" w14:textId="77777777" w:rsidR="00734073" w:rsidRPr="00B24F9A" w:rsidRDefault="00734073" w:rsidP="00734073">
              <w:pPr>
                <w:pStyle w:val="Bibliography"/>
                <w:rPr>
                  <w:rFonts w:ascii="Times New Roman" w:hAnsi="Times New Roman" w:cs="Times New Roman"/>
                  <w:noProof/>
                  <w:sz w:val="22"/>
                  <w:szCs w:val="22"/>
                </w:rPr>
              </w:pPr>
              <w:r w:rsidRPr="00B24F9A">
                <w:rPr>
                  <w:rFonts w:ascii="Times New Roman" w:hAnsi="Times New Roman" w:cs="Times New Roman"/>
                  <w:noProof/>
                  <w:sz w:val="22"/>
                  <w:szCs w:val="22"/>
                </w:rPr>
                <w:t xml:space="preserve">Hayes, A., 2025. </w:t>
              </w:r>
              <w:r w:rsidRPr="00B24F9A">
                <w:rPr>
                  <w:rFonts w:ascii="Times New Roman" w:hAnsi="Times New Roman" w:cs="Times New Roman"/>
                  <w:i/>
                  <w:iCs/>
                  <w:noProof/>
                  <w:sz w:val="22"/>
                  <w:szCs w:val="22"/>
                </w:rPr>
                <w:t xml:space="preserve">Operating Margin: What It Is and the Formula for Calculating It, With Examples. </w:t>
              </w:r>
              <w:r w:rsidRPr="00B24F9A">
                <w:rPr>
                  <w:rFonts w:ascii="Times New Roman" w:hAnsi="Times New Roman" w:cs="Times New Roman"/>
                  <w:noProof/>
                  <w:sz w:val="22"/>
                  <w:szCs w:val="22"/>
                </w:rPr>
                <w:t xml:space="preserve">[Online] </w:t>
              </w:r>
              <w:r w:rsidRPr="00B24F9A">
                <w:rPr>
                  <w:rFonts w:ascii="Times New Roman" w:hAnsi="Times New Roman" w:cs="Times New Roman"/>
                  <w:noProof/>
                  <w:sz w:val="22"/>
                  <w:szCs w:val="22"/>
                </w:rPr>
                <w:br/>
                <w:t xml:space="preserve">Available at: </w:t>
              </w:r>
              <w:r w:rsidRPr="00B24F9A">
                <w:rPr>
                  <w:rFonts w:ascii="Times New Roman" w:hAnsi="Times New Roman" w:cs="Times New Roman"/>
                  <w:noProof/>
                  <w:sz w:val="22"/>
                  <w:szCs w:val="22"/>
                  <w:u w:val="single"/>
                </w:rPr>
                <w:t>https://www.investopedia.com/terms/o/operatingmargin.asp</w:t>
              </w:r>
              <w:r w:rsidRPr="00B24F9A">
                <w:rPr>
                  <w:rFonts w:ascii="Times New Roman" w:hAnsi="Times New Roman" w:cs="Times New Roman"/>
                  <w:noProof/>
                  <w:sz w:val="22"/>
                  <w:szCs w:val="22"/>
                </w:rPr>
                <w:br/>
                <w:t>[Accessed 02 January 2026].</w:t>
              </w:r>
            </w:p>
            <w:p w14:paraId="4657EC5A" w14:textId="77777777" w:rsidR="00734073" w:rsidRPr="00B24F9A" w:rsidRDefault="00734073" w:rsidP="00734073">
              <w:pPr>
                <w:pStyle w:val="Bibliography"/>
                <w:rPr>
                  <w:rFonts w:ascii="Times New Roman" w:hAnsi="Times New Roman" w:cs="Times New Roman"/>
                  <w:noProof/>
                  <w:sz w:val="22"/>
                  <w:szCs w:val="22"/>
                </w:rPr>
              </w:pPr>
              <w:r w:rsidRPr="00B24F9A">
                <w:rPr>
                  <w:rFonts w:ascii="Times New Roman" w:hAnsi="Times New Roman" w:cs="Times New Roman"/>
                  <w:noProof/>
                  <w:sz w:val="22"/>
                  <w:szCs w:val="22"/>
                </w:rPr>
                <w:t xml:space="preserve">Imarticus, 2024. </w:t>
              </w:r>
              <w:r w:rsidRPr="00B24F9A">
                <w:rPr>
                  <w:rFonts w:ascii="Times New Roman" w:hAnsi="Times New Roman" w:cs="Times New Roman"/>
                  <w:i/>
                  <w:iCs/>
                  <w:noProof/>
                  <w:sz w:val="22"/>
                  <w:szCs w:val="22"/>
                </w:rPr>
                <w:t xml:space="preserve">Discounting vs. Non-Discounting Methods: Which is Better for Capital Budgeting?. </w:t>
              </w:r>
              <w:r w:rsidRPr="00B24F9A">
                <w:rPr>
                  <w:rFonts w:ascii="Times New Roman" w:hAnsi="Times New Roman" w:cs="Times New Roman"/>
                  <w:noProof/>
                  <w:sz w:val="22"/>
                  <w:szCs w:val="22"/>
                </w:rPr>
                <w:t xml:space="preserve">[Online] </w:t>
              </w:r>
              <w:r w:rsidRPr="00B24F9A">
                <w:rPr>
                  <w:rFonts w:ascii="Times New Roman" w:hAnsi="Times New Roman" w:cs="Times New Roman"/>
                  <w:noProof/>
                  <w:sz w:val="22"/>
                  <w:szCs w:val="22"/>
                </w:rPr>
                <w:br/>
                <w:t xml:space="preserve">Available at: </w:t>
              </w:r>
              <w:r w:rsidRPr="00B24F9A">
                <w:rPr>
                  <w:rFonts w:ascii="Times New Roman" w:hAnsi="Times New Roman" w:cs="Times New Roman"/>
                  <w:noProof/>
                  <w:sz w:val="22"/>
                  <w:szCs w:val="22"/>
                  <w:u w:val="single"/>
                </w:rPr>
                <w:t>https://imarticus.org/blog/capital-budgeting-methods/</w:t>
              </w:r>
              <w:r w:rsidRPr="00B24F9A">
                <w:rPr>
                  <w:rFonts w:ascii="Times New Roman" w:hAnsi="Times New Roman" w:cs="Times New Roman"/>
                  <w:noProof/>
                  <w:sz w:val="22"/>
                  <w:szCs w:val="22"/>
                </w:rPr>
                <w:br/>
                <w:t>[Accessed 28 December 2025].</w:t>
              </w:r>
            </w:p>
            <w:p w14:paraId="36131109" w14:textId="77777777" w:rsidR="00734073" w:rsidRPr="00B24F9A" w:rsidRDefault="00734073" w:rsidP="00734073">
              <w:pPr>
                <w:pStyle w:val="Bibliography"/>
                <w:rPr>
                  <w:rFonts w:ascii="Times New Roman" w:hAnsi="Times New Roman" w:cs="Times New Roman"/>
                  <w:noProof/>
                  <w:sz w:val="22"/>
                  <w:szCs w:val="22"/>
                </w:rPr>
              </w:pPr>
              <w:r w:rsidRPr="00B24F9A">
                <w:rPr>
                  <w:rFonts w:ascii="Times New Roman" w:hAnsi="Times New Roman" w:cs="Times New Roman"/>
                  <w:noProof/>
                  <w:sz w:val="22"/>
                  <w:szCs w:val="22"/>
                </w:rPr>
                <w:t xml:space="preserve">Investguiding, 2023. </w:t>
              </w:r>
              <w:r w:rsidRPr="00B24F9A">
                <w:rPr>
                  <w:rFonts w:ascii="Times New Roman" w:hAnsi="Times New Roman" w:cs="Times New Roman"/>
                  <w:i/>
                  <w:iCs/>
                  <w:noProof/>
                  <w:sz w:val="22"/>
                  <w:szCs w:val="22"/>
                </w:rPr>
                <w:t xml:space="preserve">What is the best investment appraisal method?. </w:t>
              </w:r>
              <w:r w:rsidRPr="00B24F9A">
                <w:rPr>
                  <w:rFonts w:ascii="Times New Roman" w:hAnsi="Times New Roman" w:cs="Times New Roman"/>
                  <w:noProof/>
                  <w:sz w:val="22"/>
                  <w:szCs w:val="22"/>
                </w:rPr>
                <w:t xml:space="preserve">[Online] </w:t>
              </w:r>
              <w:r w:rsidRPr="00B24F9A">
                <w:rPr>
                  <w:rFonts w:ascii="Times New Roman" w:hAnsi="Times New Roman" w:cs="Times New Roman"/>
                  <w:noProof/>
                  <w:sz w:val="22"/>
                  <w:szCs w:val="22"/>
                </w:rPr>
                <w:br/>
                <w:t xml:space="preserve">Available at: </w:t>
              </w:r>
              <w:r w:rsidRPr="00B24F9A">
                <w:rPr>
                  <w:rFonts w:ascii="Times New Roman" w:hAnsi="Times New Roman" w:cs="Times New Roman"/>
                  <w:noProof/>
                  <w:sz w:val="22"/>
                  <w:szCs w:val="22"/>
                  <w:u w:val="single"/>
                </w:rPr>
                <w:t>https://investguiding-com.ngontinh24.com/articles/what-is-the-best-investment-appraisal-method#toc-2/</w:t>
              </w:r>
              <w:r w:rsidRPr="00B24F9A">
                <w:rPr>
                  <w:rFonts w:ascii="Times New Roman" w:hAnsi="Times New Roman" w:cs="Times New Roman"/>
                  <w:noProof/>
                  <w:sz w:val="22"/>
                  <w:szCs w:val="22"/>
                </w:rPr>
                <w:br/>
                <w:t>[Accessed 25 December 2024].</w:t>
              </w:r>
            </w:p>
            <w:p w14:paraId="14816608" w14:textId="77777777" w:rsidR="00734073" w:rsidRPr="00B24F9A" w:rsidRDefault="00734073" w:rsidP="00734073">
              <w:pPr>
                <w:pStyle w:val="Bibliography"/>
                <w:rPr>
                  <w:rFonts w:ascii="Times New Roman" w:hAnsi="Times New Roman" w:cs="Times New Roman"/>
                  <w:noProof/>
                  <w:sz w:val="22"/>
                  <w:szCs w:val="22"/>
                </w:rPr>
              </w:pPr>
              <w:r w:rsidRPr="00B24F9A">
                <w:rPr>
                  <w:rFonts w:ascii="Times New Roman" w:hAnsi="Times New Roman" w:cs="Times New Roman"/>
                  <w:noProof/>
                  <w:sz w:val="22"/>
                  <w:szCs w:val="22"/>
                </w:rPr>
                <w:lastRenderedPageBreak/>
                <w:t xml:space="preserve">Investopedia, 2022. </w:t>
              </w:r>
              <w:r w:rsidRPr="00B24F9A">
                <w:rPr>
                  <w:rFonts w:ascii="Times New Roman" w:hAnsi="Times New Roman" w:cs="Times New Roman"/>
                  <w:i/>
                  <w:iCs/>
                  <w:noProof/>
                  <w:sz w:val="22"/>
                  <w:szCs w:val="22"/>
                </w:rPr>
                <w:t xml:space="preserve">https://www.investopedia.com/terms/i/internal-rate-of-return-rule.asp. </w:t>
              </w:r>
              <w:r w:rsidRPr="00B24F9A">
                <w:rPr>
                  <w:rFonts w:ascii="Times New Roman" w:hAnsi="Times New Roman" w:cs="Times New Roman"/>
                  <w:noProof/>
                  <w:sz w:val="22"/>
                  <w:szCs w:val="22"/>
                </w:rPr>
                <w:t xml:space="preserve">[Online] </w:t>
              </w:r>
              <w:r w:rsidRPr="00B24F9A">
                <w:rPr>
                  <w:rFonts w:ascii="Times New Roman" w:hAnsi="Times New Roman" w:cs="Times New Roman"/>
                  <w:noProof/>
                  <w:sz w:val="22"/>
                  <w:szCs w:val="22"/>
                </w:rPr>
                <w:br/>
                <w:t xml:space="preserve">Available at: </w:t>
              </w:r>
              <w:r w:rsidRPr="00B24F9A">
                <w:rPr>
                  <w:rFonts w:ascii="Times New Roman" w:hAnsi="Times New Roman" w:cs="Times New Roman"/>
                  <w:noProof/>
                  <w:sz w:val="22"/>
                  <w:szCs w:val="22"/>
                  <w:u w:val="single"/>
                </w:rPr>
                <w:t>https://www.investopedia.com/terms/i/internal-rate-of-return-rule.asp</w:t>
              </w:r>
              <w:r w:rsidRPr="00B24F9A">
                <w:rPr>
                  <w:rFonts w:ascii="Times New Roman" w:hAnsi="Times New Roman" w:cs="Times New Roman"/>
                  <w:noProof/>
                  <w:sz w:val="22"/>
                  <w:szCs w:val="22"/>
                </w:rPr>
                <w:br/>
                <w:t>[Accessed 02 January 2025].</w:t>
              </w:r>
            </w:p>
            <w:p w14:paraId="4333F9A1" w14:textId="77777777" w:rsidR="00734073" w:rsidRPr="00B24F9A" w:rsidRDefault="00734073" w:rsidP="00734073">
              <w:pPr>
                <w:pStyle w:val="Bibliography"/>
                <w:rPr>
                  <w:rFonts w:ascii="Times New Roman" w:hAnsi="Times New Roman" w:cs="Times New Roman"/>
                  <w:noProof/>
                  <w:sz w:val="22"/>
                  <w:szCs w:val="22"/>
                </w:rPr>
              </w:pPr>
              <w:r w:rsidRPr="00B24F9A">
                <w:rPr>
                  <w:rFonts w:ascii="Times New Roman" w:hAnsi="Times New Roman" w:cs="Times New Roman"/>
                  <w:noProof/>
                  <w:sz w:val="22"/>
                  <w:szCs w:val="22"/>
                </w:rPr>
                <w:t xml:space="preserve">Johannesson, J., 2021. Business growth in a tough economy. </w:t>
              </w:r>
              <w:r w:rsidRPr="00B24F9A">
                <w:rPr>
                  <w:rFonts w:ascii="Times New Roman" w:hAnsi="Times New Roman" w:cs="Times New Roman"/>
                  <w:i/>
                  <w:iCs/>
                  <w:noProof/>
                  <w:sz w:val="22"/>
                  <w:szCs w:val="22"/>
                </w:rPr>
                <w:t xml:space="preserve">International Journal of Business Competition and Growth, </w:t>
              </w:r>
              <w:r w:rsidRPr="00B24F9A">
                <w:rPr>
                  <w:rFonts w:ascii="Times New Roman" w:hAnsi="Times New Roman" w:cs="Times New Roman"/>
                  <w:noProof/>
                  <w:sz w:val="22"/>
                  <w:szCs w:val="22"/>
                </w:rPr>
                <w:t>1(3), p. 231.</w:t>
              </w:r>
            </w:p>
            <w:p w14:paraId="3BFC5C39" w14:textId="77777777" w:rsidR="00734073" w:rsidRPr="00B24F9A" w:rsidRDefault="00734073" w:rsidP="00734073">
              <w:pPr>
                <w:pStyle w:val="Bibliography"/>
                <w:rPr>
                  <w:rFonts w:ascii="Times New Roman" w:hAnsi="Times New Roman" w:cs="Times New Roman"/>
                  <w:noProof/>
                  <w:sz w:val="22"/>
                  <w:szCs w:val="22"/>
                </w:rPr>
              </w:pPr>
              <w:r w:rsidRPr="00B24F9A">
                <w:rPr>
                  <w:rFonts w:ascii="Times New Roman" w:hAnsi="Times New Roman" w:cs="Times New Roman"/>
                  <w:noProof/>
                  <w:sz w:val="22"/>
                  <w:szCs w:val="22"/>
                </w:rPr>
                <w:t xml:space="preserve">Kagan, J., 2025. </w:t>
              </w:r>
              <w:r w:rsidRPr="00B24F9A">
                <w:rPr>
                  <w:rFonts w:ascii="Times New Roman" w:hAnsi="Times New Roman" w:cs="Times New Roman"/>
                  <w:i/>
                  <w:iCs/>
                  <w:noProof/>
                  <w:sz w:val="22"/>
                  <w:szCs w:val="22"/>
                </w:rPr>
                <w:t xml:space="preserve">Payback period: Definition, formula, and calculation. </w:t>
              </w:r>
              <w:r w:rsidRPr="00B24F9A">
                <w:rPr>
                  <w:rFonts w:ascii="Times New Roman" w:hAnsi="Times New Roman" w:cs="Times New Roman"/>
                  <w:noProof/>
                  <w:sz w:val="22"/>
                  <w:szCs w:val="22"/>
                </w:rPr>
                <w:t xml:space="preserve">[Online] </w:t>
              </w:r>
              <w:r w:rsidRPr="00B24F9A">
                <w:rPr>
                  <w:rFonts w:ascii="Times New Roman" w:hAnsi="Times New Roman" w:cs="Times New Roman"/>
                  <w:noProof/>
                  <w:sz w:val="22"/>
                  <w:szCs w:val="22"/>
                </w:rPr>
                <w:br/>
                <w:t xml:space="preserve">Available at: </w:t>
              </w:r>
              <w:r w:rsidRPr="00B24F9A">
                <w:rPr>
                  <w:rFonts w:ascii="Times New Roman" w:hAnsi="Times New Roman" w:cs="Times New Roman"/>
                  <w:noProof/>
                  <w:sz w:val="22"/>
                  <w:szCs w:val="22"/>
                  <w:u w:val="single"/>
                </w:rPr>
                <w:t>https://www.investopedia.com/terms/p/paybackperiod.asp</w:t>
              </w:r>
              <w:r w:rsidRPr="00B24F9A">
                <w:rPr>
                  <w:rFonts w:ascii="Times New Roman" w:hAnsi="Times New Roman" w:cs="Times New Roman"/>
                  <w:noProof/>
                  <w:sz w:val="22"/>
                  <w:szCs w:val="22"/>
                </w:rPr>
                <w:br/>
                <w:t>[Accessed 02 January 2026].</w:t>
              </w:r>
            </w:p>
            <w:p w14:paraId="5B6ABC2A" w14:textId="77777777" w:rsidR="00734073" w:rsidRPr="00B24F9A" w:rsidRDefault="00734073" w:rsidP="00734073">
              <w:pPr>
                <w:pStyle w:val="Bibliography"/>
                <w:rPr>
                  <w:rFonts w:ascii="Times New Roman" w:hAnsi="Times New Roman" w:cs="Times New Roman"/>
                  <w:noProof/>
                  <w:sz w:val="22"/>
                  <w:szCs w:val="22"/>
                </w:rPr>
              </w:pPr>
              <w:r w:rsidRPr="00B24F9A">
                <w:rPr>
                  <w:rFonts w:ascii="Times New Roman" w:hAnsi="Times New Roman" w:cs="Times New Roman"/>
                  <w:noProof/>
                  <w:sz w:val="22"/>
                  <w:szCs w:val="22"/>
                </w:rPr>
                <w:t xml:space="preserve">Kenton, W., 2024. </w:t>
              </w:r>
              <w:r w:rsidRPr="00B24F9A">
                <w:rPr>
                  <w:rFonts w:ascii="Times New Roman" w:hAnsi="Times New Roman" w:cs="Times New Roman"/>
                  <w:i/>
                  <w:iCs/>
                  <w:noProof/>
                  <w:sz w:val="22"/>
                  <w:szCs w:val="22"/>
                </w:rPr>
                <w:t xml:space="preserve">How the Gearing Ratio Works. </w:t>
              </w:r>
              <w:r w:rsidRPr="00B24F9A">
                <w:rPr>
                  <w:rFonts w:ascii="Times New Roman" w:hAnsi="Times New Roman" w:cs="Times New Roman"/>
                  <w:noProof/>
                  <w:sz w:val="22"/>
                  <w:szCs w:val="22"/>
                </w:rPr>
                <w:t xml:space="preserve">[Online] </w:t>
              </w:r>
              <w:r w:rsidRPr="00B24F9A">
                <w:rPr>
                  <w:rFonts w:ascii="Times New Roman" w:hAnsi="Times New Roman" w:cs="Times New Roman"/>
                  <w:noProof/>
                  <w:sz w:val="22"/>
                  <w:szCs w:val="22"/>
                </w:rPr>
                <w:br/>
                <w:t xml:space="preserve">Available at: </w:t>
              </w:r>
              <w:r w:rsidRPr="00B24F9A">
                <w:rPr>
                  <w:rFonts w:ascii="Times New Roman" w:hAnsi="Times New Roman" w:cs="Times New Roman"/>
                  <w:noProof/>
                  <w:sz w:val="22"/>
                  <w:szCs w:val="22"/>
                  <w:u w:val="single"/>
                </w:rPr>
                <w:t>https://www.investopedia.com/terms/g/gearingratio.asp</w:t>
              </w:r>
              <w:r w:rsidRPr="00B24F9A">
                <w:rPr>
                  <w:rFonts w:ascii="Times New Roman" w:hAnsi="Times New Roman" w:cs="Times New Roman"/>
                  <w:noProof/>
                  <w:sz w:val="22"/>
                  <w:szCs w:val="22"/>
                </w:rPr>
                <w:br/>
                <w:t>[Accessed 28 December 2025].</w:t>
              </w:r>
            </w:p>
            <w:p w14:paraId="28C17FB6" w14:textId="77777777" w:rsidR="00734073" w:rsidRPr="00B24F9A" w:rsidRDefault="00734073" w:rsidP="00734073">
              <w:pPr>
                <w:pStyle w:val="Bibliography"/>
                <w:rPr>
                  <w:rFonts w:ascii="Times New Roman" w:hAnsi="Times New Roman" w:cs="Times New Roman"/>
                  <w:noProof/>
                  <w:sz w:val="22"/>
                  <w:szCs w:val="22"/>
                </w:rPr>
              </w:pPr>
              <w:r w:rsidRPr="00B24F9A">
                <w:rPr>
                  <w:rFonts w:ascii="Times New Roman" w:hAnsi="Times New Roman" w:cs="Times New Roman"/>
                  <w:noProof/>
                  <w:sz w:val="22"/>
                  <w:szCs w:val="22"/>
                </w:rPr>
                <w:t xml:space="preserve">Kersten, R., Harms, J., Liket, K. &amp; Maas, K., 2017. Small Firms, Large Impact? A Systematic Review of the SME Finance Literature. </w:t>
              </w:r>
              <w:r w:rsidRPr="00B24F9A">
                <w:rPr>
                  <w:rFonts w:ascii="Times New Roman" w:hAnsi="Times New Roman" w:cs="Times New Roman"/>
                  <w:i/>
                  <w:iCs/>
                  <w:noProof/>
                  <w:sz w:val="22"/>
                  <w:szCs w:val="22"/>
                </w:rPr>
                <w:t xml:space="preserve">World Development, </w:t>
              </w:r>
              <w:r w:rsidRPr="00B24F9A">
                <w:rPr>
                  <w:rFonts w:ascii="Times New Roman" w:hAnsi="Times New Roman" w:cs="Times New Roman"/>
                  <w:noProof/>
                  <w:sz w:val="22"/>
                  <w:szCs w:val="22"/>
                </w:rPr>
                <w:t>Volume 97, p. 330–348.</w:t>
              </w:r>
            </w:p>
            <w:p w14:paraId="224D248A" w14:textId="77777777" w:rsidR="00734073" w:rsidRPr="00B24F9A" w:rsidRDefault="00734073" w:rsidP="00734073">
              <w:pPr>
                <w:pStyle w:val="Bibliography"/>
                <w:rPr>
                  <w:rFonts w:ascii="Times New Roman" w:hAnsi="Times New Roman" w:cs="Times New Roman"/>
                  <w:noProof/>
                  <w:sz w:val="22"/>
                  <w:szCs w:val="22"/>
                </w:rPr>
              </w:pPr>
              <w:r w:rsidRPr="00B24F9A">
                <w:rPr>
                  <w:rFonts w:ascii="Times New Roman" w:hAnsi="Times New Roman" w:cs="Times New Roman"/>
                  <w:noProof/>
                  <w:sz w:val="22"/>
                  <w:szCs w:val="22"/>
                </w:rPr>
                <w:t xml:space="preserve">Kotey, B., 2019. Debt Financing and Factors Internal to the Business. </w:t>
              </w:r>
              <w:r w:rsidRPr="00B24F9A">
                <w:rPr>
                  <w:rFonts w:ascii="Times New Roman" w:hAnsi="Times New Roman" w:cs="Times New Roman"/>
                  <w:i/>
                  <w:iCs/>
                  <w:noProof/>
                  <w:sz w:val="22"/>
                  <w:szCs w:val="22"/>
                </w:rPr>
                <w:t xml:space="preserve">International Small Business Journal, </w:t>
              </w:r>
              <w:r w:rsidRPr="00B24F9A">
                <w:rPr>
                  <w:rFonts w:ascii="Times New Roman" w:hAnsi="Times New Roman" w:cs="Times New Roman"/>
                  <w:noProof/>
                  <w:sz w:val="22"/>
                  <w:szCs w:val="22"/>
                </w:rPr>
                <w:t>17(3), p. 11–29.</w:t>
              </w:r>
            </w:p>
            <w:p w14:paraId="047F7730" w14:textId="77777777" w:rsidR="00734073" w:rsidRPr="00B24F9A" w:rsidRDefault="00734073" w:rsidP="00734073">
              <w:pPr>
                <w:pStyle w:val="Bibliography"/>
                <w:rPr>
                  <w:rFonts w:ascii="Times New Roman" w:hAnsi="Times New Roman" w:cs="Times New Roman"/>
                  <w:noProof/>
                  <w:sz w:val="22"/>
                  <w:szCs w:val="22"/>
                </w:rPr>
              </w:pPr>
              <w:r w:rsidRPr="00B24F9A">
                <w:rPr>
                  <w:rFonts w:ascii="Times New Roman" w:hAnsi="Times New Roman" w:cs="Times New Roman"/>
                  <w:noProof/>
                  <w:sz w:val="22"/>
                  <w:szCs w:val="22"/>
                </w:rPr>
                <w:t xml:space="preserve">Lichtenstein, S. &amp; Dade, P., 2007. The Shareholder Value Chain: Values, Vision and Shareholder Value Creation. </w:t>
              </w:r>
              <w:r w:rsidRPr="00B24F9A">
                <w:rPr>
                  <w:rFonts w:ascii="Times New Roman" w:hAnsi="Times New Roman" w:cs="Times New Roman"/>
                  <w:i/>
                  <w:iCs/>
                  <w:noProof/>
                  <w:sz w:val="22"/>
                  <w:szCs w:val="22"/>
                </w:rPr>
                <w:t xml:space="preserve">Journal of General Management, </w:t>
              </w:r>
              <w:r w:rsidRPr="00B24F9A">
                <w:rPr>
                  <w:rFonts w:ascii="Times New Roman" w:hAnsi="Times New Roman" w:cs="Times New Roman"/>
                  <w:noProof/>
                  <w:sz w:val="22"/>
                  <w:szCs w:val="22"/>
                </w:rPr>
                <w:t>33(1), p. 15–31.</w:t>
              </w:r>
            </w:p>
            <w:p w14:paraId="290C10A1" w14:textId="77777777" w:rsidR="00734073" w:rsidRPr="00B24F9A" w:rsidRDefault="00734073" w:rsidP="00734073">
              <w:pPr>
                <w:pStyle w:val="Bibliography"/>
                <w:rPr>
                  <w:rFonts w:ascii="Times New Roman" w:hAnsi="Times New Roman" w:cs="Times New Roman"/>
                  <w:noProof/>
                  <w:sz w:val="22"/>
                  <w:szCs w:val="22"/>
                </w:rPr>
              </w:pPr>
              <w:r w:rsidRPr="00B24F9A">
                <w:rPr>
                  <w:rFonts w:ascii="Times New Roman" w:hAnsi="Times New Roman" w:cs="Times New Roman"/>
                  <w:noProof/>
                  <w:sz w:val="22"/>
                  <w:szCs w:val="22"/>
                </w:rPr>
                <w:t xml:space="preserve">Lin, H.-J., 2019. Why Should Managers Like Payback Period?. </w:t>
              </w:r>
              <w:r w:rsidRPr="00B24F9A">
                <w:rPr>
                  <w:rFonts w:ascii="Times New Roman" w:hAnsi="Times New Roman" w:cs="Times New Roman"/>
                  <w:i/>
                  <w:iCs/>
                  <w:noProof/>
                  <w:sz w:val="22"/>
                  <w:szCs w:val="22"/>
                </w:rPr>
                <w:t xml:space="preserve">SSRN Electronic Journal, </w:t>
              </w:r>
              <w:r w:rsidRPr="00B24F9A">
                <w:rPr>
                  <w:rFonts w:ascii="Times New Roman" w:hAnsi="Times New Roman" w:cs="Times New Roman"/>
                  <w:noProof/>
                  <w:sz w:val="22"/>
                  <w:szCs w:val="22"/>
                </w:rPr>
                <w:t>1(1).</w:t>
              </w:r>
            </w:p>
            <w:p w14:paraId="4EE6C010" w14:textId="77777777" w:rsidR="00734073" w:rsidRPr="00B24F9A" w:rsidRDefault="00734073" w:rsidP="00734073">
              <w:pPr>
                <w:pStyle w:val="Bibliography"/>
                <w:rPr>
                  <w:rFonts w:ascii="Times New Roman" w:hAnsi="Times New Roman" w:cs="Times New Roman"/>
                  <w:noProof/>
                  <w:sz w:val="22"/>
                  <w:szCs w:val="22"/>
                </w:rPr>
              </w:pPr>
              <w:r w:rsidRPr="00B24F9A">
                <w:rPr>
                  <w:rFonts w:ascii="Times New Roman" w:hAnsi="Times New Roman" w:cs="Times New Roman"/>
                  <w:noProof/>
                  <w:sz w:val="22"/>
                  <w:szCs w:val="22"/>
                </w:rPr>
                <w:t xml:space="preserve">Müller-Fürstenberger, G., 2017. </w:t>
              </w:r>
              <w:r w:rsidRPr="00B24F9A">
                <w:rPr>
                  <w:rFonts w:ascii="Times New Roman" w:hAnsi="Times New Roman" w:cs="Times New Roman"/>
                  <w:i/>
                  <w:iCs/>
                  <w:noProof/>
                  <w:sz w:val="22"/>
                  <w:szCs w:val="22"/>
                </w:rPr>
                <w:t xml:space="preserve">The Payback Period Rule: Its Impact on Innovation and Economic Growth. </w:t>
              </w:r>
              <w:r w:rsidRPr="00B24F9A">
                <w:rPr>
                  <w:rFonts w:ascii="Times New Roman" w:hAnsi="Times New Roman" w:cs="Times New Roman"/>
                  <w:noProof/>
                  <w:sz w:val="22"/>
                  <w:szCs w:val="22"/>
                </w:rPr>
                <w:t>Bern: Universität Bern.</w:t>
              </w:r>
            </w:p>
            <w:p w14:paraId="0562FBE9" w14:textId="77777777" w:rsidR="00734073" w:rsidRPr="00B24F9A" w:rsidRDefault="00734073" w:rsidP="00734073">
              <w:pPr>
                <w:pStyle w:val="Bibliography"/>
                <w:rPr>
                  <w:rFonts w:ascii="Times New Roman" w:hAnsi="Times New Roman" w:cs="Times New Roman"/>
                  <w:noProof/>
                  <w:sz w:val="22"/>
                  <w:szCs w:val="22"/>
                </w:rPr>
              </w:pPr>
              <w:r w:rsidRPr="00B24F9A">
                <w:rPr>
                  <w:rFonts w:ascii="Times New Roman" w:hAnsi="Times New Roman" w:cs="Times New Roman"/>
                  <w:noProof/>
                  <w:sz w:val="22"/>
                  <w:szCs w:val="22"/>
                </w:rPr>
                <w:t xml:space="preserve">Neneh, B., 2020. Market orientation and performance: the contingency role of external environment. </w:t>
              </w:r>
              <w:r w:rsidRPr="00B24F9A">
                <w:rPr>
                  <w:rFonts w:ascii="Times New Roman" w:hAnsi="Times New Roman" w:cs="Times New Roman"/>
                  <w:i/>
                  <w:iCs/>
                  <w:noProof/>
                  <w:sz w:val="22"/>
                  <w:szCs w:val="22"/>
                </w:rPr>
                <w:t xml:space="preserve">Environmental Economics, </w:t>
              </w:r>
              <w:r w:rsidRPr="00B24F9A">
                <w:rPr>
                  <w:rFonts w:ascii="Times New Roman" w:hAnsi="Times New Roman" w:cs="Times New Roman"/>
                  <w:noProof/>
                  <w:sz w:val="22"/>
                  <w:szCs w:val="22"/>
                </w:rPr>
                <w:t>7(2), p. 130–137.</w:t>
              </w:r>
            </w:p>
            <w:p w14:paraId="4166C1CE" w14:textId="77777777" w:rsidR="00734073" w:rsidRPr="00B24F9A" w:rsidRDefault="00734073" w:rsidP="00734073">
              <w:pPr>
                <w:pStyle w:val="Bibliography"/>
                <w:rPr>
                  <w:rFonts w:ascii="Times New Roman" w:hAnsi="Times New Roman" w:cs="Times New Roman"/>
                  <w:noProof/>
                  <w:sz w:val="22"/>
                  <w:szCs w:val="22"/>
                </w:rPr>
              </w:pPr>
              <w:r w:rsidRPr="00B24F9A">
                <w:rPr>
                  <w:rFonts w:ascii="Times New Roman" w:hAnsi="Times New Roman" w:cs="Times New Roman"/>
                  <w:noProof/>
                  <w:sz w:val="22"/>
                  <w:szCs w:val="22"/>
                </w:rPr>
                <w:t xml:space="preserve">Oakshott, L., 2020. </w:t>
              </w:r>
              <w:r w:rsidRPr="00B24F9A">
                <w:rPr>
                  <w:rFonts w:ascii="Times New Roman" w:hAnsi="Times New Roman" w:cs="Times New Roman"/>
                  <w:i/>
                  <w:iCs/>
                  <w:noProof/>
                  <w:sz w:val="22"/>
                  <w:szCs w:val="22"/>
                </w:rPr>
                <w:t xml:space="preserve">Essential Quantitative Methods: for Business, Management and Finance. </w:t>
              </w:r>
              <w:r w:rsidRPr="00B24F9A">
                <w:rPr>
                  <w:rFonts w:ascii="Times New Roman" w:hAnsi="Times New Roman" w:cs="Times New Roman"/>
                  <w:noProof/>
                  <w:sz w:val="22"/>
                  <w:szCs w:val="22"/>
                </w:rPr>
                <w:t>London: Macmillan International.</w:t>
              </w:r>
            </w:p>
            <w:p w14:paraId="1E25E377" w14:textId="77777777" w:rsidR="00734073" w:rsidRPr="00B24F9A" w:rsidRDefault="00734073" w:rsidP="00734073">
              <w:pPr>
                <w:pStyle w:val="Bibliography"/>
                <w:rPr>
                  <w:rFonts w:ascii="Times New Roman" w:hAnsi="Times New Roman" w:cs="Times New Roman"/>
                  <w:noProof/>
                  <w:sz w:val="22"/>
                  <w:szCs w:val="22"/>
                </w:rPr>
              </w:pPr>
              <w:r w:rsidRPr="00B24F9A">
                <w:rPr>
                  <w:rFonts w:ascii="Times New Roman" w:hAnsi="Times New Roman" w:cs="Times New Roman"/>
                  <w:noProof/>
                  <w:sz w:val="22"/>
                  <w:szCs w:val="22"/>
                </w:rPr>
                <w:t xml:space="preserve">Palasciano, A., 2025. </w:t>
              </w:r>
              <w:r w:rsidRPr="00B24F9A">
                <w:rPr>
                  <w:rFonts w:ascii="Times New Roman" w:hAnsi="Times New Roman" w:cs="Times New Roman"/>
                  <w:i/>
                  <w:iCs/>
                  <w:noProof/>
                  <w:sz w:val="22"/>
                  <w:szCs w:val="22"/>
                </w:rPr>
                <w:t xml:space="preserve">What is net profit margin? Formula for calculation and examples. </w:t>
              </w:r>
              <w:r w:rsidRPr="00B24F9A">
                <w:rPr>
                  <w:rFonts w:ascii="Times New Roman" w:hAnsi="Times New Roman" w:cs="Times New Roman"/>
                  <w:noProof/>
                  <w:sz w:val="22"/>
                  <w:szCs w:val="22"/>
                </w:rPr>
                <w:t xml:space="preserve">[Online] </w:t>
              </w:r>
              <w:r w:rsidRPr="00B24F9A">
                <w:rPr>
                  <w:rFonts w:ascii="Times New Roman" w:hAnsi="Times New Roman" w:cs="Times New Roman"/>
                  <w:noProof/>
                  <w:sz w:val="22"/>
                  <w:szCs w:val="22"/>
                </w:rPr>
                <w:br/>
                <w:t xml:space="preserve">Available at: </w:t>
              </w:r>
              <w:r w:rsidRPr="00B24F9A">
                <w:rPr>
                  <w:rFonts w:ascii="Times New Roman" w:hAnsi="Times New Roman" w:cs="Times New Roman"/>
                  <w:noProof/>
                  <w:sz w:val="22"/>
                  <w:szCs w:val="22"/>
                  <w:u w:val="single"/>
                </w:rPr>
                <w:t>https://www.investopedia.com/terms/n/net_margin.asp</w:t>
              </w:r>
              <w:r w:rsidRPr="00B24F9A">
                <w:rPr>
                  <w:rFonts w:ascii="Times New Roman" w:hAnsi="Times New Roman" w:cs="Times New Roman"/>
                  <w:noProof/>
                  <w:sz w:val="22"/>
                  <w:szCs w:val="22"/>
                </w:rPr>
                <w:br/>
                <w:t>[Accessed 04 January 2026].</w:t>
              </w:r>
            </w:p>
            <w:p w14:paraId="2E9407BA" w14:textId="77777777" w:rsidR="00734073" w:rsidRPr="00B24F9A" w:rsidRDefault="00734073" w:rsidP="00734073">
              <w:pPr>
                <w:pStyle w:val="Bibliography"/>
                <w:rPr>
                  <w:rFonts w:ascii="Times New Roman" w:hAnsi="Times New Roman" w:cs="Times New Roman"/>
                  <w:noProof/>
                  <w:sz w:val="22"/>
                  <w:szCs w:val="22"/>
                </w:rPr>
              </w:pPr>
              <w:r w:rsidRPr="00B24F9A">
                <w:rPr>
                  <w:rFonts w:ascii="Times New Roman" w:hAnsi="Times New Roman" w:cs="Times New Roman"/>
                  <w:noProof/>
                  <w:sz w:val="22"/>
                  <w:szCs w:val="22"/>
                </w:rPr>
                <w:t xml:space="preserve">Palepu, K. &amp; Healy, P., 2020. </w:t>
              </w:r>
              <w:r w:rsidRPr="00B24F9A">
                <w:rPr>
                  <w:rFonts w:ascii="Times New Roman" w:hAnsi="Times New Roman" w:cs="Times New Roman"/>
                  <w:i/>
                  <w:iCs/>
                  <w:noProof/>
                  <w:sz w:val="22"/>
                  <w:szCs w:val="22"/>
                </w:rPr>
                <w:t xml:space="preserve">Business Analysis &amp; Valuation: Using Financial Statements. </w:t>
              </w:r>
              <w:r w:rsidRPr="00B24F9A">
                <w:rPr>
                  <w:rFonts w:ascii="Times New Roman" w:hAnsi="Times New Roman" w:cs="Times New Roman"/>
                  <w:noProof/>
                  <w:sz w:val="22"/>
                  <w:szCs w:val="22"/>
                </w:rPr>
                <w:t>Mason, OH: South-Western.</w:t>
              </w:r>
            </w:p>
            <w:p w14:paraId="7FF92696" w14:textId="77777777" w:rsidR="00734073" w:rsidRPr="00B24F9A" w:rsidRDefault="00734073" w:rsidP="00734073">
              <w:pPr>
                <w:pStyle w:val="Bibliography"/>
                <w:rPr>
                  <w:rFonts w:ascii="Times New Roman" w:hAnsi="Times New Roman" w:cs="Times New Roman"/>
                  <w:noProof/>
                  <w:sz w:val="22"/>
                  <w:szCs w:val="22"/>
                </w:rPr>
              </w:pPr>
              <w:r w:rsidRPr="00B24F9A">
                <w:rPr>
                  <w:rFonts w:ascii="Times New Roman" w:hAnsi="Times New Roman" w:cs="Times New Roman"/>
                  <w:noProof/>
                  <w:sz w:val="22"/>
                  <w:szCs w:val="22"/>
                </w:rPr>
                <w:t xml:space="preserve">Palmer, J., 2018. </w:t>
              </w:r>
              <w:r w:rsidRPr="00B24F9A">
                <w:rPr>
                  <w:rFonts w:ascii="Times New Roman" w:hAnsi="Times New Roman" w:cs="Times New Roman"/>
                  <w:i/>
                  <w:iCs/>
                  <w:noProof/>
                  <w:sz w:val="22"/>
                  <w:szCs w:val="22"/>
                </w:rPr>
                <w:t xml:space="preserve">Financial Ratio Analysis. </w:t>
              </w:r>
              <w:r w:rsidRPr="00B24F9A">
                <w:rPr>
                  <w:rFonts w:ascii="Times New Roman" w:hAnsi="Times New Roman" w:cs="Times New Roman"/>
                  <w:noProof/>
                  <w:sz w:val="22"/>
                  <w:szCs w:val="22"/>
                </w:rPr>
                <w:t>New York: American Institute of Certified Public Accountants.</w:t>
              </w:r>
            </w:p>
            <w:p w14:paraId="144A354B" w14:textId="77777777" w:rsidR="00734073" w:rsidRPr="00B24F9A" w:rsidRDefault="00734073" w:rsidP="00734073">
              <w:pPr>
                <w:pStyle w:val="Bibliography"/>
                <w:rPr>
                  <w:rFonts w:ascii="Times New Roman" w:hAnsi="Times New Roman" w:cs="Times New Roman"/>
                  <w:noProof/>
                  <w:sz w:val="22"/>
                  <w:szCs w:val="22"/>
                </w:rPr>
              </w:pPr>
              <w:r w:rsidRPr="00B24F9A">
                <w:rPr>
                  <w:rFonts w:ascii="Times New Roman" w:hAnsi="Times New Roman" w:cs="Times New Roman"/>
                  <w:noProof/>
                  <w:sz w:val="22"/>
                  <w:szCs w:val="22"/>
                </w:rPr>
                <w:t xml:space="preserve">Relph, G., 2015. </w:t>
              </w:r>
              <w:r w:rsidRPr="00B24F9A">
                <w:rPr>
                  <w:rFonts w:ascii="Times New Roman" w:hAnsi="Times New Roman" w:cs="Times New Roman"/>
                  <w:i/>
                  <w:iCs/>
                  <w:noProof/>
                  <w:sz w:val="22"/>
                  <w:szCs w:val="22"/>
                </w:rPr>
                <w:t xml:space="preserve">Inventory Management: Advanced Methods for Managing Inventory within Business Systems. </w:t>
              </w:r>
              <w:r w:rsidRPr="00B24F9A">
                <w:rPr>
                  <w:rFonts w:ascii="Times New Roman" w:hAnsi="Times New Roman" w:cs="Times New Roman"/>
                  <w:noProof/>
                  <w:sz w:val="22"/>
                  <w:szCs w:val="22"/>
                </w:rPr>
                <w:t>London: Kogan Page.</w:t>
              </w:r>
            </w:p>
            <w:p w14:paraId="7DEB27D4" w14:textId="77777777" w:rsidR="00734073" w:rsidRPr="00B24F9A" w:rsidRDefault="00734073" w:rsidP="00734073">
              <w:pPr>
                <w:pStyle w:val="Bibliography"/>
                <w:rPr>
                  <w:rFonts w:ascii="Times New Roman" w:hAnsi="Times New Roman" w:cs="Times New Roman"/>
                  <w:noProof/>
                  <w:sz w:val="22"/>
                  <w:szCs w:val="22"/>
                </w:rPr>
              </w:pPr>
              <w:r w:rsidRPr="00B24F9A">
                <w:rPr>
                  <w:rFonts w:ascii="Times New Roman" w:hAnsi="Times New Roman" w:cs="Times New Roman"/>
                  <w:noProof/>
                  <w:sz w:val="22"/>
                  <w:szCs w:val="22"/>
                </w:rPr>
                <w:t xml:space="preserve">Sanzo, R., 2005. </w:t>
              </w:r>
              <w:r w:rsidRPr="00B24F9A">
                <w:rPr>
                  <w:rFonts w:ascii="Times New Roman" w:hAnsi="Times New Roman" w:cs="Times New Roman"/>
                  <w:i/>
                  <w:iCs/>
                  <w:noProof/>
                  <w:sz w:val="22"/>
                  <w:szCs w:val="22"/>
                </w:rPr>
                <w:t xml:space="preserve">Ratio Analysis for Small Business. </w:t>
              </w:r>
              <w:r w:rsidRPr="00B24F9A">
                <w:rPr>
                  <w:rFonts w:ascii="Times New Roman" w:hAnsi="Times New Roman" w:cs="Times New Roman"/>
                  <w:noProof/>
                  <w:sz w:val="22"/>
                  <w:szCs w:val="22"/>
                </w:rPr>
                <w:t>New York: Books for Busines.</w:t>
              </w:r>
            </w:p>
            <w:p w14:paraId="4163E8F3" w14:textId="77777777" w:rsidR="00734073" w:rsidRPr="00B24F9A" w:rsidRDefault="00734073" w:rsidP="00734073">
              <w:pPr>
                <w:pStyle w:val="Bibliography"/>
                <w:rPr>
                  <w:rFonts w:ascii="Times New Roman" w:hAnsi="Times New Roman" w:cs="Times New Roman"/>
                  <w:noProof/>
                  <w:sz w:val="22"/>
                  <w:szCs w:val="22"/>
                </w:rPr>
              </w:pPr>
              <w:r w:rsidRPr="00B24F9A">
                <w:rPr>
                  <w:rFonts w:ascii="Times New Roman" w:hAnsi="Times New Roman" w:cs="Times New Roman"/>
                  <w:noProof/>
                  <w:sz w:val="22"/>
                  <w:szCs w:val="22"/>
                </w:rPr>
                <w:lastRenderedPageBreak/>
                <w:t xml:space="preserve">Schmidt, J., 2022. </w:t>
              </w:r>
              <w:r w:rsidRPr="00B24F9A">
                <w:rPr>
                  <w:rFonts w:ascii="Times New Roman" w:hAnsi="Times New Roman" w:cs="Times New Roman"/>
                  <w:i/>
                  <w:iCs/>
                  <w:noProof/>
                  <w:sz w:val="22"/>
                  <w:szCs w:val="22"/>
                </w:rPr>
                <w:t xml:space="preserve">Earnings Per Share Formula (EPS). </w:t>
              </w:r>
              <w:r w:rsidRPr="00B24F9A">
                <w:rPr>
                  <w:rFonts w:ascii="Times New Roman" w:hAnsi="Times New Roman" w:cs="Times New Roman"/>
                  <w:noProof/>
                  <w:sz w:val="22"/>
                  <w:szCs w:val="22"/>
                </w:rPr>
                <w:t xml:space="preserve">[Online] </w:t>
              </w:r>
              <w:r w:rsidRPr="00B24F9A">
                <w:rPr>
                  <w:rFonts w:ascii="Times New Roman" w:hAnsi="Times New Roman" w:cs="Times New Roman"/>
                  <w:noProof/>
                  <w:sz w:val="22"/>
                  <w:szCs w:val="22"/>
                </w:rPr>
                <w:br/>
                <w:t xml:space="preserve">Available at: </w:t>
              </w:r>
              <w:r w:rsidRPr="00B24F9A">
                <w:rPr>
                  <w:rFonts w:ascii="Times New Roman" w:hAnsi="Times New Roman" w:cs="Times New Roman"/>
                  <w:noProof/>
                  <w:sz w:val="22"/>
                  <w:szCs w:val="22"/>
                  <w:u w:val="single"/>
                </w:rPr>
                <w:t>https://corporatefinanceinstitute.com/resources/valuation/earnings-per-share-eps-formula/</w:t>
              </w:r>
              <w:r w:rsidRPr="00B24F9A">
                <w:rPr>
                  <w:rFonts w:ascii="Times New Roman" w:hAnsi="Times New Roman" w:cs="Times New Roman"/>
                  <w:noProof/>
                  <w:sz w:val="22"/>
                  <w:szCs w:val="22"/>
                </w:rPr>
                <w:br/>
                <w:t>[Accessed 29 December 2025].</w:t>
              </w:r>
            </w:p>
            <w:p w14:paraId="30EC92B6" w14:textId="77777777" w:rsidR="00734073" w:rsidRPr="00B24F9A" w:rsidRDefault="00734073" w:rsidP="00734073">
              <w:pPr>
                <w:pStyle w:val="Bibliography"/>
                <w:rPr>
                  <w:rFonts w:ascii="Times New Roman" w:hAnsi="Times New Roman" w:cs="Times New Roman"/>
                  <w:noProof/>
                  <w:sz w:val="22"/>
                  <w:szCs w:val="22"/>
                </w:rPr>
              </w:pPr>
              <w:r w:rsidRPr="00B24F9A">
                <w:rPr>
                  <w:rFonts w:ascii="Times New Roman" w:hAnsi="Times New Roman" w:cs="Times New Roman"/>
                  <w:noProof/>
                  <w:sz w:val="22"/>
                  <w:szCs w:val="22"/>
                </w:rPr>
                <w:t xml:space="preserve">Spring, D., 2018. </w:t>
              </w:r>
              <w:r w:rsidRPr="00B24F9A">
                <w:rPr>
                  <w:rFonts w:ascii="Times New Roman" w:hAnsi="Times New Roman" w:cs="Times New Roman"/>
                  <w:i/>
                  <w:iCs/>
                  <w:noProof/>
                  <w:sz w:val="22"/>
                  <w:szCs w:val="22"/>
                </w:rPr>
                <w:t xml:space="preserve">An Examination of NPV Regulation. </w:t>
              </w:r>
              <w:r w:rsidRPr="00B24F9A">
                <w:rPr>
                  <w:rFonts w:ascii="Times New Roman" w:hAnsi="Times New Roman" w:cs="Times New Roman"/>
                  <w:noProof/>
                  <w:sz w:val="22"/>
                  <w:szCs w:val="22"/>
                </w:rPr>
                <w:t>London: Chartered Institute of Public Finance &amp; Accountancy.</w:t>
              </w:r>
            </w:p>
            <w:p w14:paraId="7EC52130" w14:textId="77777777" w:rsidR="00734073" w:rsidRPr="00B24F9A" w:rsidRDefault="00734073" w:rsidP="00734073">
              <w:pPr>
                <w:pStyle w:val="Bibliography"/>
                <w:rPr>
                  <w:rFonts w:ascii="Times New Roman" w:hAnsi="Times New Roman" w:cs="Times New Roman"/>
                  <w:noProof/>
                  <w:sz w:val="22"/>
                  <w:szCs w:val="22"/>
                </w:rPr>
              </w:pPr>
              <w:r w:rsidRPr="00B24F9A">
                <w:rPr>
                  <w:rFonts w:ascii="Times New Roman" w:hAnsi="Times New Roman" w:cs="Times New Roman"/>
                  <w:noProof/>
                  <w:sz w:val="22"/>
                  <w:szCs w:val="22"/>
                </w:rPr>
                <w:t xml:space="preserve">Surridge, M., 2022. </w:t>
              </w:r>
              <w:r w:rsidRPr="00B24F9A">
                <w:rPr>
                  <w:rFonts w:ascii="Times New Roman" w:hAnsi="Times New Roman" w:cs="Times New Roman"/>
                  <w:i/>
                  <w:iCs/>
                  <w:noProof/>
                  <w:sz w:val="22"/>
                  <w:szCs w:val="22"/>
                </w:rPr>
                <w:t xml:space="preserve">The Business Environment. </w:t>
              </w:r>
              <w:r w:rsidRPr="00B24F9A">
                <w:rPr>
                  <w:rFonts w:ascii="Times New Roman" w:hAnsi="Times New Roman" w:cs="Times New Roman"/>
                  <w:noProof/>
                  <w:sz w:val="22"/>
                  <w:szCs w:val="22"/>
                </w:rPr>
                <w:t>London: Collins Educational.</w:t>
              </w:r>
            </w:p>
            <w:p w14:paraId="6B971CCE" w14:textId="77777777" w:rsidR="00734073" w:rsidRPr="00B24F9A" w:rsidRDefault="00734073" w:rsidP="00734073">
              <w:pPr>
                <w:pStyle w:val="Bibliography"/>
                <w:rPr>
                  <w:rFonts w:ascii="Times New Roman" w:hAnsi="Times New Roman" w:cs="Times New Roman"/>
                  <w:noProof/>
                  <w:sz w:val="22"/>
                  <w:szCs w:val="22"/>
                </w:rPr>
              </w:pPr>
              <w:r w:rsidRPr="00B24F9A">
                <w:rPr>
                  <w:rFonts w:ascii="Times New Roman" w:hAnsi="Times New Roman" w:cs="Times New Roman"/>
                  <w:noProof/>
                  <w:sz w:val="22"/>
                  <w:szCs w:val="22"/>
                </w:rPr>
                <w:t xml:space="preserve">Van Greuning, H., 2006. </w:t>
              </w:r>
              <w:r w:rsidRPr="00B24F9A">
                <w:rPr>
                  <w:rFonts w:ascii="Times New Roman" w:hAnsi="Times New Roman" w:cs="Times New Roman"/>
                  <w:i/>
                  <w:iCs/>
                  <w:noProof/>
                  <w:sz w:val="22"/>
                  <w:szCs w:val="22"/>
                </w:rPr>
                <w:t xml:space="preserve">International Financial Reporting Standards: A Practical Guide. </w:t>
              </w:r>
              <w:r w:rsidRPr="00B24F9A">
                <w:rPr>
                  <w:rFonts w:ascii="Times New Roman" w:hAnsi="Times New Roman" w:cs="Times New Roman"/>
                  <w:noProof/>
                  <w:sz w:val="22"/>
                  <w:szCs w:val="22"/>
                </w:rPr>
                <w:t>4 ed. Washington, DC: World Bank.</w:t>
              </w:r>
            </w:p>
            <w:p w14:paraId="1F38FA1B" w14:textId="77777777" w:rsidR="00734073" w:rsidRPr="00B24F9A" w:rsidRDefault="00734073" w:rsidP="00734073">
              <w:pPr>
                <w:pStyle w:val="Bibliography"/>
                <w:rPr>
                  <w:rFonts w:ascii="Times New Roman" w:hAnsi="Times New Roman" w:cs="Times New Roman"/>
                  <w:noProof/>
                  <w:sz w:val="22"/>
                  <w:szCs w:val="22"/>
                </w:rPr>
              </w:pPr>
              <w:r w:rsidRPr="00B24F9A">
                <w:rPr>
                  <w:rFonts w:ascii="Times New Roman" w:hAnsi="Times New Roman" w:cs="Times New Roman"/>
                  <w:noProof/>
                  <w:sz w:val="22"/>
                  <w:szCs w:val="22"/>
                </w:rPr>
                <w:t xml:space="preserve">Wright, D. &amp; Slaybaugh, C., 2020. </w:t>
              </w:r>
              <w:r w:rsidRPr="00B24F9A">
                <w:rPr>
                  <w:rFonts w:ascii="Times New Roman" w:hAnsi="Times New Roman" w:cs="Times New Roman"/>
                  <w:i/>
                  <w:iCs/>
                  <w:noProof/>
                  <w:sz w:val="22"/>
                  <w:szCs w:val="22"/>
                </w:rPr>
                <w:t xml:space="preserve">Inventory Management. </w:t>
              </w:r>
              <w:r w:rsidRPr="00B24F9A">
                <w:rPr>
                  <w:rFonts w:ascii="Times New Roman" w:hAnsi="Times New Roman" w:cs="Times New Roman"/>
                  <w:noProof/>
                  <w:sz w:val="22"/>
                  <w:szCs w:val="22"/>
                </w:rPr>
                <w:t>Wellington: New Zealand Society of Accountants.</w:t>
              </w:r>
            </w:p>
            <w:p w14:paraId="41E2B5B6" w14:textId="796FF226" w:rsidR="008428C1" w:rsidRDefault="008428C1" w:rsidP="00734073">
              <w:r w:rsidRPr="00B24F9A">
                <w:rPr>
                  <w:rFonts w:ascii="Times New Roman" w:hAnsi="Times New Roman" w:cs="Times New Roman"/>
                  <w:b/>
                  <w:bCs/>
                  <w:noProof/>
                  <w:sz w:val="22"/>
                  <w:szCs w:val="22"/>
                </w:rPr>
                <w:fldChar w:fldCharType="end"/>
              </w:r>
            </w:p>
          </w:sdtContent>
        </w:sdt>
      </w:sdtContent>
    </w:sdt>
    <w:p w14:paraId="0195FA00" w14:textId="77777777" w:rsidR="00AB6DD5" w:rsidRDefault="00AB6DD5" w:rsidP="00BF3296">
      <w:pPr>
        <w:spacing w:line="360" w:lineRule="auto"/>
        <w:jc w:val="both"/>
        <w:rPr>
          <w:rFonts w:ascii="Times New Roman" w:hAnsi="Times New Roman" w:cs="Times New Roman"/>
        </w:rPr>
      </w:pPr>
    </w:p>
    <w:p w14:paraId="2BE98010" w14:textId="15C953C7" w:rsidR="004363BB" w:rsidRDefault="004363BB" w:rsidP="004363BB">
      <w:pPr>
        <w:spacing w:after="0" w:line="240" w:lineRule="auto"/>
        <w:rPr>
          <w:rFonts w:ascii="Times New Roman" w:eastAsia="Times New Roman" w:hAnsi="Times New Roman" w:cs="Times New Roman"/>
          <w:kern w:val="0"/>
          <w:lang w:val="en-US"/>
          <w14:ligatures w14:val="none"/>
        </w:rPr>
      </w:pPr>
    </w:p>
    <w:p w14:paraId="0A755080" w14:textId="77777777" w:rsidR="008428C1" w:rsidRDefault="008428C1" w:rsidP="004363BB">
      <w:pPr>
        <w:spacing w:after="0" w:line="240" w:lineRule="auto"/>
        <w:rPr>
          <w:rFonts w:ascii="Times New Roman" w:eastAsia="Times New Roman" w:hAnsi="Times New Roman" w:cs="Times New Roman"/>
          <w:kern w:val="0"/>
          <w:lang w:val="en-US"/>
          <w14:ligatures w14:val="none"/>
        </w:rPr>
      </w:pPr>
    </w:p>
    <w:p w14:paraId="41849253" w14:textId="77777777" w:rsidR="008428C1" w:rsidRDefault="008428C1" w:rsidP="004363BB">
      <w:pPr>
        <w:spacing w:after="0" w:line="240" w:lineRule="auto"/>
        <w:rPr>
          <w:rFonts w:ascii="Times New Roman" w:eastAsia="Times New Roman" w:hAnsi="Times New Roman" w:cs="Times New Roman"/>
          <w:kern w:val="0"/>
          <w:lang w:val="en-US"/>
          <w14:ligatures w14:val="none"/>
        </w:rPr>
      </w:pPr>
    </w:p>
    <w:p w14:paraId="74BCB610" w14:textId="77777777" w:rsidR="008428C1" w:rsidRDefault="008428C1" w:rsidP="004363BB">
      <w:pPr>
        <w:spacing w:after="0" w:line="240" w:lineRule="auto"/>
        <w:rPr>
          <w:rFonts w:ascii="Times New Roman" w:eastAsia="Times New Roman" w:hAnsi="Times New Roman" w:cs="Times New Roman"/>
          <w:kern w:val="0"/>
          <w:lang w:val="en-US"/>
          <w14:ligatures w14:val="none"/>
        </w:rPr>
      </w:pPr>
    </w:p>
    <w:p w14:paraId="79530D3D" w14:textId="77777777" w:rsidR="008428C1" w:rsidRDefault="008428C1" w:rsidP="004363BB">
      <w:pPr>
        <w:spacing w:after="0" w:line="240" w:lineRule="auto"/>
        <w:rPr>
          <w:rFonts w:ascii="Times New Roman" w:eastAsia="Times New Roman" w:hAnsi="Times New Roman" w:cs="Times New Roman"/>
          <w:kern w:val="0"/>
          <w:lang w:val="en-US"/>
          <w14:ligatures w14:val="none"/>
        </w:rPr>
      </w:pPr>
    </w:p>
    <w:p w14:paraId="7DEAD188" w14:textId="77777777" w:rsidR="008428C1" w:rsidRDefault="008428C1" w:rsidP="004363BB">
      <w:pPr>
        <w:spacing w:after="0" w:line="240" w:lineRule="auto"/>
        <w:rPr>
          <w:rFonts w:ascii="Times New Roman" w:eastAsia="Times New Roman" w:hAnsi="Times New Roman" w:cs="Times New Roman"/>
          <w:kern w:val="0"/>
          <w:lang w:val="en-US"/>
          <w14:ligatures w14:val="none"/>
        </w:rPr>
      </w:pPr>
    </w:p>
    <w:p w14:paraId="1186D43F" w14:textId="77777777" w:rsidR="008428C1" w:rsidRDefault="008428C1" w:rsidP="004363BB">
      <w:pPr>
        <w:spacing w:after="0" w:line="240" w:lineRule="auto"/>
        <w:rPr>
          <w:rFonts w:ascii="Times New Roman" w:eastAsia="Times New Roman" w:hAnsi="Times New Roman" w:cs="Times New Roman"/>
          <w:kern w:val="0"/>
          <w:lang w:val="en-US"/>
          <w14:ligatures w14:val="none"/>
        </w:rPr>
      </w:pPr>
    </w:p>
    <w:p w14:paraId="362E9A54" w14:textId="77777777" w:rsidR="008428C1" w:rsidRDefault="008428C1" w:rsidP="004363BB">
      <w:pPr>
        <w:spacing w:after="0" w:line="240" w:lineRule="auto"/>
        <w:rPr>
          <w:rFonts w:ascii="Times New Roman" w:eastAsia="Times New Roman" w:hAnsi="Times New Roman" w:cs="Times New Roman"/>
          <w:kern w:val="0"/>
          <w:lang w:val="en-US"/>
          <w14:ligatures w14:val="none"/>
        </w:rPr>
      </w:pPr>
    </w:p>
    <w:p w14:paraId="0EEE3504" w14:textId="77777777" w:rsidR="008428C1" w:rsidRDefault="008428C1" w:rsidP="004363BB">
      <w:pPr>
        <w:spacing w:after="0" w:line="240" w:lineRule="auto"/>
        <w:rPr>
          <w:rFonts w:ascii="Times New Roman" w:eastAsia="Times New Roman" w:hAnsi="Times New Roman" w:cs="Times New Roman"/>
          <w:kern w:val="0"/>
          <w:lang w:val="en-US"/>
          <w14:ligatures w14:val="none"/>
        </w:rPr>
      </w:pPr>
    </w:p>
    <w:p w14:paraId="0839835D" w14:textId="77777777" w:rsidR="008428C1" w:rsidRDefault="008428C1" w:rsidP="004363BB">
      <w:pPr>
        <w:spacing w:after="0" w:line="240" w:lineRule="auto"/>
        <w:rPr>
          <w:rFonts w:ascii="Times New Roman" w:eastAsia="Times New Roman" w:hAnsi="Times New Roman" w:cs="Times New Roman"/>
          <w:kern w:val="0"/>
          <w:lang w:val="en-US"/>
          <w14:ligatures w14:val="none"/>
        </w:rPr>
      </w:pPr>
    </w:p>
    <w:p w14:paraId="0EB57AF3" w14:textId="77777777" w:rsidR="008428C1" w:rsidRDefault="008428C1" w:rsidP="004363BB">
      <w:pPr>
        <w:spacing w:after="0" w:line="240" w:lineRule="auto"/>
        <w:rPr>
          <w:rFonts w:ascii="Times New Roman" w:eastAsia="Times New Roman" w:hAnsi="Times New Roman" w:cs="Times New Roman"/>
          <w:kern w:val="0"/>
          <w:lang w:val="en-US"/>
          <w14:ligatures w14:val="none"/>
        </w:rPr>
      </w:pPr>
    </w:p>
    <w:p w14:paraId="4E114A88" w14:textId="77777777" w:rsidR="008428C1" w:rsidRDefault="008428C1" w:rsidP="004363BB">
      <w:pPr>
        <w:spacing w:after="0" w:line="240" w:lineRule="auto"/>
        <w:rPr>
          <w:rFonts w:ascii="Times New Roman" w:eastAsia="Times New Roman" w:hAnsi="Times New Roman" w:cs="Times New Roman"/>
          <w:kern w:val="0"/>
          <w:lang w:val="en-US"/>
          <w14:ligatures w14:val="none"/>
        </w:rPr>
      </w:pPr>
    </w:p>
    <w:p w14:paraId="291D1733" w14:textId="77777777" w:rsidR="008428C1" w:rsidRDefault="008428C1" w:rsidP="004363BB">
      <w:pPr>
        <w:spacing w:after="0" w:line="240" w:lineRule="auto"/>
        <w:rPr>
          <w:rFonts w:ascii="Times New Roman" w:eastAsia="Times New Roman" w:hAnsi="Times New Roman" w:cs="Times New Roman"/>
          <w:kern w:val="0"/>
          <w:lang w:val="en-US"/>
          <w14:ligatures w14:val="none"/>
        </w:rPr>
      </w:pPr>
    </w:p>
    <w:p w14:paraId="6518D394" w14:textId="77777777" w:rsidR="008428C1" w:rsidRDefault="008428C1" w:rsidP="004363BB">
      <w:pPr>
        <w:spacing w:after="0" w:line="240" w:lineRule="auto"/>
        <w:rPr>
          <w:rFonts w:ascii="Times New Roman" w:eastAsia="Times New Roman" w:hAnsi="Times New Roman" w:cs="Times New Roman"/>
          <w:kern w:val="0"/>
          <w:lang w:val="en-US"/>
          <w14:ligatures w14:val="none"/>
        </w:rPr>
      </w:pPr>
    </w:p>
    <w:p w14:paraId="5050C6C0" w14:textId="77777777" w:rsidR="008428C1" w:rsidRDefault="008428C1" w:rsidP="004363BB">
      <w:pPr>
        <w:spacing w:after="0" w:line="240" w:lineRule="auto"/>
        <w:rPr>
          <w:rFonts w:ascii="Times New Roman" w:eastAsia="Times New Roman" w:hAnsi="Times New Roman" w:cs="Times New Roman"/>
          <w:kern w:val="0"/>
          <w:lang w:val="en-US"/>
          <w14:ligatures w14:val="none"/>
        </w:rPr>
      </w:pPr>
    </w:p>
    <w:p w14:paraId="113F397F" w14:textId="77777777" w:rsidR="008428C1" w:rsidRDefault="008428C1" w:rsidP="004363BB">
      <w:pPr>
        <w:spacing w:after="0" w:line="240" w:lineRule="auto"/>
        <w:rPr>
          <w:rFonts w:ascii="Times New Roman" w:eastAsia="Times New Roman" w:hAnsi="Times New Roman" w:cs="Times New Roman"/>
          <w:kern w:val="0"/>
          <w:lang w:val="en-US"/>
          <w14:ligatures w14:val="none"/>
        </w:rPr>
      </w:pPr>
    </w:p>
    <w:p w14:paraId="6D8A21A6" w14:textId="77777777" w:rsidR="008428C1" w:rsidRDefault="008428C1" w:rsidP="004363BB">
      <w:pPr>
        <w:spacing w:after="0" w:line="240" w:lineRule="auto"/>
        <w:rPr>
          <w:rFonts w:ascii="Times New Roman" w:eastAsia="Times New Roman" w:hAnsi="Times New Roman" w:cs="Times New Roman"/>
          <w:kern w:val="0"/>
          <w:lang w:val="en-US"/>
          <w14:ligatures w14:val="none"/>
        </w:rPr>
      </w:pPr>
    </w:p>
    <w:p w14:paraId="2F58B3FA" w14:textId="77777777" w:rsidR="008428C1" w:rsidRDefault="008428C1" w:rsidP="004363BB">
      <w:pPr>
        <w:spacing w:after="0" w:line="240" w:lineRule="auto"/>
        <w:rPr>
          <w:rFonts w:ascii="Times New Roman" w:eastAsia="Times New Roman" w:hAnsi="Times New Roman" w:cs="Times New Roman"/>
          <w:kern w:val="0"/>
          <w:lang w:val="en-US"/>
          <w14:ligatures w14:val="none"/>
        </w:rPr>
      </w:pPr>
    </w:p>
    <w:p w14:paraId="2A9FD9FD" w14:textId="77777777" w:rsidR="008428C1" w:rsidRDefault="008428C1" w:rsidP="004363BB">
      <w:pPr>
        <w:spacing w:after="0" w:line="240" w:lineRule="auto"/>
        <w:rPr>
          <w:rFonts w:ascii="Times New Roman" w:eastAsia="Times New Roman" w:hAnsi="Times New Roman" w:cs="Times New Roman"/>
          <w:kern w:val="0"/>
          <w:lang w:val="en-US"/>
          <w14:ligatures w14:val="none"/>
        </w:rPr>
      </w:pPr>
    </w:p>
    <w:p w14:paraId="66EC934D" w14:textId="77777777" w:rsidR="008428C1" w:rsidRDefault="008428C1" w:rsidP="004363BB">
      <w:pPr>
        <w:spacing w:after="0" w:line="240" w:lineRule="auto"/>
        <w:rPr>
          <w:rFonts w:ascii="Times New Roman" w:eastAsia="Times New Roman" w:hAnsi="Times New Roman" w:cs="Times New Roman"/>
          <w:kern w:val="0"/>
          <w:lang w:val="en-US"/>
          <w14:ligatures w14:val="none"/>
        </w:rPr>
      </w:pPr>
    </w:p>
    <w:p w14:paraId="3836D145" w14:textId="77777777" w:rsidR="008428C1" w:rsidRDefault="008428C1" w:rsidP="004363BB">
      <w:pPr>
        <w:spacing w:after="0" w:line="240" w:lineRule="auto"/>
        <w:rPr>
          <w:rFonts w:ascii="Times New Roman" w:eastAsia="Times New Roman" w:hAnsi="Times New Roman" w:cs="Times New Roman"/>
          <w:kern w:val="0"/>
          <w:lang w:val="en-US"/>
          <w14:ligatures w14:val="none"/>
        </w:rPr>
      </w:pPr>
    </w:p>
    <w:p w14:paraId="525162A2" w14:textId="77777777" w:rsidR="008428C1" w:rsidRDefault="008428C1" w:rsidP="004363BB">
      <w:pPr>
        <w:spacing w:after="0" w:line="240" w:lineRule="auto"/>
        <w:rPr>
          <w:rFonts w:ascii="Times New Roman" w:eastAsia="Times New Roman" w:hAnsi="Times New Roman" w:cs="Times New Roman"/>
          <w:kern w:val="0"/>
          <w:lang w:val="en-US"/>
          <w14:ligatures w14:val="none"/>
        </w:rPr>
      </w:pPr>
    </w:p>
    <w:p w14:paraId="692D2A71" w14:textId="77777777" w:rsidR="00B24F9A" w:rsidRDefault="00B24F9A" w:rsidP="004363BB">
      <w:pPr>
        <w:spacing w:after="0" w:line="240" w:lineRule="auto"/>
        <w:rPr>
          <w:rFonts w:ascii="Times New Roman" w:eastAsia="Times New Roman" w:hAnsi="Times New Roman" w:cs="Times New Roman"/>
          <w:kern w:val="0"/>
          <w:lang w:val="en-US"/>
          <w14:ligatures w14:val="none"/>
        </w:rPr>
      </w:pPr>
    </w:p>
    <w:p w14:paraId="25D4BFB9" w14:textId="77777777" w:rsidR="00B24F9A" w:rsidRDefault="00B24F9A" w:rsidP="004363BB">
      <w:pPr>
        <w:spacing w:after="0" w:line="240" w:lineRule="auto"/>
        <w:rPr>
          <w:rFonts w:ascii="Times New Roman" w:eastAsia="Times New Roman" w:hAnsi="Times New Roman" w:cs="Times New Roman"/>
          <w:kern w:val="0"/>
          <w:lang w:val="en-US"/>
          <w14:ligatures w14:val="none"/>
        </w:rPr>
      </w:pPr>
    </w:p>
    <w:p w14:paraId="5F0F6D8E" w14:textId="77777777" w:rsidR="00B24F9A" w:rsidRPr="004363BB" w:rsidRDefault="00B24F9A" w:rsidP="004363BB">
      <w:pPr>
        <w:spacing w:after="0" w:line="240" w:lineRule="auto"/>
        <w:rPr>
          <w:rFonts w:ascii="Times New Roman" w:eastAsia="Times New Roman" w:hAnsi="Times New Roman" w:cs="Times New Roman"/>
          <w:kern w:val="0"/>
          <w:lang w:val="en-US"/>
          <w14:ligatures w14:val="none"/>
        </w:rPr>
      </w:pPr>
    </w:p>
    <w:p w14:paraId="2DC7CDA7" w14:textId="652946FF" w:rsidR="00023A03" w:rsidRDefault="004363BB" w:rsidP="00FE4D86">
      <w:pPr>
        <w:pStyle w:val="Heading1"/>
        <w:rPr>
          <w:rFonts w:eastAsia="Times New Roman"/>
          <w:lang w:val="en-US"/>
        </w:rPr>
      </w:pPr>
      <w:bookmarkStart w:id="50" w:name="_Toc218984768"/>
      <w:r w:rsidRPr="00AB6DD5">
        <w:rPr>
          <w:rFonts w:eastAsia="Times New Roman"/>
          <w:lang w:val="en-US"/>
        </w:rPr>
        <w:lastRenderedPageBreak/>
        <w:t>Appendix</w:t>
      </w:r>
      <w:bookmarkEnd w:id="50"/>
      <w:r w:rsidRPr="00AB6DD5">
        <w:rPr>
          <w:rFonts w:eastAsia="Times New Roman"/>
          <w:lang w:val="en-US"/>
        </w:rPr>
        <w:t xml:space="preserve"> </w:t>
      </w:r>
    </w:p>
    <w:p w14:paraId="37E2AF9E" w14:textId="169A053E" w:rsidR="004363BB" w:rsidRPr="00AB6DD5" w:rsidRDefault="00AB6DD5" w:rsidP="00023A03">
      <w:pPr>
        <w:pStyle w:val="Heading2"/>
        <w:rPr>
          <w:rFonts w:eastAsia="Times New Roman"/>
          <w:lang w:val="en-US"/>
        </w:rPr>
      </w:pPr>
      <w:bookmarkStart w:id="51" w:name="_Toc218984769"/>
      <w:r w:rsidRPr="00AB6DD5">
        <w:rPr>
          <w:rFonts w:eastAsia="Times New Roman"/>
          <w:lang w:val="en-US"/>
        </w:rPr>
        <w:t>Part 1</w:t>
      </w:r>
      <w:bookmarkEnd w:id="51"/>
    </w:p>
    <w:p w14:paraId="7F2074A6" w14:textId="5BA4A015" w:rsidR="00EE4FD9" w:rsidRPr="00AB6DD5" w:rsidRDefault="004363BB" w:rsidP="00EE4FD9">
      <w:pPr>
        <w:spacing w:before="100" w:beforeAutospacing="1" w:after="100" w:afterAutospacing="1" w:line="240" w:lineRule="auto"/>
        <w:jc w:val="both"/>
        <w:rPr>
          <w:rFonts w:ascii="Times New Roman" w:eastAsia="Times New Roman" w:hAnsi="Times New Roman" w:cs="Times New Roman"/>
          <w:b/>
          <w:bCs/>
          <w:kern w:val="0"/>
          <w:lang w:val="en-US"/>
          <w14:ligatures w14:val="none"/>
        </w:rPr>
      </w:pPr>
      <w:r w:rsidRPr="00AB6DD5">
        <w:rPr>
          <w:rFonts w:ascii="Times New Roman" w:eastAsia="Times New Roman" w:hAnsi="Times New Roman" w:cs="Times New Roman"/>
          <w:b/>
          <w:bCs/>
          <w:kern w:val="0"/>
          <w:lang w:val="en-US"/>
          <w14:ligatures w14:val="none"/>
        </w:rPr>
        <w:t xml:space="preserve">All amounts converted using €1 = £0.87. </w:t>
      </w:r>
    </w:p>
    <w:p w14:paraId="46C97A2A" w14:textId="77777777" w:rsidR="004F4B73" w:rsidRPr="004F4B73" w:rsidRDefault="004F4B73" w:rsidP="004F4B73">
      <w:pPr>
        <w:spacing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Gross Profit Margin</w:t>
      </w:r>
    </w:p>
    <w:p w14:paraId="3A608123" w14:textId="77777777" w:rsidR="004F4B73" w:rsidRPr="004F4B73" w:rsidRDefault="004F4B73" w:rsidP="004F4B73">
      <w:pPr>
        <w:spacing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Gross Margin = (Gross Profit / Net Sales Revenue) * 100</w:t>
      </w:r>
    </w:p>
    <w:tbl>
      <w:tblPr>
        <w:tblStyle w:val="TableGrid"/>
        <w:tblW w:w="0" w:type="auto"/>
        <w:tblLook w:val="04A0" w:firstRow="1" w:lastRow="0" w:firstColumn="1" w:lastColumn="0" w:noHBand="0" w:noVBand="1"/>
      </w:tblPr>
      <w:tblGrid>
        <w:gridCol w:w="2160"/>
        <w:gridCol w:w="2160"/>
        <w:gridCol w:w="2160"/>
        <w:gridCol w:w="2160"/>
      </w:tblGrid>
      <w:tr w:rsidR="004F4B73" w:rsidRPr="004F4B73" w14:paraId="71AB585A" w14:textId="77777777">
        <w:tc>
          <w:tcPr>
            <w:tcW w:w="2160" w:type="dxa"/>
            <w:tcBorders>
              <w:top w:val="single" w:sz="4" w:space="0" w:color="auto"/>
              <w:left w:val="single" w:sz="4" w:space="0" w:color="auto"/>
              <w:bottom w:val="single" w:sz="4" w:space="0" w:color="auto"/>
              <w:right w:val="single" w:sz="4" w:space="0" w:color="auto"/>
            </w:tcBorders>
            <w:hideMark/>
          </w:tcPr>
          <w:p w14:paraId="2346FA6D"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Year</w:t>
            </w:r>
          </w:p>
        </w:tc>
        <w:tc>
          <w:tcPr>
            <w:tcW w:w="2160" w:type="dxa"/>
            <w:tcBorders>
              <w:top w:val="single" w:sz="4" w:space="0" w:color="auto"/>
              <w:left w:val="single" w:sz="4" w:space="0" w:color="auto"/>
              <w:bottom w:val="single" w:sz="4" w:space="0" w:color="auto"/>
              <w:right w:val="single" w:sz="4" w:space="0" w:color="auto"/>
            </w:tcBorders>
            <w:hideMark/>
          </w:tcPr>
          <w:p w14:paraId="7501F1D9"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Gross Profit (£m)</w:t>
            </w:r>
          </w:p>
        </w:tc>
        <w:tc>
          <w:tcPr>
            <w:tcW w:w="2160" w:type="dxa"/>
            <w:tcBorders>
              <w:top w:val="single" w:sz="4" w:space="0" w:color="auto"/>
              <w:left w:val="single" w:sz="4" w:space="0" w:color="auto"/>
              <w:bottom w:val="single" w:sz="4" w:space="0" w:color="auto"/>
              <w:right w:val="single" w:sz="4" w:space="0" w:color="auto"/>
            </w:tcBorders>
            <w:hideMark/>
          </w:tcPr>
          <w:p w14:paraId="66A81242"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Net Sales Revenue (£m)</w:t>
            </w:r>
          </w:p>
        </w:tc>
        <w:tc>
          <w:tcPr>
            <w:tcW w:w="2160" w:type="dxa"/>
            <w:tcBorders>
              <w:top w:val="single" w:sz="4" w:space="0" w:color="auto"/>
              <w:left w:val="single" w:sz="4" w:space="0" w:color="auto"/>
              <w:bottom w:val="single" w:sz="4" w:space="0" w:color="auto"/>
              <w:right w:val="single" w:sz="4" w:space="0" w:color="auto"/>
            </w:tcBorders>
            <w:hideMark/>
          </w:tcPr>
          <w:p w14:paraId="58D154B4"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Gross Margin (%)</w:t>
            </w:r>
          </w:p>
        </w:tc>
      </w:tr>
      <w:tr w:rsidR="004F4B73" w:rsidRPr="004F4B73" w14:paraId="736F466C" w14:textId="77777777">
        <w:tc>
          <w:tcPr>
            <w:tcW w:w="2160" w:type="dxa"/>
            <w:tcBorders>
              <w:top w:val="single" w:sz="4" w:space="0" w:color="auto"/>
              <w:left w:val="single" w:sz="4" w:space="0" w:color="auto"/>
              <w:bottom w:val="single" w:sz="4" w:space="0" w:color="auto"/>
              <w:right w:val="single" w:sz="4" w:space="0" w:color="auto"/>
            </w:tcBorders>
            <w:hideMark/>
          </w:tcPr>
          <w:p w14:paraId="5569622A"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2023</w:t>
            </w:r>
          </w:p>
        </w:tc>
        <w:tc>
          <w:tcPr>
            <w:tcW w:w="2160" w:type="dxa"/>
            <w:tcBorders>
              <w:top w:val="single" w:sz="4" w:space="0" w:color="auto"/>
              <w:left w:val="single" w:sz="4" w:space="0" w:color="auto"/>
              <w:bottom w:val="single" w:sz="4" w:space="0" w:color="auto"/>
              <w:right w:val="single" w:sz="4" w:space="0" w:color="auto"/>
            </w:tcBorders>
            <w:hideMark/>
          </w:tcPr>
          <w:p w14:paraId="46E7CDA2"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3,094.9</w:t>
            </w:r>
          </w:p>
        </w:tc>
        <w:tc>
          <w:tcPr>
            <w:tcW w:w="2160" w:type="dxa"/>
            <w:tcBorders>
              <w:top w:val="single" w:sz="4" w:space="0" w:color="auto"/>
              <w:left w:val="single" w:sz="4" w:space="0" w:color="auto"/>
              <w:bottom w:val="single" w:sz="4" w:space="0" w:color="auto"/>
              <w:right w:val="single" w:sz="4" w:space="0" w:color="auto"/>
            </w:tcBorders>
            <w:hideMark/>
          </w:tcPr>
          <w:p w14:paraId="45C89AAA"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8,860.1</w:t>
            </w:r>
          </w:p>
        </w:tc>
        <w:tc>
          <w:tcPr>
            <w:tcW w:w="2160" w:type="dxa"/>
            <w:tcBorders>
              <w:top w:val="single" w:sz="4" w:space="0" w:color="auto"/>
              <w:left w:val="single" w:sz="4" w:space="0" w:color="auto"/>
              <w:bottom w:val="single" w:sz="4" w:space="0" w:color="auto"/>
              <w:right w:val="single" w:sz="4" w:space="0" w:color="auto"/>
            </w:tcBorders>
            <w:hideMark/>
          </w:tcPr>
          <w:p w14:paraId="3BE24B4B"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(3,094.9 / 8,860.1) * 100 = 34.93%</w:t>
            </w:r>
          </w:p>
        </w:tc>
      </w:tr>
      <w:tr w:rsidR="004F4B73" w:rsidRPr="004F4B73" w14:paraId="7F6A8020" w14:textId="77777777">
        <w:tc>
          <w:tcPr>
            <w:tcW w:w="2160" w:type="dxa"/>
            <w:tcBorders>
              <w:top w:val="single" w:sz="4" w:space="0" w:color="auto"/>
              <w:left w:val="single" w:sz="4" w:space="0" w:color="auto"/>
              <w:bottom w:val="single" w:sz="4" w:space="0" w:color="auto"/>
              <w:right w:val="single" w:sz="4" w:space="0" w:color="auto"/>
            </w:tcBorders>
            <w:hideMark/>
          </w:tcPr>
          <w:p w14:paraId="0EED96B2"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2024</w:t>
            </w:r>
          </w:p>
        </w:tc>
        <w:tc>
          <w:tcPr>
            <w:tcW w:w="2160" w:type="dxa"/>
            <w:tcBorders>
              <w:top w:val="single" w:sz="4" w:space="0" w:color="auto"/>
              <w:left w:val="single" w:sz="4" w:space="0" w:color="auto"/>
              <w:bottom w:val="single" w:sz="4" w:space="0" w:color="auto"/>
              <w:right w:val="single" w:sz="4" w:space="0" w:color="auto"/>
            </w:tcBorders>
            <w:hideMark/>
          </w:tcPr>
          <w:p w14:paraId="4BBAEF13"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3,373.4</w:t>
            </w:r>
          </w:p>
        </w:tc>
        <w:tc>
          <w:tcPr>
            <w:tcW w:w="2160" w:type="dxa"/>
            <w:tcBorders>
              <w:top w:val="single" w:sz="4" w:space="0" w:color="auto"/>
              <w:left w:val="single" w:sz="4" w:space="0" w:color="auto"/>
              <w:bottom w:val="single" w:sz="4" w:space="0" w:color="auto"/>
              <w:right w:val="single" w:sz="4" w:space="0" w:color="auto"/>
            </w:tcBorders>
            <w:hideMark/>
          </w:tcPr>
          <w:p w14:paraId="5D727F85"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9,356.3</w:t>
            </w:r>
          </w:p>
        </w:tc>
        <w:tc>
          <w:tcPr>
            <w:tcW w:w="2160" w:type="dxa"/>
            <w:tcBorders>
              <w:top w:val="single" w:sz="4" w:space="0" w:color="auto"/>
              <w:left w:val="single" w:sz="4" w:space="0" w:color="auto"/>
              <w:bottom w:val="single" w:sz="4" w:space="0" w:color="auto"/>
              <w:right w:val="single" w:sz="4" w:space="0" w:color="auto"/>
            </w:tcBorders>
            <w:hideMark/>
          </w:tcPr>
          <w:p w14:paraId="0C93066F"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(3,373.4 / 9,356.3) * 100 = 36.06%</w:t>
            </w:r>
          </w:p>
        </w:tc>
      </w:tr>
    </w:tbl>
    <w:p w14:paraId="33C2477C" w14:textId="77777777" w:rsidR="004F4B73" w:rsidRPr="004F4B73" w:rsidRDefault="004F4B73" w:rsidP="004F4B73">
      <w:pPr>
        <w:spacing w:line="360" w:lineRule="auto"/>
        <w:jc w:val="both"/>
        <w:rPr>
          <w:rFonts w:ascii="Times New Roman" w:eastAsia="Times New Roman" w:hAnsi="Times New Roman" w:cs="Times New Roman"/>
          <w:b/>
          <w:bCs/>
          <w:kern w:val="0"/>
          <w:lang w:val="en-US"/>
          <w14:ligatures w14:val="none"/>
        </w:rPr>
      </w:pPr>
    </w:p>
    <w:p w14:paraId="3F3D1D43" w14:textId="77777777" w:rsidR="004F4B73" w:rsidRPr="004F4B73" w:rsidRDefault="004F4B73" w:rsidP="004F4B73">
      <w:pPr>
        <w:spacing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Operating Profit Margin</w:t>
      </w:r>
    </w:p>
    <w:p w14:paraId="26987C8B" w14:textId="77777777" w:rsidR="004F4B73" w:rsidRPr="004F4B73" w:rsidRDefault="004F4B73" w:rsidP="004F4B73">
      <w:pPr>
        <w:spacing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Operating Margin = (EBIT / Revenue) * 100</w:t>
      </w:r>
    </w:p>
    <w:tbl>
      <w:tblPr>
        <w:tblStyle w:val="TableGrid"/>
        <w:tblW w:w="0" w:type="auto"/>
        <w:tblLook w:val="04A0" w:firstRow="1" w:lastRow="0" w:firstColumn="1" w:lastColumn="0" w:noHBand="0" w:noVBand="1"/>
      </w:tblPr>
      <w:tblGrid>
        <w:gridCol w:w="2160"/>
        <w:gridCol w:w="2160"/>
        <w:gridCol w:w="2160"/>
        <w:gridCol w:w="2160"/>
      </w:tblGrid>
      <w:tr w:rsidR="004F4B73" w:rsidRPr="004F4B73" w14:paraId="65CE6469" w14:textId="77777777">
        <w:tc>
          <w:tcPr>
            <w:tcW w:w="2160" w:type="dxa"/>
            <w:tcBorders>
              <w:top w:val="single" w:sz="4" w:space="0" w:color="auto"/>
              <w:left w:val="single" w:sz="4" w:space="0" w:color="auto"/>
              <w:bottom w:val="single" w:sz="4" w:space="0" w:color="auto"/>
              <w:right w:val="single" w:sz="4" w:space="0" w:color="auto"/>
            </w:tcBorders>
            <w:hideMark/>
          </w:tcPr>
          <w:p w14:paraId="42EE94DF"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Year</w:t>
            </w:r>
          </w:p>
        </w:tc>
        <w:tc>
          <w:tcPr>
            <w:tcW w:w="2160" w:type="dxa"/>
            <w:tcBorders>
              <w:top w:val="single" w:sz="4" w:space="0" w:color="auto"/>
              <w:left w:val="single" w:sz="4" w:space="0" w:color="auto"/>
              <w:bottom w:val="single" w:sz="4" w:space="0" w:color="auto"/>
              <w:right w:val="single" w:sz="4" w:space="0" w:color="auto"/>
            </w:tcBorders>
            <w:hideMark/>
          </w:tcPr>
          <w:p w14:paraId="55D20793"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EBIT (£m)</w:t>
            </w:r>
          </w:p>
        </w:tc>
        <w:tc>
          <w:tcPr>
            <w:tcW w:w="2160" w:type="dxa"/>
            <w:tcBorders>
              <w:top w:val="single" w:sz="4" w:space="0" w:color="auto"/>
              <w:left w:val="single" w:sz="4" w:space="0" w:color="auto"/>
              <w:bottom w:val="single" w:sz="4" w:space="0" w:color="auto"/>
              <w:right w:val="single" w:sz="4" w:space="0" w:color="auto"/>
            </w:tcBorders>
            <w:hideMark/>
          </w:tcPr>
          <w:p w14:paraId="75798710"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Revenue (£m)</w:t>
            </w:r>
          </w:p>
        </w:tc>
        <w:tc>
          <w:tcPr>
            <w:tcW w:w="2160" w:type="dxa"/>
            <w:tcBorders>
              <w:top w:val="single" w:sz="4" w:space="0" w:color="auto"/>
              <w:left w:val="single" w:sz="4" w:space="0" w:color="auto"/>
              <w:bottom w:val="single" w:sz="4" w:space="0" w:color="auto"/>
              <w:right w:val="single" w:sz="4" w:space="0" w:color="auto"/>
            </w:tcBorders>
            <w:hideMark/>
          </w:tcPr>
          <w:p w14:paraId="523F69E5"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Operating Margin (%)</w:t>
            </w:r>
          </w:p>
        </w:tc>
      </w:tr>
      <w:tr w:rsidR="004F4B73" w:rsidRPr="004F4B73" w14:paraId="7A3902F6" w14:textId="77777777">
        <w:tc>
          <w:tcPr>
            <w:tcW w:w="2160" w:type="dxa"/>
            <w:tcBorders>
              <w:top w:val="single" w:sz="4" w:space="0" w:color="auto"/>
              <w:left w:val="single" w:sz="4" w:space="0" w:color="auto"/>
              <w:bottom w:val="single" w:sz="4" w:space="0" w:color="auto"/>
              <w:right w:val="single" w:sz="4" w:space="0" w:color="auto"/>
            </w:tcBorders>
            <w:hideMark/>
          </w:tcPr>
          <w:p w14:paraId="39EEF167"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2023</w:t>
            </w:r>
          </w:p>
        </w:tc>
        <w:tc>
          <w:tcPr>
            <w:tcW w:w="2160" w:type="dxa"/>
            <w:tcBorders>
              <w:top w:val="single" w:sz="4" w:space="0" w:color="auto"/>
              <w:left w:val="single" w:sz="4" w:space="0" w:color="auto"/>
              <w:bottom w:val="single" w:sz="4" w:space="0" w:color="auto"/>
              <w:right w:val="single" w:sz="4" w:space="0" w:color="auto"/>
            </w:tcBorders>
            <w:hideMark/>
          </w:tcPr>
          <w:p w14:paraId="1EAFCD6B"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829.6</w:t>
            </w:r>
          </w:p>
        </w:tc>
        <w:tc>
          <w:tcPr>
            <w:tcW w:w="2160" w:type="dxa"/>
            <w:tcBorders>
              <w:top w:val="single" w:sz="4" w:space="0" w:color="auto"/>
              <w:left w:val="single" w:sz="4" w:space="0" w:color="auto"/>
              <w:bottom w:val="single" w:sz="4" w:space="0" w:color="auto"/>
              <w:right w:val="single" w:sz="4" w:space="0" w:color="auto"/>
            </w:tcBorders>
            <w:hideMark/>
          </w:tcPr>
          <w:p w14:paraId="596842E8"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8,860.1</w:t>
            </w:r>
          </w:p>
        </w:tc>
        <w:tc>
          <w:tcPr>
            <w:tcW w:w="2160" w:type="dxa"/>
            <w:tcBorders>
              <w:top w:val="single" w:sz="4" w:space="0" w:color="auto"/>
              <w:left w:val="single" w:sz="4" w:space="0" w:color="auto"/>
              <w:bottom w:val="single" w:sz="4" w:space="0" w:color="auto"/>
              <w:right w:val="single" w:sz="4" w:space="0" w:color="auto"/>
            </w:tcBorders>
            <w:hideMark/>
          </w:tcPr>
          <w:p w14:paraId="0FDBB199"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(829.6 / 8,860.1) * 100 = 9.36%</w:t>
            </w:r>
          </w:p>
        </w:tc>
      </w:tr>
      <w:tr w:rsidR="004F4B73" w:rsidRPr="004F4B73" w14:paraId="491DE1C1" w14:textId="77777777">
        <w:tc>
          <w:tcPr>
            <w:tcW w:w="2160" w:type="dxa"/>
            <w:tcBorders>
              <w:top w:val="single" w:sz="4" w:space="0" w:color="auto"/>
              <w:left w:val="single" w:sz="4" w:space="0" w:color="auto"/>
              <w:bottom w:val="single" w:sz="4" w:space="0" w:color="auto"/>
              <w:right w:val="single" w:sz="4" w:space="0" w:color="auto"/>
            </w:tcBorders>
            <w:hideMark/>
          </w:tcPr>
          <w:p w14:paraId="78338309"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2024</w:t>
            </w:r>
          </w:p>
        </w:tc>
        <w:tc>
          <w:tcPr>
            <w:tcW w:w="2160" w:type="dxa"/>
            <w:tcBorders>
              <w:top w:val="single" w:sz="4" w:space="0" w:color="auto"/>
              <w:left w:val="single" w:sz="4" w:space="0" w:color="auto"/>
              <w:bottom w:val="single" w:sz="4" w:space="0" w:color="auto"/>
              <w:right w:val="single" w:sz="4" w:space="0" w:color="auto"/>
            </w:tcBorders>
            <w:hideMark/>
          </w:tcPr>
          <w:p w14:paraId="6B36F138"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1,031.3</w:t>
            </w:r>
          </w:p>
        </w:tc>
        <w:tc>
          <w:tcPr>
            <w:tcW w:w="2160" w:type="dxa"/>
            <w:tcBorders>
              <w:top w:val="single" w:sz="4" w:space="0" w:color="auto"/>
              <w:left w:val="single" w:sz="4" w:space="0" w:color="auto"/>
              <w:bottom w:val="single" w:sz="4" w:space="0" w:color="auto"/>
              <w:right w:val="single" w:sz="4" w:space="0" w:color="auto"/>
            </w:tcBorders>
            <w:hideMark/>
          </w:tcPr>
          <w:p w14:paraId="35D0E269"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9,356.3</w:t>
            </w:r>
          </w:p>
        </w:tc>
        <w:tc>
          <w:tcPr>
            <w:tcW w:w="2160" w:type="dxa"/>
            <w:tcBorders>
              <w:top w:val="single" w:sz="4" w:space="0" w:color="auto"/>
              <w:left w:val="single" w:sz="4" w:space="0" w:color="auto"/>
              <w:bottom w:val="single" w:sz="4" w:space="0" w:color="auto"/>
              <w:right w:val="single" w:sz="4" w:space="0" w:color="auto"/>
            </w:tcBorders>
            <w:hideMark/>
          </w:tcPr>
          <w:p w14:paraId="298AB3BB"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(1,031.3 / 9,356.3) * 100 = 11.02%</w:t>
            </w:r>
          </w:p>
        </w:tc>
      </w:tr>
    </w:tbl>
    <w:p w14:paraId="1A6A7445" w14:textId="77777777" w:rsidR="004F4B73" w:rsidRPr="004F4B73" w:rsidRDefault="004F4B73" w:rsidP="004F4B73">
      <w:pPr>
        <w:spacing w:line="360" w:lineRule="auto"/>
        <w:jc w:val="both"/>
        <w:rPr>
          <w:rFonts w:ascii="Times New Roman" w:eastAsia="Times New Roman" w:hAnsi="Times New Roman" w:cs="Times New Roman"/>
          <w:b/>
          <w:bCs/>
          <w:kern w:val="0"/>
          <w:lang w:val="en-US"/>
          <w14:ligatures w14:val="none"/>
        </w:rPr>
      </w:pPr>
    </w:p>
    <w:p w14:paraId="00FB35AA" w14:textId="77777777" w:rsidR="004F4B73" w:rsidRPr="004F4B73" w:rsidRDefault="004F4B73" w:rsidP="004F4B73">
      <w:pPr>
        <w:spacing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Net Profit Margin</w:t>
      </w:r>
    </w:p>
    <w:p w14:paraId="40466FE2" w14:textId="77777777" w:rsidR="004F4B73" w:rsidRPr="004F4B73" w:rsidRDefault="004F4B73" w:rsidP="004F4B73">
      <w:pPr>
        <w:spacing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Net Margin = (Net Profit / Revenue) * 100</w:t>
      </w:r>
    </w:p>
    <w:tbl>
      <w:tblPr>
        <w:tblStyle w:val="TableGrid"/>
        <w:tblW w:w="0" w:type="auto"/>
        <w:tblLook w:val="04A0" w:firstRow="1" w:lastRow="0" w:firstColumn="1" w:lastColumn="0" w:noHBand="0" w:noVBand="1"/>
      </w:tblPr>
      <w:tblGrid>
        <w:gridCol w:w="2160"/>
        <w:gridCol w:w="2160"/>
        <w:gridCol w:w="2160"/>
        <w:gridCol w:w="2160"/>
      </w:tblGrid>
      <w:tr w:rsidR="004F4B73" w:rsidRPr="004F4B73" w14:paraId="71B1C184" w14:textId="77777777">
        <w:tc>
          <w:tcPr>
            <w:tcW w:w="2160" w:type="dxa"/>
            <w:tcBorders>
              <w:top w:val="single" w:sz="4" w:space="0" w:color="auto"/>
              <w:left w:val="single" w:sz="4" w:space="0" w:color="auto"/>
              <w:bottom w:val="single" w:sz="4" w:space="0" w:color="auto"/>
              <w:right w:val="single" w:sz="4" w:space="0" w:color="auto"/>
            </w:tcBorders>
            <w:hideMark/>
          </w:tcPr>
          <w:p w14:paraId="693F029F"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lastRenderedPageBreak/>
              <w:t>Year</w:t>
            </w:r>
          </w:p>
        </w:tc>
        <w:tc>
          <w:tcPr>
            <w:tcW w:w="2160" w:type="dxa"/>
            <w:tcBorders>
              <w:top w:val="single" w:sz="4" w:space="0" w:color="auto"/>
              <w:left w:val="single" w:sz="4" w:space="0" w:color="auto"/>
              <w:bottom w:val="single" w:sz="4" w:space="0" w:color="auto"/>
              <w:right w:val="single" w:sz="4" w:space="0" w:color="auto"/>
            </w:tcBorders>
            <w:hideMark/>
          </w:tcPr>
          <w:p w14:paraId="31548B0B"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Net Profit (£m)</w:t>
            </w:r>
          </w:p>
        </w:tc>
        <w:tc>
          <w:tcPr>
            <w:tcW w:w="2160" w:type="dxa"/>
            <w:tcBorders>
              <w:top w:val="single" w:sz="4" w:space="0" w:color="auto"/>
              <w:left w:val="single" w:sz="4" w:space="0" w:color="auto"/>
              <w:bottom w:val="single" w:sz="4" w:space="0" w:color="auto"/>
              <w:right w:val="single" w:sz="4" w:space="0" w:color="auto"/>
            </w:tcBorders>
            <w:hideMark/>
          </w:tcPr>
          <w:p w14:paraId="1366F373"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Revenue (£m)</w:t>
            </w:r>
          </w:p>
        </w:tc>
        <w:tc>
          <w:tcPr>
            <w:tcW w:w="2160" w:type="dxa"/>
            <w:tcBorders>
              <w:top w:val="single" w:sz="4" w:space="0" w:color="auto"/>
              <w:left w:val="single" w:sz="4" w:space="0" w:color="auto"/>
              <w:bottom w:val="single" w:sz="4" w:space="0" w:color="auto"/>
              <w:right w:val="single" w:sz="4" w:space="0" w:color="auto"/>
            </w:tcBorders>
            <w:hideMark/>
          </w:tcPr>
          <w:p w14:paraId="6F963D12"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Net Margin (%)</w:t>
            </w:r>
          </w:p>
        </w:tc>
      </w:tr>
      <w:tr w:rsidR="004F4B73" w:rsidRPr="004F4B73" w14:paraId="63A59A4B" w14:textId="77777777">
        <w:tc>
          <w:tcPr>
            <w:tcW w:w="2160" w:type="dxa"/>
            <w:tcBorders>
              <w:top w:val="single" w:sz="4" w:space="0" w:color="auto"/>
              <w:left w:val="single" w:sz="4" w:space="0" w:color="auto"/>
              <w:bottom w:val="single" w:sz="4" w:space="0" w:color="auto"/>
              <w:right w:val="single" w:sz="4" w:space="0" w:color="auto"/>
            </w:tcBorders>
            <w:hideMark/>
          </w:tcPr>
          <w:p w14:paraId="4B59C709"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2023</w:t>
            </w:r>
          </w:p>
        </w:tc>
        <w:tc>
          <w:tcPr>
            <w:tcW w:w="2160" w:type="dxa"/>
            <w:tcBorders>
              <w:top w:val="single" w:sz="4" w:space="0" w:color="auto"/>
              <w:left w:val="single" w:sz="4" w:space="0" w:color="auto"/>
              <w:bottom w:val="single" w:sz="4" w:space="0" w:color="auto"/>
              <w:right w:val="single" w:sz="4" w:space="0" w:color="auto"/>
            </w:tcBorders>
            <w:hideMark/>
          </w:tcPr>
          <w:p w14:paraId="4E357544"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553.1</w:t>
            </w:r>
          </w:p>
        </w:tc>
        <w:tc>
          <w:tcPr>
            <w:tcW w:w="2160" w:type="dxa"/>
            <w:tcBorders>
              <w:top w:val="single" w:sz="4" w:space="0" w:color="auto"/>
              <w:left w:val="single" w:sz="4" w:space="0" w:color="auto"/>
              <w:bottom w:val="single" w:sz="4" w:space="0" w:color="auto"/>
              <w:right w:val="single" w:sz="4" w:space="0" w:color="auto"/>
            </w:tcBorders>
            <w:hideMark/>
          </w:tcPr>
          <w:p w14:paraId="73E0991A"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8,860.1</w:t>
            </w:r>
          </w:p>
        </w:tc>
        <w:tc>
          <w:tcPr>
            <w:tcW w:w="2160" w:type="dxa"/>
            <w:tcBorders>
              <w:top w:val="single" w:sz="4" w:space="0" w:color="auto"/>
              <w:left w:val="single" w:sz="4" w:space="0" w:color="auto"/>
              <w:bottom w:val="single" w:sz="4" w:space="0" w:color="auto"/>
              <w:right w:val="single" w:sz="4" w:space="0" w:color="auto"/>
            </w:tcBorders>
            <w:hideMark/>
          </w:tcPr>
          <w:p w14:paraId="0A5E6DC3"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(553.1 / 8,860.1) * 100 = 6.24%</w:t>
            </w:r>
          </w:p>
        </w:tc>
      </w:tr>
      <w:tr w:rsidR="004F4B73" w:rsidRPr="004F4B73" w14:paraId="09670ACD" w14:textId="77777777">
        <w:tc>
          <w:tcPr>
            <w:tcW w:w="2160" w:type="dxa"/>
            <w:tcBorders>
              <w:top w:val="single" w:sz="4" w:space="0" w:color="auto"/>
              <w:left w:val="single" w:sz="4" w:space="0" w:color="auto"/>
              <w:bottom w:val="single" w:sz="4" w:space="0" w:color="auto"/>
              <w:right w:val="single" w:sz="4" w:space="0" w:color="auto"/>
            </w:tcBorders>
            <w:hideMark/>
          </w:tcPr>
          <w:p w14:paraId="631D21E2"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2024</w:t>
            </w:r>
          </w:p>
        </w:tc>
        <w:tc>
          <w:tcPr>
            <w:tcW w:w="2160" w:type="dxa"/>
            <w:tcBorders>
              <w:top w:val="single" w:sz="4" w:space="0" w:color="auto"/>
              <w:left w:val="single" w:sz="4" w:space="0" w:color="auto"/>
              <w:bottom w:val="single" w:sz="4" w:space="0" w:color="auto"/>
              <w:right w:val="single" w:sz="4" w:space="0" w:color="auto"/>
            </w:tcBorders>
            <w:hideMark/>
          </w:tcPr>
          <w:p w14:paraId="6FA9D7DB"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713.1</w:t>
            </w:r>
          </w:p>
        </w:tc>
        <w:tc>
          <w:tcPr>
            <w:tcW w:w="2160" w:type="dxa"/>
            <w:tcBorders>
              <w:top w:val="single" w:sz="4" w:space="0" w:color="auto"/>
              <w:left w:val="single" w:sz="4" w:space="0" w:color="auto"/>
              <w:bottom w:val="single" w:sz="4" w:space="0" w:color="auto"/>
              <w:right w:val="single" w:sz="4" w:space="0" w:color="auto"/>
            </w:tcBorders>
            <w:hideMark/>
          </w:tcPr>
          <w:p w14:paraId="61CAD6F4"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9,356.3</w:t>
            </w:r>
          </w:p>
        </w:tc>
        <w:tc>
          <w:tcPr>
            <w:tcW w:w="2160" w:type="dxa"/>
            <w:tcBorders>
              <w:top w:val="single" w:sz="4" w:space="0" w:color="auto"/>
              <w:left w:val="single" w:sz="4" w:space="0" w:color="auto"/>
              <w:bottom w:val="single" w:sz="4" w:space="0" w:color="auto"/>
              <w:right w:val="single" w:sz="4" w:space="0" w:color="auto"/>
            </w:tcBorders>
            <w:hideMark/>
          </w:tcPr>
          <w:p w14:paraId="3DA54C25"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(713.1 / 9,356.3) * 100 = 7.62%</w:t>
            </w:r>
          </w:p>
        </w:tc>
      </w:tr>
    </w:tbl>
    <w:p w14:paraId="51160867" w14:textId="77777777" w:rsidR="004F4B73" w:rsidRPr="004F4B73" w:rsidRDefault="004F4B73" w:rsidP="004F4B73">
      <w:pPr>
        <w:spacing w:line="360" w:lineRule="auto"/>
        <w:jc w:val="both"/>
        <w:rPr>
          <w:rFonts w:ascii="Times New Roman" w:eastAsia="Times New Roman" w:hAnsi="Times New Roman" w:cs="Times New Roman"/>
          <w:b/>
          <w:bCs/>
          <w:kern w:val="0"/>
          <w:lang w:val="en-US"/>
          <w14:ligatures w14:val="none"/>
        </w:rPr>
      </w:pPr>
    </w:p>
    <w:p w14:paraId="554D3E85" w14:textId="77777777" w:rsidR="004F4B73" w:rsidRPr="004F4B73" w:rsidRDefault="004F4B73" w:rsidP="004F4B73">
      <w:pPr>
        <w:spacing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Return on Capital Employed (ROCE)</w:t>
      </w:r>
    </w:p>
    <w:p w14:paraId="0F644BC3" w14:textId="77777777" w:rsidR="004F4B73" w:rsidRPr="004F4B73" w:rsidRDefault="004F4B73" w:rsidP="004F4B73">
      <w:pPr>
        <w:spacing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ROCE = (PBIT / (Total Assets – Current Liabilities)) * 100</w:t>
      </w:r>
    </w:p>
    <w:tbl>
      <w:tblPr>
        <w:tblStyle w:val="TableGrid"/>
        <w:tblW w:w="0" w:type="auto"/>
        <w:tblLook w:val="04A0" w:firstRow="1" w:lastRow="0" w:firstColumn="1" w:lastColumn="0" w:noHBand="0" w:noVBand="1"/>
      </w:tblPr>
      <w:tblGrid>
        <w:gridCol w:w="1728"/>
        <w:gridCol w:w="1728"/>
        <w:gridCol w:w="1728"/>
        <w:gridCol w:w="1728"/>
        <w:gridCol w:w="1728"/>
      </w:tblGrid>
      <w:tr w:rsidR="004F4B73" w:rsidRPr="004F4B73" w14:paraId="444F2536" w14:textId="77777777">
        <w:tc>
          <w:tcPr>
            <w:tcW w:w="1728" w:type="dxa"/>
            <w:tcBorders>
              <w:top w:val="single" w:sz="4" w:space="0" w:color="auto"/>
              <w:left w:val="single" w:sz="4" w:space="0" w:color="auto"/>
              <w:bottom w:val="single" w:sz="4" w:space="0" w:color="auto"/>
              <w:right w:val="single" w:sz="4" w:space="0" w:color="auto"/>
            </w:tcBorders>
            <w:hideMark/>
          </w:tcPr>
          <w:p w14:paraId="15BB2A58"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Year</w:t>
            </w:r>
          </w:p>
        </w:tc>
        <w:tc>
          <w:tcPr>
            <w:tcW w:w="1728" w:type="dxa"/>
            <w:tcBorders>
              <w:top w:val="single" w:sz="4" w:space="0" w:color="auto"/>
              <w:left w:val="single" w:sz="4" w:space="0" w:color="auto"/>
              <w:bottom w:val="single" w:sz="4" w:space="0" w:color="auto"/>
              <w:right w:val="single" w:sz="4" w:space="0" w:color="auto"/>
            </w:tcBorders>
            <w:hideMark/>
          </w:tcPr>
          <w:p w14:paraId="485435C7"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PBIT (£m)</w:t>
            </w:r>
          </w:p>
        </w:tc>
        <w:tc>
          <w:tcPr>
            <w:tcW w:w="1728" w:type="dxa"/>
            <w:tcBorders>
              <w:top w:val="single" w:sz="4" w:space="0" w:color="auto"/>
              <w:left w:val="single" w:sz="4" w:space="0" w:color="auto"/>
              <w:bottom w:val="single" w:sz="4" w:space="0" w:color="auto"/>
              <w:right w:val="single" w:sz="4" w:space="0" w:color="auto"/>
            </w:tcBorders>
            <w:hideMark/>
          </w:tcPr>
          <w:p w14:paraId="619FFBE4"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Total Assets (£m)</w:t>
            </w:r>
          </w:p>
        </w:tc>
        <w:tc>
          <w:tcPr>
            <w:tcW w:w="1728" w:type="dxa"/>
            <w:tcBorders>
              <w:top w:val="single" w:sz="4" w:space="0" w:color="auto"/>
              <w:left w:val="single" w:sz="4" w:space="0" w:color="auto"/>
              <w:bottom w:val="single" w:sz="4" w:space="0" w:color="auto"/>
              <w:right w:val="single" w:sz="4" w:space="0" w:color="auto"/>
            </w:tcBorders>
            <w:hideMark/>
          </w:tcPr>
          <w:p w14:paraId="518F498C"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Current Liabilities (£m)</w:t>
            </w:r>
          </w:p>
        </w:tc>
        <w:tc>
          <w:tcPr>
            <w:tcW w:w="1728" w:type="dxa"/>
            <w:tcBorders>
              <w:top w:val="single" w:sz="4" w:space="0" w:color="auto"/>
              <w:left w:val="single" w:sz="4" w:space="0" w:color="auto"/>
              <w:bottom w:val="single" w:sz="4" w:space="0" w:color="auto"/>
              <w:right w:val="single" w:sz="4" w:space="0" w:color="auto"/>
            </w:tcBorders>
            <w:hideMark/>
          </w:tcPr>
          <w:p w14:paraId="01055309"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ROCE (%)</w:t>
            </w:r>
          </w:p>
        </w:tc>
      </w:tr>
      <w:tr w:rsidR="004F4B73" w:rsidRPr="004F4B73" w14:paraId="783C5F63" w14:textId="77777777">
        <w:tc>
          <w:tcPr>
            <w:tcW w:w="1728" w:type="dxa"/>
            <w:tcBorders>
              <w:top w:val="single" w:sz="4" w:space="0" w:color="auto"/>
              <w:left w:val="single" w:sz="4" w:space="0" w:color="auto"/>
              <w:bottom w:val="single" w:sz="4" w:space="0" w:color="auto"/>
              <w:right w:val="single" w:sz="4" w:space="0" w:color="auto"/>
            </w:tcBorders>
            <w:hideMark/>
          </w:tcPr>
          <w:p w14:paraId="2B535127"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2023</w:t>
            </w:r>
          </w:p>
        </w:tc>
        <w:tc>
          <w:tcPr>
            <w:tcW w:w="1728" w:type="dxa"/>
            <w:tcBorders>
              <w:top w:val="single" w:sz="4" w:space="0" w:color="auto"/>
              <w:left w:val="single" w:sz="4" w:space="0" w:color="auto"/>
              <w:bottom w:val="single" w:sz="4" w:space="0" w:color="auto"/>
              <w:right w:val="single" w:sz="4" w:space="0" w:color="auto"/>
            </w:tcBorders>
            <w:hideMark/>
          </w:tcPr>
          <w:p w14:paraId="365CFD84"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792.0</w:t>
            </w:r>
          </w:p>
        </w:tc>
        <w:tc>
          <w:tcPr>
            <w:tcW w:w="1728" w:type="dxa"/>
            <w:tcBorders>
              <w:top w:val="single" w:sz="4" w:space="0" w:color="auto"/>
              <w:left w:val="single" w:sz="4" w:space="0" w:color="auto"/>
              <w:bottom w:val="single" w:sz="4" w:space="0" w:color="auto"/>
              <w:right w:val="single" w:sz="4" w:space="0" w:color="auto"/>
            </w:tcBorders>
            <w:hideMark/>
          </w:tcPr>
          <w:p w14:paraId="28767B35"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8,596.3</w:t>
            </w:r>
          </w:p>
        </w:tc>
        <w:tc>
          <w:tcPr>
            <w:tcW w:w="1728" w:type="dxa"/>
            <w:tcBorders>
              <w:top w:val="single" w:sz="4" w:space="0" w:color="auto"/>
              <w:left w:val="single" w:sz="4" w:space="0" w:color="auto"/>
              <w:bottom w:val="single" w:sz="4" w:space="0" w:color="auto"/>
              <w:right w:val="single" w:sz="4" w:space="0" w:color="auto"/>
            </w:tcBorders>
            <w:hideMark/>
          </w:tcPr>
          <w:p w14:paraId="64617A51"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3,347.2</w:t>
            </w:r>
          </w:p>
        </w:tc>
        <w:tc>
          <w:tcPr>
            <w:tcW w:w="1728" w:type="dxa"/>
            <w:tcBorders>
              <w:top w:val="single" w:sz="4" w:space="0" w:color="auto"/>
              <w:left w:val="single" w:sz="4" w:space="0" w:color="auto"/>
              <w:bottom w:val="single" w:sz="4" w:space="0" w:color="auto"/>
              <w:right w:val="single" w:sz="4" w:space="0" w:color="auto"/>
            </w:tcBorders>
            <w:hideMark/>
          </w:tcPr>
          <w:p w14:paraId="0A9E5C02"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792.0 / (8,596.3 – 3,347.2) * 100 = 15.09%</w:t>
            </w:r>
          </w:p>
        </w:tc>
      </w:tr>
      <w:tr w:rsidR="004F4B73" w:rsidRPr="004F4B73" w14:paraId="54F92A10" w14:textId="77777777">
        <w:tc>
          <w:tcPr>
            <w:tcW w:w="1728" w:type="dxa"/>
            <w:tcBorders>
              <w:top w:val="single" w:sz="4" w:space="0" w:color="auto"/>
              <w:left w:val="single" w:sz="4" w:space="0" w:color="auto"/>
              <w:bottom w:val="single" w:sz="4" w:space="0" w:color="auto"/>
              <w:right w:val="single" w:sz="4" w:space="0" w:color="auto"/>
            </w:tcBorders>
            <w:hideMark/>
          </w:tcPr>
          <w:p w14:paraId="3F244EAD"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2024</w:t>
            </w:r>
          </w:p>
        </w:tc>
        <w:tc>
          <w:tcPr>
            <w:tcW w:w="1728" w:type="dxa"/>
            <w:tcBorders>
              <w:top w:val="single" w:sz="4" w:space="0" w:color="auto"/>
              <w:left w:val="single" w:sz="4" w:space="0" w:color="auto"/>
              <w:bottom w:val="single" w:sz="4" w:space="0" w:color="auto"/>
              <w:right w:val="single" w:sz="4" w:space="0" w:color="auto"/>
            </w:tcBorders>
            <w:hideMark/>
          </w:tcPr>
          <w:p w14:paraId="6EEB2A79"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981.4</w:t>
            </w:r>
          </w:p>
        </w:tc>
        <w:tc>
          <w:tcPr>
            <w:tcW w:w="1728" w:type="dxa"/>
            <w:tcBorders>
              <w:top w:val="single" w:sz="4" w:space="0" w:color="auto"/>
              <w:left w:val="single" w:sz="4" w:space="0" w:color="auto"/>
              <w:bottom w:val="single" w:sz="4" w:space="0" w:color="auto"/>
              <w:right w:val="single" w:sz="4" w:space="0" w:color="auto"/>
            </w:tcBorders>
            <w:hideMark/>
          </w:tcPr>
          <w:p w14:paraId="4EC945D0"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9,268.7</w:t>
            </w:r>
          </w:p>
        </w:tc>
        <w:tc>
          <w:tcPr>
            <w:tcW w:w="1728" w:type="dxa"/>
            <w:tcBorders>
              <w:top w:val="single" w:sz="4" w:space="0" w:color="auto"/>
              <w:left w:val="single" w:sz="4" w:space="0" w:color="auto"/>
              <w:bottom w:val="single" w:sz="4" w:space="0" w:color="auto"/>
              <w:right w:val="single" w:sz="4" w:space="0" w:color="auto"/>
            </w:tcBorders>
            <w:hideMark/>
          </w:tcPr>
          <w:p w14:paraId="1A881F19"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3,733.3</w:t>
            </w:r>
          </w:p>
        </w:tc>
        <w:tc>
          <w:tcPr>
            <w:tcW w:w="1728" w:type="dxa"/>
            <w:tcBorders>
              <w:top w:val="single" w:sz="4" w:space="0" w:color="auto"/>
              <w:left w:val="single" w:sz="4" w:space="0" w:color="auto"/>
              <w:bottom w:val="single" w:sz="4" w:space="0" w:color="auto"/>
              <w:right w:val="single" w:sz="4" w:space="0" w:color="auto"/>
            </w:tcBorders>
            <w:hideMark/>
          </w:tcPr>
          <w:p w14:paraId="731DB016"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981.4 / (9,268.7 – 3,733.3) * 100 = 17.73%</w:t>
            </w:r>
          </w:p>
        </w:tc>
      </w:tr>
    </w:tbl>
    <w:p w14:paraId="75CF7B34" w14:textId="77777777" w:rsidR="004F4B73" w:rsidRPr="004F4B73" w:rsidRDefault="004F4B73" w:rsidP="004F4B73">
      <w:pPr>
        <w:spacing w:line="360" w:lineRule="auto"/>
        <w:jc w:val="both"/>
        <w:rPr>
          <w:rFonts w:ascii="Times New Roman" w:eastAsia="Times New Roman" w:hAnsi="Times New Roman" w:cs="Times New Roman"/>
          <w:b/>
          <w:bCs/>
          <w:kern w:val="0"/>
          <w:lang w:val="en-US"/>
          <w14:ligatures w14:val="none"/>
        </w:rPr>
      </w:pPr>
    </w:p>
    <w:p w14:paraId="33B68077" w14:textId="77777777" w:rsidR="004F4B73" w:rsidRPr="004F4B73" w:rsidRDefault="004F4B73" w:rsidP="004F4B73">
      <w:pPr>
        <w:spacing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Return on Equity (ROE)</w:t>
      </w:r>
    </w:p>
    <w:p w14:paraId="7B6B1165" w14:textId="77777777" w:rsidR="004F4B73" w:rsidRPr="004F4B73" w:rsidRDefault="004F4B73" w:rsidP="004F4B73">
      <w:pPr>
        <w:spacing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ROE = (Profit after Tax / Shareholders’ Funds) * 100</w:t>
      </w:r>
    </w:p>
    <w:tbl>
      <w:tblPr>
        <w:tblStyle w:val="TableGrid"/>
        <w:tblW w:w="0" w:type="auto"/>
        <w:tblLook w:val="04A0" w:firstRow="1" w:lastRow="0" w:firstColumn="1" w:lastColumn="0" w:noHBand="0" w:noVBand="1"/>
      </w:tblPr>
      <w:tblGrid>
        <w:gridCol w:w="2160"/>
        <w:gridCol w:w="2160"/>
        <w:gridCol w:w="2160"/>
        <w:gridCol w:w="2160"/>
      </w:tblGrid>
      <w:tr w:rsidR="004F4B73" w:rsidRPr="004F4B73" w14:paraId="6ECCE21F" w14:textId="77777777">
        <w:tc>
          <w:tcPr>
            <w:tcW w:w="2160" w:type="dxa"/>
            <w:tcBorders>
              <w:top w:val="single" w:sz="4" w:space="0" w:color="auto"/>
              <w:left w:val="single" w:sz="4" w:space="0" w:color="auto"/>
              <w:bottom w:val="single" w:sz="4" w:space="0" w:color="auto"/>
              <w:right w:val="single" w:sz="4" w:space="0" w:color="auto"/>
            </w:tcBorders>
            <w:hideMark/>
          </w:tcPr>
          <w:p w14:paraId="55874A6C"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Year</w:t>
            </w:r>
          </w:p>
        </w:tc>
        <w:tc>
          <w:tcPr>
            <w:tcW w:w="2160" w:type="dxa"/>
            <w:tcBorders>
              <w:top w:val="single" w:sz="4" w:space="0" w:color="auto"/>
              <w:left w:val="single" w:sz="4" w:space="0" w:color="auto"/>
              <w:bottom w:val="single" w:sz="4" w:space="0" w:color="auto"/>
              <w:right w:val="single" w:sz="4" w:space="0" w:color="auto"/>
            </w:tcBorders>
            <w:hideMark/>
          </w:tcPr>
          <w:p w14:paraId="423EFF74"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Profit after Tax (£m)</w:t>
            </w:r>
          </w:p>
        </w:tc>
        <w:tc>
          <w:tcPr>
            <w:tcW w:w="2160" w:type="dxa"/>
            <w:tcBorders>
              <w:top w:val="single" w:sz="4" w:space="0" w:color="auto"/>
              <w:left w:val="single" w:sz="4" w:space="0" w:color="auto"/>
              <w:bottom w:val="single" w:sz="4" w:space="0" w:color="auto"/>
              <w:right w:val="single" w:sz="4" w:space="0" w:color="auto"/>
            </w:tcBorders>
            <w:hideMark/>
          </w:tcPr>
          <w:p w14:paraId="05DAE667"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Shareholders’ Funds (£m)</w:t>
            </w:r>
          </w:p>
        </w:tc>
        <w:tc>
          <w:tcPr>
            <w:tcW w:w="2160" w:type="dxa"/>
            <w:tcBorders>
              <w:top w:val="single" w:sz="4" w:space="0" w:color="auto"/>
              <w:left w:val="single" w:sz="4" w:space="0" w:color="auto"/>
              <w:bottom w:val="single" w:sz="4" w:space="0" w:color="auto"/>
              <w:right w:val="single" w:sz="4" w:space="0" w:color="auto"/>
            </w:tcBorders>
            <w:hideMark/>
          </w:tcPr>
          <w:p w14:paraId="39C5A80E"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ROE (%)</w:t>
            </w:r>
          </w:p>
        </w:tc>
      </w:tr>
      <w:tr w:rsidR="004F4B73" w:rsidRPr="004F4B73" w14:paraId="1A95DC54" w14:textId="77777777">
        <w:tc>
          <w:tcPr>
            <w:tcW w:w="2160" w:type="dxa"/>
            <w:tcBorders>
              <w:top w:val="single" w:sz="4" w:space="0" w:color="auto"/>
              <w:left w:val="single" w:sz="4" w:space="0" w:color="auto"/>
              <w:bottom w:val="single" w:sz="4" w:space="0" w:color="auto"/>
              <w:right w:val="single" w:sz="4" w:space="0" w:color="auto"/>
            </w:tcBorders>
            <w:hideMark/>
          </w:tcPr>
          <w:p w14:paraId="450BB294"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2023</w:t>
            </w:r>
          </w:p>
        </w:tc>
        <w:tc>
          <w:tcPr>
            <w:tcW w:w="2160" w:type="dxa"/>
            <w:tcBorders>
              <w:top w:val="single" w:sz="4" w:space="0" w:color="auto"/>
              <w:left w:val="single" w:sz="4" w:space="0" w:color="auto"/>
              <w:bottom w:val="single" w:sz="4" w:space="0" w:color="auto"/>
              <w:right w:val="single" w:sz="4" w:space="0" w:color="auto"/>
            </w:tcBorders>
            <w:hideMark/>
          </w:tcPr>
          <w:p w14:paraId="6CCEA038"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553.1</w:t>
            </w:r>
          </w:p>
        </w:tc>
        <w:tc>
          <w:tcPr>
            <w:tcW w:w="2160" w:type="dxa"/>
            <w:tcBorders>
              <w:top w:val="single" w:sz="4" w:space="0" w:color="auto"/>
              <w:left w:val="single" w:sz="4" w:space="0" w:color="auto"/>
              <w:bottom w:val="single" w:sz="4" w:space="0" w:color="auto"/>
              <w:right w:val="single" w:sz="4" w:space="0" w:color="auto"/>
            </w:tcBorders>
            <w:hideMark/>
          </w:tcPr>
          <w:p w14:paraId="4DE576FC"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2,690.7</w:t>
            </w:r>
          </w:p>
        </w:tc>
        <w:tc>
          <w:tcPr>
            <w:tcW w:w="2160" w:type="dxa"/>
            <w:tcBorders>
              <w:top w:val="single" w:sz="4" w:space="0" w:color="auto"/>
              <w:left w:val="single" w:sz="4" w:space="0" w:color="auto"/>
              <w:bottom w:val="single" w:sz="4" w:space="0" w:color="auto"/>
              <w:right w:val="single" w:sz="4" w:space="0" w:color="auto"/>
            </w:tcBorders>
            <w:hideMark/>
          </w:tcPr>
          <w:p w14:paraId="77127816"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(553.1 / 2,690.7) * 100 = 20.55%</w:t>
            </w:r>
          </w:p>
        </w:tc>
      </w:tr>
      <w:tr w:rsidR="004F4B73" w:rsidRPr="004F4B73" w14:paraId="3873A527" w14:textId="77777777">
        <w:tc>
          <w:tcPr>
            <w:tcW w:w="2160" w:type="dxa"/>
            <w:tcBorders>
              <w:top w:val="single" w:sz="4" w:space="0" w:color="auto"/>
              <w:left w:val="single" w:sz="4" w:space="0" w:color="auto"/>
              <w:bottom w:val="single" w:sz="4" w:space="0" w:color="auto"/>
              <w:right w:val="single" w:sz="4" w:space="0" w:color="auto"/>
            </w:tcBorders>
            <w:hideMark/>
          </w:tcPr>
          <w:p w14:paraId="02325192"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lastRenderedPageBreak/>
              <w:t>2024</w:t>
            </w:r>
          </w:p>
        </w:tc>
        <w:tc>
          <w:tcPr>
            <w:tcW w:w="2160" w:type="dxa"/>
            <w:tcBorders>
              <w:top w:val="single" w:sz="4" w:space="0" w:color="auto"/>
              <w:left w:val="single" w:sz="4" w:space="0" w:color="auto"/>
              <w:bottom w:val="single" w:sz="4" w:space="0" w:color="auto"/>
              <w:right w:val="single" w:sz="4" w:space="0" w:color="auto"/>
            </w:tcBorders>
            <w:hideMark/>
          </w:tcPr>
          <w:p w14:paraId="5F6FF35A"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713.1</w:t>
            </w:r>
          </w:p>
        </w:tc>
        <w:tc>
          <w:tcPr>
            <w:tcW w:w="2160" w:type="dxa"/>
            <w:tcBorders>
              <w:top w:val="single" w:sz="4" w:space="0" w:color="auto"/>
              <w:left w:val="single" w:sz="4" w:space="0" w:color="auto"/>
              <w:bottom w:val="single" w:sz="4" w:space="0" w:color="auto"/>
              <w:right w:val="single" w:sz="4" w:space="0" w:color="auto"/>
            </w:tcBorders>
            <w:hideMark/>
          </w:tcPr>
          <w:p w14:paraId="64D7AF11"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2,789.0</w:t>
            </w:r>
          </w:p>
        </w:tc>
        <w:tc>
          <w:tcPr>
            <w:tcW w:w="2160" w:type="dxa"/>
            <w:tcBorders>
              <w:top w:val="single" w:sz="4" w:space="0" w:color="auto"/>
              <w:left w:val="single" w:sz="4" w:space="0" w:color="auto"/>
              <w:bottom w:val="single" w:sz="4" w:space="0" w:color="auto"/>
              <w:right w:val="single" w:sz="4" w:space="0" w:color="auto"/>
            </w:tcBorders>
            <w:hideMark/>
          </w:tcPr>
          <w:p w14:paraId="41641B2F"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(713.1 / 2,789.0) * 100 = 25.57%</w:t>
            </w:r>
          </w:p>
        </w:tc>
      </w:tr>
    </w:tbl>
    <w:p w14:paraId="4793A328" w14:textId="77777777" w:rsidR="004F4B73" w:rsidRPr="004F4B73" w:rsidRDefault="004F4B73" w:rsidP="004F4B73">
      <w:pPr>
        <w:spacing w:line="360" w:lineRule="auto"/>
        <w:jc w:val="both"/>
        <w:rPr>
          <w:rFonts w:ascii="Times New Roman" w:eastAsia="Times New Roman" w:hAnsi="Times New Roman" w:cs="Times New Roman"/>
          <w:b/>
          <w:bCs/>
          <w:kern w:val="0"/>
          <w:lang w:val="en-US"/>
          <w14:ligatures w14:val="none"/>
        </w:rPr>
      </w:pPr>
    </w:p>
    <w:p w14:paraId="05E71525" w14:textId="77777777" w:rsidR="004F4B73" w:rsidRPr="004F4B73" w:rsidRDefault="004F4B73" w:rsidP="004F4B73">
      <w:pPr>
        <w:spacing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Current Ratio</w:t>
      </w:r>
    </w:p>
    <w:p w14:paraId="0D22D73B" w14:textId="77777777" w:rsidR="004F4B73" w:rsidRPr="004F4B73" w:rsidRDefault="004F4B73" w:rsidP="004F4B73">
      <w:pPr>
        <w:spacing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Current Ratio = Current Assets / Current Liabilities</w:t>
      </w:r>
    </w:p>
    <w:tbl>
      <w:tblPr>
        <w:tblStyle w:val="TableGrid"/>
        <w:tblW w:w="0" w:type="auto"/>
        <w:tblLook w:val="04A0" w:firstRow="1" w:lastRow="0" w:firstColumn="1" w:lastColumn="0" w:noHBand="0" w:noVBand="1"/>
      </w:tblPr>
      <w:tblGrid>
        <w:gridCol w:w="2160"/>
        <w:gridCol w:w="2160"/>
        <w:gridCol w:w="2160"/>
        <w:gridCol w:w="2160"/>
      </w:tblGrid>
      <w:tr w:rsidR="004F4B73" w:rsidRPr="004F4B73" w14:paraId="3179847E" w14:textId="77777777">
        <w:tc>
          <w:tcPr>
            <w:tcW w:w="2160" w:type="dxa"/>
            <w:tcBorders>
              <w:top w:val="single" w:sz="4" w:space="0" w:color="auto"/>
              <w:left w:val="single" w:sz="4" w:space="0" w:color="auto"/>
              <w:bottom w:val="single" w:sz="4" w:space="0" w:color="auto"/>
              <w:right w:val="single" w:sz="4" w:space="0" w:color="auto"/>
            </w:tcBorders>
            <w:hideMark/>
          </w:tcPr>
          <w:p w14:paraId="0CA79B0C"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Year</w:t>
            </w:r>
          </w:p>
        </w:tc>
        <w:tc>
          <w:tcPr>
            <w:tcW w:w="2160" w:type="dxa"/>
            <w:tcBorders>
              <w:top w:val="single" w:sz="4" w:space="0" w:color="auto"/>
              <w:left w:val="single" w:sz="4" w:space="0" w:color="auto"/>
              <w:bottom w:val="single" w:sz="4" w:space="0" w:color="auto"/>
              <w:right w:val="single" w:sz="4" w:space="0" w:color="auto"/>
            </w:tcBorders>
            <w:hideMark/>
          </w:tcPr>
          <w:p w14:paraId="14F3E012"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Current Assets (£m)</w:t>
            </w:r>
          </w:p>
        </w:tc>
        <w:tc>
          <w:tcPr>
            <w:tcW w:w="2160" w:type="dxa"/>
            <w:tcBorders>
              <w:top w:val="single" w:sz="4" w:space="0" w:color="auto"/>
              <w:left w:val="single" w:sz="4" w:space="0" w:color="auto"/>
              <w:bottom w:val="single" w:sz="4" w:space="0" w:color="auto"/>
              <w:right w:val="single" w:sz="4" w:space="0" w:color="auto"/>
            </w:tcBorders>
            <w:hideMark/>
          </w:tcPr>
          <w:p w14:paraId="6AE7DBAB"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Current Liabilities (£m)</w:t>
            </w:r>
          </w:p>
        </w:tc>
        <w:tc>
          <w:tcPr>
            <w:tcW w:w="2160" w:type="dxa"/>
            <w:tcBorders>
              <w:top w:val="single" w:sz="4" w:space="0" w:color="auto"/>
              <w:left w:val="single" w:sz="4" w:space="0" w:color="auto"/>
              <w:bottom w:val="single" w:sz="4" w:space="0" w:color="auto"/>
              <w:right w:val="single" w:sz="4" w:space="0" w:color="auto"/>
            </w:tcBorders>
            <w:hideMark/>
          </w:tcPr>
          <w:p w14:paraId="5BE313C0"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Current Ratio</w:t>
            </w:r>
          </w:p>
        </w:tc>
      </w:tr>
      <w:tr w:rsidR="004F4B73" w:rsidRPr="004F4B73" w14:paraId="5027216B" w14:textId="77777777">
        <w:tc>
          <w:tcPr>
            <w:tcW w:w="2160" w:type="dxa"/>
            <w:tcBorders>
              <w:top w:val="single" w:sz="4" w:space="0" w:color="auto"/>
              <w:left w:val="single" w:sz="4" w:space="0" w:color="auto"/>
              <w:bottom w:val="single" w:sz="4" w:space="0" w:color="auto"/>
              <w:right w:val="single" w:sz="4" w:space="0" w:color="auto"/>
            </w:tcBorders>
            <w:hideMark/>
          </w:tcPr>
          <w:p w14:paraId="1DDCA427"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2023</w:t>
            </w:r>
          </w:p>
        </w:tc>
        <w:tc>
          <w:tcPr>
            <w:tcW w:w="2160" w:type="dxa"/>
            <w:tcBorders>
              <w:top w:val="single" w:sz="4" w:space="0" w:color="auto"/>
              <w:left w:val="single" w:sz="4" w:space="0" w:color="auto"/>
              <w:bottom w:val="single" w:sz="4" w:space="0" w:color="auto"/>
              <w:right w:val="single" w:sz="4" w:space="0" w:color="auto"/>
            </w:tcBorders>
            <w:hideMark/>
          </w:tcPr>
          <w:p w14:paraId="34921F7F"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3,399.0</w:t>
            </w:r>
          </w:p>
        </w:tc>
        <w:tc>
          <w:tcPr>
            <w:tcW w:w="2160" w:type="dxa"/>
            <w:tcBorders>
              <w:top w:val="single" w:sz="4" w:space="0" w:color="auto"/>
              <w:left w:val="single" w:sz="4" w:space="0" w:color="auto"/>
              <w:bottom w:val="single" w:sz="4" w:space="0" w:color="auto"/>
              <w:right w:val="single" w:sz="4" w:space="0" w:color="auto"/>
            </w:tcBorders>
            <w:hideMark/>
          </w:tcPr>
          <w:p w14:paraId="64CF0EDF"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3,347.2</w:t>
            </w:r>
          </w:p>
        </w:tc>
        <w:tc>
          <w:tcPr>
            <w:tcW w:w="2160" w:type="dxa"/>
            <w:tcBorders>
              <w:top w:val="single" w:sz="4" w:space="0" w:color="auto"/>
              <w:left w:val="single" w:sz="4" w:space="0" w:color="auto"/>
              <w:bottom w:val="single" w:sz="4" w:space="0" w:color="auto"/>
              <w:right w:val="single" w:sz="4" w:space="0" w:color="auto"/>
            </w:tcBorders>
            <w:hideMark/>
          </w:tcPr>
          <w:p w14:paraId="767A62A4"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3,399.0 / 3,347.2 = 1.02</w:t>
            </w:r>
          </w:p>
        </w:tc>
      </w:tr>
      <w:tr w:rsidR="004F4B73" w:rsidRPr="004F4B73" w14:paraId="2088C657" w14:textId="77777777">
        <w:tc>
          <w:tcPr>
            <w:tcW w:w="2160" w:type="dxa"/>
            <w:tcBorders>
              <w:top w:val="single" w:sz="4" w:space="0" w:color="auto"/>
              <w:left w:val="single" w:sz="4" w:space="0" w:color="auto"/>
              <w:bottom w:val="single" w:sz="4" w:space="0" w:color="auto"/>
              <w:right w:val="single" w:sz="4" w:space="0" w:color="auto"/>
            </w:tcBorders>
            <w:hideMark/>
          </w:tcPr>
          <w:p w14:paraId="0839D8D2"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2024</w:t>
            </w:r>
          </w:p>
        </w:tc>
        <w:tc>
          <w:tcPr>
            <w:tcW w:w="2160" w:type="dxa"/>
            <w:tcBorders>
              <w:top w:val="single" w:sz="4" w:space="0" w:color="auto"/>
              <w:left w:val="single" w:sz="4" w:space="0" w:color="auto"/>
              <w:bottom w:val="single" w:sz="4" w:space="0" w:color="auto"/>
              <w:right w:val="single" w:sz="4" w:space="0" w:color="auto"/>
            </w:tcBorders>
            <w:hideMark/>
          </w:tcPr>
          <w:p w14:paraId="2E3FA6B0"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3,969.3</w:t>
            </w:r>
          </w:p>
        </w:tc>
        <w:tc>
          <w:tcPr>
            <w:tcW w:w="2160" w:type="dxa"/>
            <w:tcBorders>
              <w:top w:val="single" w:sz="4" w:space="0" w:color="auto"/>
              <w:left w:val="single" w:sz="4" w:space="0" w:color="auto"/>
              <w:bottom w:val="single" w:sz="4" w:space="0" w:color="auto"/>
              <w:right w:val="single" w:sz="4" w:space="0" w:color="auto"/>
            </w:tcBorders>
            <w:hideMark/>
          </w:tcPr>
          <w:p w14:paraId="5AEA82D4"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3,733.3</w:t>
            </w:r>
          </w:p>
        </w:tc>
        <w:tc>
          <w:tcPr>
            <w:tcW w:w="2160" w:type="dxa"/>
            <w:tcBorders>
              <w:top w:val="single" w:sz="4" w:space="0" w:color="auto"/>
              <w:left w:val="single" w:sz="4" w:space="0" w:color="auto"/>
              <w:bottom w:val="single" w:sz="4" w:space="0" w:color="auto"/>
              <w:right w:val="single" w:sz="4" w:space="0" w:color="auto"/>
            </w:tcBorders>
            <w:hideMark/>
          </w:tcPr>
          <w:p w14:paraId="71A9F77F"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3,969.3 / 3,733.3 = 1.06</w:t>
            </w:r>
          </w:p>
        </w:tc>
      </w:tr>
    </w:tbl>
    <w:p w14:paraId="3A2DAD2E" w14:textId="77777777" w:rsidR="004F4B73" w:rsidRPr="004F4B73" w:rsidRDefault="004F4B73" w:rsidP="004F4B73">
      <w:pPr>
        <w:spacing w:line="360" w:lineRule="auto"/>
        <w:jc w:val="both"/>
        <w:rPr>
          <w:rFonts w:ascii="Times New Roman" w:eastAsia="Times New Roman" w:hAnsi="Times New Roman" w:cs="Times New Roman"/>
          <w:b/>
          <w:bCs/>
          <w:kern w:val="0"/>
          <w:lang w:val="en-US"/>
          <w14:ligatures w14:val="none"/>
        </w:rPr>
      </w:pPr>
    </w:p>
    <w:p w14:paraId="055992AF" w14:textId="77777777" w:rsidR="004F4B73" w:rsidRPr="004F4B73" w:rsidRDefault="004F4B73" w:rsidP="004F4B73">
      <w:pPr>
        <w:spacing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Quick Ratio</w:t>
      </w:r>
    </w:p>
    <w:p w14:paraId="585CF64D" w14:textId="77777777" w:rsidR="004F4B73" w:rsidRPr="004F4B73" w:rsidRDefault="004F4B73" w:rsidP="004F4B73">
      <w:pPr>
        <w:spacing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Quick Ratio = (Current Assets – Inventory) / Current Liabilities</w:t>
      </w:r>
    </w:p>
    <w:tbl>
      <w:tblPr>
        <w:tblStyle w:val="TableGrid"/>
        <w:tblW w:w="0" w:type="auto"/>
        <w:tblLook w:val="04A0" w:firstRow="1" w:lastRow="0" w:firstColumn="1" w:lastColumn="0" w:noHBand="0" w:noVBand="1"/>
      </w:tblPr>
      <w:tblGrid>
        <w:gridCol w:w="1728"/>
        <w:gridCol w:w="1728"/>
        <w:gridCol w:w="1728"/>
        <w:gridCol w:w="1728"/>
        <w:gridCol w:w="1728"/>
      </w:tblGrid>
      <w:tr w:rsidR="004F4B73" w:rsidRPr="004F4B73" w14:paraId="5BCD251F" w14:textId="77777777">
        <w:tc>
          <w:tcPr>
            <w:tcW w:w="1728" w:type="dxa"/>
            <w:tcBorders>
              <w:top w:val="single" w:sz="4" w:space="0" w:color="auto"/>
              <w:left w:val="single" w:sz="4" w:space="0" w:color="auto"/>
              <w:bottom w:val="single" w:sz="4" w:space="0" w:color="auto"/>
              <w:right w:val="single" w:sz="4" w:space="0" w:color="auto"/>
            </w:tcBorders>
            <w:hideMark/>
          </w:tcPr>
          <w:p w14:paraId="0161C0B1"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Year</w:t>
            </w:r>
          </w:p>
        </w:tc>
        <w:tc>
          <w:tcPr>
            <w:tcW w:w="1728" w:type="dxa"/>
            <w:tcBorders>
              <w:top w:val="single" w:sz="4" w:space="0" w:color="auto"/>
              <w:left w:val="single" w:sz="4" w:space="0" w:color="auto"/>
              <w:bottom w:val="single" w:sz="4" w:space="0" w:color="auto"/>
              <w:right w:val="single" w:sz="4" w:space="0" w:color="auto"/>
            </w:tcBorders>
            <w:hideMark/>
          </w:tcPr>
          <w:p w14:paraId="1E29FC2D"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Current Assets (£m)</w:t>
            </w:r>
          </w:p>
        </w:tc>
        <w:tc>
          <w:tcPr>
            <w:tcW w:w="1728" w:type="dxa"/>
            <w:tcBorders>
              <w:top w:val="single" w:sz="4" w:space="0" w:color="auto"/>
              <w:left w:val="single" w:sz="4" w:space="0" w:color="auto"/>
              <w:bottom w:val="single" w:sz="4" w:space="0" w:color="auto"/>
              <w:right w:val="single" w:sz="4" w:space="0" w:color="auto"/>
            </w:tcBorders>
            <w:hideMark/>
          </w:tcPr>
          <w:p w14:paraId="4BBC14D4"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Inventory (£m)</w:t>
            </w:r>
          </w:p>
        </w:tc>
        <w:tc>
          <w:tcPr>
            <w:tcW w:w="1728" w:type="dxa"/>
            <w:tcBorders>
              <w:top w:val="single" w:sz="4" w:space="0" w:color="auto"/>
              <w:left w:val="single" w:sz="4" w:space="0" w:color="auto"/>
              <w:bottom w:val="single" w:sz="4" w:space="0" w:color="auto"/>
              <w:right w:val="single" w:sz="4" w:space="0" w:color="auto"/>
            </w:tcBorders>
            <w:hideMark/>
          </w:tcPr>
          <w:p w14:paraId="0977DD20"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Current Liabilities (£m)</w:t>
            </w:r>
          </w:p>
        </w:tc>
        <w:tc>
          <w:tcPr>
            <w:tcW w:w="1728" w:type="dxa"/>
            <w:tcBorders>
              <w:top w:val="single" w:sz="4" w:space="0" w:color="auto"/>
              <w:left w:val="single" w:sz="4" w:space="0" w:color="auto"/>
              <w:bottom w:val="single" w:sz="4" w:space="0" w:color="auto"/>
              <w:right w:val="single" w:sz="4" w:space="0" w:color="auto"/>
            </w:tcBorders>
            <w:hideMark/>
          </w:tcPr>
          <w:p w14:paraId="566AD729"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Quick Ratio</w:t>
            </w:r>
          </w:p>
        </w:tc>
      </w:tr>
      <w:tr w:rsidR="004F4B73" w:rsidRPr="004F4B73" w14:paraId="0AC16316" w14:textId="77777777">
        <w:tc>
          <w:tcPr>
            <w:tcW w:w="1728" w:type="dxa"/>
            <w:tcBorders>
              <w:top w:val="single" w:sz="4" w:space="0" w:color="auto"/>
              <w:left w:val="single" w:sz="4" w:space="0" w:color="auto"/>
              <w:bottom w:val="single" w:sz="4" w:space="0" w:color="auto"/>
              <w:right w:val="single" w:sz="4" w:space="0" w:color="auto"/>
            </w:tcBorders>
            <w:hideMark/>
          </w:tcPr>
          <w:p w14:paraId="6815FF4F"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2023</w:t>
            </w:r>
          </w:p>
        </w:tc>
        <w:tc>
          <w:tcPr>
            <w:tcW w:w="1728" w:type="dxa"/>
            <w:tcBorders>
              <w:top w:val="single" w:sz="4" w:space="0" w:color="auto"/>
              <w:left w:val="single" w:sz="4" w:space="0" w:color="auto"/>
              <w:bottom w:val="single" w:sz="4" w:space="0" w:color="auto"/>
              <w:right w:val="single" w:sz="4" w:space="0" w:color="auto"/>
            </w:tcBorders>
            <w:hideMark/>
          </w:tcPr>
          <w:p w14:paraId="2EF06CDE"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3,399.0</w:t>
            </w:r>
          </w:p>
        </w:tc>
        <w:tc>
          <w:tcPr>
            <w:tcW w:w="1728" w:type="dxa"/>
            <w:tcBorders>
              <w:top w:val="single" w:sz="4" w:space="0" w:color="auto"/>
              <w:left w:val="single" w:sz="4" w:space="0" w:color="auto"/>
              <w:bottom w:val="single" w:sz="4" w:space="0" w:color="auto"/>
              <w:right w:val="single" w:sz="4" w:space="0" w:color="auto"/>
            </w:tcBorders>
            <w:hideMark/>
          </w:tcPr>
          <w:p w14:paraId="588D3B17"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672.8</w:t>
            </w:r>
          </w:p>
        </w:tc>
        <w:tc>
          <w:tcPr>
            <w:tcW w:w="1728" w:type="dxa"/>
            <w:tcBorders>
              <w:top w:val="single" w:sz="4" w:space="0" w:color="auto"/>
              <w:left w:val="single" w:sz="4" w:space="0" w:color="auto"/>
              <w:bottom w:val="single" w:sz="4" w:space="0" w:color="auto"/>
              <w:right w:val="single" w:sz="4" w:space="0" w:color="auto"/>
            </w:tcBorders>
            <w:hideMark/>
          </w:tcPr>
          <w:p w14:paraId="3D20D545"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3,347.2</w:t>
            </w:r>
          </w:p>
        </w:tc>
        <w:tc>
          <w:tcPr>
            <w:tcW w:w="1728" w:type="dxa"/>
            <w:tcBorders>
              <w:top w:val="single" w:sz="4" w:space="0" w:color="auto"/>
              <w:left w:val="single" w:sz="4" w:space="0" w:color="auto"/>
              <w:bottom w:val="single" w:sz="4" w:space="0" w:color="auto"/>
              <w:right w:val="single" w:sz="4" w:space="0" w:color="auto"/>
            </w:tcBorders>
            <w:hideMark/>
          </w:tcPr>
          <w:p w14:paraId="2FA291D5"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(3,399.0 – 672.8) / 3,347.2 = 0.81</w:t>
            </w:r>
          </w:p>
        </w:tc>
      </w:tr>
      <w:tr w:rsidR="004F4B73" w:rsidRPr="004F4B73" w14:paraId="3E3D1084" w14:textId="77777777">
        <w:tc>
          <w:tcPr>
            <w:tcW w:w="1728" w:type="dxa"/>
            <w:tcBorders>
              <w:top w:val="single" w:sz="4" w:space="0" w:color="auto"/>
              <w:left w:val="single" w:sz="4" w:space="0" w:color="auto"/>
              <w:bottom w:val="single" w:sz="4" w:space="0" w:color="auto"/>
              <w:right w:val="single" w:sz="4" w:space="0" w:color="auto"/>
            </w:tcBorders>
            <w:hideMark/>
          </w:tcPr>
          <w:p w14:paraId="3802FA24"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2024</w:t>
            </w:r>
          </w:p>
        </w:tc>
        <w:tc>
          <w:tcPr>
            <w:tcW w:w="1728" w:type="dxa"/>
            <w:tcBorders>
              <w:top w:val="single" w:sz="4" w:space="0" w:color="auto"/>
              <w:left w:val="single" w:sz="4" w:space="0" w:color="auto"/>
              <w:bottom w:val="single" w:sz="4" w:space="0" w:color="auto"/>
              <w:right w:val="single" w:sz="4" w:space="0" w:color="auto"/>
            </w:tcBorders>
            <w:hideMark/>
          </w:tcPr>
          <w:p w14:paraId="654304ED"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3,969.3</w:t>
            </w:r>
          </w:p>
        </w:tc>
        <w:tc>
          <w:tcPr>
            <w:tcW w:w="1728" w:type="dxa"/>
            <w:tcBorders>
              <w:top w:val="single" w:sz="4" w:space="0" w:color="auto"/>
              <w:left w:val="single" w:sz="4" w:space="0" w:color="auto"/>
              <w:bottom w:val="single" w:sz="4" w:space="0" w:color="auto"/>
              <w:right w:val="single" w:sz="4" w:space="0" w:color="auto"/>
            </w:tcBorders>
            <w:hideMark/>
          </w:tcPr>
          <w:p w14:paraId="5720EDBC"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751.6</w:t>
            </w:r>
          </w:p>
        </w:tc>
        <w:tc>
          <w:tcPr>
            <w:tcW w:w="1728" w:type="dxa"/>
            <w:tcBorders>
              <w:top w:val="single" w:sz="4" w:space="0" w:color="auto"/>
              <w:left w:val="single" w:sz="4" w:space="0" w:color="auto"/>
              <w:bottom w:val="single" w:sz="4" w:space="0" w:color="auto"/>
              <w:right w:val="single" w:sz="4" w:space="0" w:color="auto"/>
            </w:tcBorders>
            <w:hideMark/>
          </w:tcPr>
          <w:p w14:paraId="254D25E2"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3,733.3</w:t>
            </w:r>
          </w:p>
        </w:tc>
        <w:tc>
          <w:tcPr>
            <w:tcW w:w="1728" w:type="dxa"/>
            <w:tcBorders>
              <w:top w:val="single" w:sz="4" w:space="0" w:color="auto"/>
              <w:left w:val="single" w:sz="4" w:space="0" w:color="auto"/>
              <w:bottom w:val="single" w:sz="4" w:space="0" w:color="auto"/>
              <w:right w:val="single" w:sz="4" w:space="0" w:color="auto"/>
            </w:tcBorders>
            <w:hideMark/>
          </w:tcPr>
          <w:p w14:paraId="1BB307C0"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(3,969.3 – 751.6) / 3,733.3 = 0.86</w:t>
            </w:r>
          </w:p>
        </w:tc>
      </w:tr>
    </w:tbl>
    <w:p w14:paraId="47AF6188" w14:textId="77777777" w:rsidR="004F4B73" w:rsidRPr="004F4B73" w:rsidRDefault="004F4B73" w:rsidP="004F4B73">
      <w:pPr>
        <w:spacing w:line="360" w:lineRule="auto"/>
        <w:jc w:val="both"/>
        <w:rPr>
          <w:rFonts w:ascii="Times New Roman" w:eastAsia="Times New Roman" w:hAnsi="Times New Roman" w:cs="Times New Roman"/>
          <w:b/>
          <w:bCs/>
          <w:kern w:val="0"/>
          <w:lang w:val="en-US"/>
          <w14:ligatures w14:val="none"/>
        </w:rPr>
      </w:pPr>
    </w:p>
    <w:p w14:paraId="23FAE040" w14:textId="77777777" w:rsidR="00564DF3" w:rsidRDefault="00564DF3" w:rsidP="004F4B73">
      <w:pPr>
        <w:spacing w:line="360" w:lineRule="auto"/>
        <w:jc w:val="both"/>
        <w:rPr>
          <w:rFonts w:ascii="Times New Roman" w:eastAsia="Times New Roman" w:hAnsi="Times New Roman" w:cs="Times New Roman"/>
          <w:b/>
          <w:bCs/>
          <w:kern w:val="0"/>
          <w:lang w:val="en-US"/>
          <w14:ligatures w14:val="none"/>
        </w:rPr>
      </w:pPr>
    </w:p>
    <w:p w14:paraId="2E3D867C" w14:textId="1BABAC3A" w:rsidR="004F4B73" w:rsidRPr="004F4B73" w:rsidRDefault="004F4B73" w:rsidP="004F4B73">
      <w:pPr>
        <w:spacing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lastRenderedPageBreak/>
        <w:t>Inventory Days</w:t>
      </w:r>
    </w:p>
    <w:p w14:paraId="095D01FE" w14:textId="77777777" w:rsidR="004F4B73" w:rsidRPr="004F4B73" w:rsidRDefault="004F4B73" w:rsidP="004F4B73">
      <w:pPr>
        <w:spacing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Inventory Days = (Inventory / Cost of Sales) * 365</w:t>
      </w:r>
    </w:p>
    <w:tbl>
      <w:tblPr>
        <w:tblStyle w:val="TableGrid"/>
        <w:tblW w:w="0" w:type="auto"/>
        <w:tblLook w:val="04A0" w:firstRow="1" w:lastRow="0" w:firstColumn="1" w:lastColumn="0" w:noHBand="0" w:noVBand="1"/>
      </w:tblPr>
      <w:tblGrid>
        <w:gridCol w:w="2160"/>
        <w:gridCol w:w="2160"/>
        <w:gridCol w:w="2160"/>
        <w:gridCol w:w="2160"/>
      </w:tblGrid>
      <w:tr w:rsidR="004F4B73" w:rsidRPr="004F4B73" w14:paraId="27A893BF" w14:textId="77777777">
        <w:tc>
          <w:tcPr>
            <w:tcW w:w="2160" w:type="dxa"/>
            <w:tcBorders>
              <w:top w:val="single" w:sz="4" w:space="0" w:color="auto"/>
              <w:left w:val="single" w:sz="4" w:space="0" w:color="auto"/>
              <w:bottom w:val="single" w:sz="4" w:space="0" w:color="auto"/>
              <w:right w:val="single" w:sz="4" w:space="0" w:color="auto"/>
            </w:tcBorders>
            <w:hideMark/>
          </w:tcPr>
          <w:p w14:paraId="50221090"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Year</w:t>
            </w:r>
          </w:p>
        </w:tc>
        <w:tc>
          <w:tcPr>
            <w:tcW w:w="2160" w:type="dxa"/>
            <w:tcBorders>
              <w:top w:val="single" w:sz="4" w:space="0" w:color="auto"/>
              <w:left w:val="single" w:sz="4" w:space="0" w:color="auto"/>
              <w:bottom w:val="single" w:sz="4" w:space="0" w:color="auto"/>
              <w:right w:val="single" w:sz="4" w:space="0" w:color="auto"/>
            </w:tcBorders>
            <w:hideMark/>
          </w:tcPr>
          <w:p w14:paraId="45E2535B"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Inventory (£m)</w:t>
            </w:r>
          </w:p>
        </w:tc>
        <w:tc>
          <w:tcPr>
            <w:tcW w:w="2160" w:type="dxa"/>
            <w:tcBorders>
              <w:top w:val="single" w:sz="4" w:space="0" w:color="auto"/>
              <w:left w:val="single" w:sz="4" w:space="0" w:color="auto"/>
              <w:bottom w:val="single" w:sz="4" w:space="0" w:color="auto"/>
              <w:right w:val="single" w:sz="4" w:space="0" w:color="auto"/>
            </w:tcBorders>
            <w:hideMark/>
          </w:tcPr>
          <w:p w14:paraId="16A4AB3E"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Cost of Sales (£m)</w:t>
            </w:r>
          </w:p>
        </w:tc>
        <w:tc>
          <w:tcPr>
            <w:tcW w:w="2160" w:type="dxa"/>
            <w:tcBorders>
              <w:top w:val="single" w:sz="4" w:space="0" w:color="auto"/>
              <w:left w:val="single" w:sz="4" w:space="0" w:color="auto"/>
              <w:bottom w:val="single" w:sz="4" w:space="0" w:color="auto"/>
              <w:right w:val="single" w:sz="4" w:space="0" w:color="auto"/>
            </w:tcBorders>
            <w:hideMark/>
          </w:tcPr>
          <w:p w14:paraId="464A338D"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Inventory Days</w:t>
            </w:r>
          </w:p>
        </w:tc>
      </w:tr>
      <w:tr w:rsidR="004F4B73" w:rsidRPr="004F4B73" w14:paraId="0905CBBE" w14:textId="77777777">
        <w:tc>
          <w:tcPr>
            <w:tcW w:w="2160" w:type="dxa"/>
            <w:tcBorders>
              <w:top w:val="single" w:sz="4" w:space="0" w:color="auto"/>
              <w:left w:val="single" w:sz="4" w:space="0" w:color="auto"/>
              <w:bottom w:val="single" w:sz="4" w:space="0" w:color="auto"/>
              <w:right w:val="single" w:sz="4" w:space="0" w:color="auto"/>
            </w:tcBorders>
            <w:hideMark/>
          </w:tcPr>
          <w:p w14:paraId="0938D2F8"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2023</w:t>
            </w:r>
          </w:p>
        </w:tc>
        <w:tc>
          <w:tcPr>
            <w:tcW w:w="2160" w:type="dxa"/>
            <w:tcBorders>
              <w:top w:val="single" w:sz="4" w:space="0" w:color="auto"/>
              <w:left w:val="single" w:sz="4" w:space="0" w:color="auto"/>
              <w:bottom w:val="single" w:sz="4" w:space="0" w:color="auto"/>
              <w:right w:val="single" w:sz="4" w:space="0" w:color="auto"/>
            </w:tcBorders>
            <w:hideMark/>
          </w:tcPr>
          <w:p w14:paraId="640219A2"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672.8</w:t>
            </w:r>
          </w:p>
        </w:tc>
        <w:tc>
          <w:tcPr>
            <w:tcW w:w="2160" w:type="dxa"/>
            <w:tcBorders>
              <w:top w:val="single" w:sz="4" w:space="0" w:color="auto"/>
              <w:left w:val="single" w:sz="4" w:space="0" w:color="auto"/>
              <w:bottom w:val="single" w:sz="4" w:space="0" w:color="auto"/>
              <w:right w:val="single" w:sz="4" w:space="0" w:color="auto"/>
            </w:tcBorders>
            <w:hideMark/>
          </w:tcPr>
          <w:p w14:paraId="3F9E35C4"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5,765.1</w:t>
            </w:r>
          </w:p>
        </w:tc>
        <w:tc>
          <w:tcPr>
            <w:tcW w:w="2160" w:type="dxa"/>
            <w:tcBorders>
              <w:top w:val="single" w:sz="4" w:space="0" w:color="auto"/>
              <w:left w:val="single" w:sz="4" w:space="0" w:color="auto"/>
              <w:bottom w:val="single" w:sz="4" w:space="0" w:color="auto"/>
              <w:right w:val="single" w:sz="4" w:space="0" w:color="auto"/>
            </w:tcBorders>
            <w:hideMark/>
          </w:tcPr>
          <w:p w14:paraId="338178D8"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(672.8 / 5,765.1) * 365 = 42.59 days</w:t>
            </w:r>
          </w:p>
        </w:tc>
      </w:tr>
      <w:tr w:rsidR="004F4B73" w:rsidRPr="004F4B73" w14:paraId="610BE0D9" w14:textId="77777777">
        <w:tc>
          <w:tcPr>
            <w:tcW w:w="2160" w:type="dxa"/>
            <w:tcBorders>
              <w:top w:val="single" w:sz="4" w:space="0" w:color="auto"/>
              <w:left w:val="single" w:sz="4" w:space="0" w:color="auto"/>
              <w:bottom w:val="single" w:sz="4" w:space="0" w:color="auto"/>
              <w:right w:val="single" w:sz="4" w:space="0" w:color="auto"/>
            </w:tcBorders>
            <w:hideMark/>
          </w:tcPr>
          <w:p w14:paraId="3E65E043"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2024</w:t>
            </w:r>
          </w:p>
        </w:tc>
        <w:tc>
          <w:tcPr>
            <w:tcW w:w="2160" w:type="dxa"/>
            <w:tcBorders>
              <w:top w:val="single" w:sz="4" w:space="0" w:color="auto"/>
              <w:left w:val="single" w:sz="4" w:space="0" w:color="auto"/>
              <w:bottom w:val="single" w:sz="4" w:space="0" w:color="auto"/>
              <w:right w:val="single" w:sz="4" w:space="0" w:color="auto"/>
            </w:tcBorders>
            <w:hideMark/>
          </w:tcPr>
          <w:p w14:paraId="65593292"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751.6</w:t>
            </w:r>
          </w:p>
        </w:tc>
        <w:tc>
          <w:tcPr>
            <w:tcW w:w="2160" w:type="dxa"/>
            <w:tcBorders>
              <w:top w:val="single" w:sz="4" w:space="0" w:color="auto"/>
              <w:left w:val="single" w:sz="4" w:space="0" w:color="auto"/>
              <w:bottom w:val="single" w:sz="4" w:space="0" w:color="auto"/>
              <w:right w:val="single" w:sz="4" w:space="0" w:color="auto"/>
            </w:tcBorders>
            <w:hideMark/>
          </w:tcPr>
          <w:p w14:paraId="29F5E8C7"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5,982.9</w:t>
            </w:r>
          </w:p>
        </w:tc>
        <w:tc>
          <w:tcPr>
            <w:tcW w:w="2160" w:type="dxa"/>
            <w:tcBorders>
              <w:top w:val="single" w:sz="4" w:space="0" w:color="auto"/>
              <w:left w:val="single" w:sz="4" w:space="0" w:color="auto"/>
              <w:bottom w:val="single" w:sz="4" w:space="0" w:color="auto"/>
              <w:right w:val="single" w:sz="4" w:space="0" w:color="auto"/>
            </w:tcBorders>
            <w:hideMark/>
          </w:tcPr>
          <w:p w14:paraId="59EFD6AF"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(751.6 / 5,982.9) * 365 = 45.85 days</w:t>
            </w:r>
          </w:p>
        </w:tc>
      </w:tr>
    </w:tbl>
    <w:p w14:paraId="1FBDC68A" w14:textId="77777777" w:rsidR="004F4B73" w:rsidRPr="004F4B73" w:rsidRDefault="004F4B73" w:rsidP="004F4B73">
      <w:pPr>
        <w:spacing w:line="360" w:lineRule="auto"/>
        <w:jc w:val="both"/>
        <w:rPr>
          <w:rFonts w:ascii="Times New Roman" w:eastAsia="Times New Roman" w:hAnsi="Times New Roman" w:cs="Times New Roman"/>
          <w:b/>
          <w:bCs/>
          <w:kern w:val="0"/>
          <w:lang w:val="en-US"/>
          <w14:ligatures w14:val="none"/>
        </w:rPr>
      </w:pPr>
    </w:p>
    <w:p w14:paraId="4E767094" w14:textId="77777777" w:rsidR="004F4B73" w:rsidRPr="004F4B73" w:rsidRDefault="004F4B73" w:rsidP="004F4B73">
      <w:pPr>
        <w:spacing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Receivables Days</w:t>
      </w:r>
    </w:p>
    <w:p w14:paraId="30C9AC71" w14:textId="77777777" w:rsidR="004F4B73" w:rsidRPr="004F4B73" w:rsidRDefault="004F4B73" w:rsidP="004F4B73">
      <w:pPr>
        <w:spacing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Receivables Days = (Receivables / Sales) * 365</w:t>
      </w:r>
    </w:p>
    <w:tbl>
      <w:tblPr>
        <w:tblStyle w:val="TableGrid"/>
        <w:tblW w:w="0" w:type="auto"/>
        <w:tblLook w:val="04A0" w:firstRow="1" w:lastRow="0" w:firstColumn="1" w:lastColumn="0" w:noHBand="0" w:noVBand="1"/>
      </w:tblPr>
      <w:tblGrid>
        <w:gridCol w:w="2160"/>
        <w:gridCol w:w="2160"/>
        <w:gridCol w:w="2160"/>
        <w:gridCol w:w="2160"/>
      </w:tblGrid>
      <w:tr w:rsidR="004F4B73" w:rsidRPr="004F4B73" w14:paraId="2DC5D271" w14:textId="77777777">
        <w:tc>
          <w:tcPr>
            <w:tcW w:w="2160" w:type="dxa"/>
            <w:tcBorders>
              <w:top w:val="single" w:sz="4" w:space="0" w:color="auto"/>
              <w:left w:val="single" w:sz="4" w:space="0" w:color="auto"/>
              <w:bottom w:val="single" w:sz="4" w:space="0" w:color="auto"/>
              <w:right w:val="single" w:sz="4" w:space="0" w:color="auto"/>
            </w:tcBorders>
            <w:hideMark/>
          </w:tcPr>
          <w:p w14:paraId="43E93A40"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Year</w:t>
            </w:r>
          </w:p>
        </w:tc>
        <w:tc>
          <w:tcPr>
            <w:tcW w:w="2160" w:type="dxa"/>
            <w:tcBorders>
              <w:top w:val="single" w:sz="4" w:space="0" w:color="auto"/>
              <w:left w:val="single" w:sz="4" w:space="0" w:color="auto"/>
              <w:bottom w:val="single" w:sz="4" w:space="0" w:color="auto"/>
              <w:right w:val="single" w:sz="4" w:space="0" w:color="auto"/>
            </w:tcBorders>
            <w:hideMark/>
          </w:tcPr>
          <w:p w14:paraId="656C82DD"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Receivables (£m)</w:t>
            </w:r>
          </w:p>
        </w:tc>
        <w:tc>
          <w:tcPr>
            <w:tcW w:w="2160" w:type="dxa"/>
            <w:tcBorders>
              <w:top w:val="single" w:sz="4" w:space="0" w:color="auto"/>
              <w:left w:val="single" w:sz="4" w:space="0" w:color="auto"/>
              <w:bottom w:val="single" w:sz="4" w:space="0" w:color="auto"/>
              <w:right w:val="single" w:sz="4" w:space="0" w:color="auto"/>
            </w:tcBorders>
            <w:hideMark/>
          </w:tcPr>
          <w:p w14:paraId="0EE53B6B"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Sales (£m)</w:t>
            </w:r>
          </w:p>
        </w:tc>
        <w:tc>
          <w:tcPr>
            <w:tcW w:w="2160" w:type="dxa"/>
            <w:tcBorders>
              <w:top w:val="single" w:sz="4" w:space="0" w:color="auto"/>
              <w:left w:val="single" w:sz="4" w:space="0" w:color="auto"/>
              <w:bottom w:val="single" w:sz="4" w:space="0" w:color="auto"/>
              <w:right w:val="single" w:sz="4" w:space="0" w:color="auto"/>
            </w:tcBorders>
            <w:hideMark/>
          </w:tcPr>
          <w:p w14:paraId="0B253744"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Receivables Days</w:t>
            </w:r>
          </w:p>
        </w:tc>
      </w:tr>
      <w:tr w:rsidR="004F4B73" w:rsidRPr="004F4B73" w14:paraId="58CCEC7F" w14:textId="77777777">
        <w:tc>
          <w:tcPr>
            <w:tcW w:w="2160" w:type="dxa"/>
            <w:tcBorders>
              <w:top w:val="single" w:sz="4" w:space="0" w:color="auto"/>
              <w:left w:val="single" w:sz="4" w:space="0" w:color="auto"/>
              <w:bottom w:val="single" w:sz="4" w:space="0" w:color="auto"/>
              <w:right w:val="single" w:sz="4" w:space="0" w:color="auto"/>
            </w:tcBorders>
            <w:hideMark/>
          </w:tcPr>
          <w:p w14:paraId="19270F5F"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2023</w:t>
            </w:r>
          </w:p>
        </w:tc>
        <w:tc>
          <w:tcPr>
            <w:tcW w:w="2160" w:type="dxa"/>
            <w:tcBorders>
              <w:top w:val="single" w:sz="4" w:space="0" w:color="auto"/>
              <w:left w:val="single" w:sz="4" w:space="0" w:color="auto"/>
              <w:bottom w:val="single" w:sz="4" w:space="0" w:color="auto"/>
              <w:right w:val="single" w:sz="4" w:space="0" w:color="auto"/>
            </w:tcBorders>
            <w:hideMark/>
          </w:tcPr>
          <w:p w14:paraId="0A856C95"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1,033.6</w:t>
            </w:r>
          </w:p>
        </w:tc>
        <w:tc>
          <w:tcPr>
            <w:tcW w:w="2160" w:type="dxa"/>
            <w:tcBorders>
              <w:top w:val="single" w:sz="4" w:space="0" w:color="auto"/>
              <w:left w:val="single" w:sz="4" w:space="0" w:color="auto"/>
              <w:bottom w:val="single" w:sz="4" w:space="0" w:color="auto"/>
              <w:right w:val="single" w:sz="4" w:space="0" w:color="auto"/>
            </w:tcBorders>
            <w:hideMark/>
          </w:tcPr>
          <w:p w14:paraId="3BA34507"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8,860.1</w:t>
            </w:r>
          </w:p>
        </w:tc>
        <w:tc>
          <w:tcPr>
            <w:tcW w:w="2160" w:type="dxa"/>
            <w:tcBorders>
              <w:top w:val="single" w:sz="4" w:space="0" w:color="auto"/>
              <w:left w:val="single" w:sz="4" w:space="0" w:color="auto"/>
              <w:bottom w:val="single" w:sz="4" w:space="0" w:color="auto"/>
              <w:right w:val="single" w:sz="4" w:space="0" w:color="auto"/>
            </w:tcBorders>
            <w:hideMark/>
          </w:tcPr>
          <w:p w14:paraId="019C0087"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(1,033.6 / 8,860.1) * 365 = 42.58 days</w:t>
            </w:r>
          </w:p>
        </w:tc>
      </w:tr>
      <w:tr w:rsidR="004F4B73" w:rsidRPr="004F4B73" w14:paraId="4B7752AF" w14:textId="77777777">
        <w:tc>
          <w:tcPr>
            <w:tcW w:w="2160" w:type="dxa"/>
            <w:tcBorders>
              <w:top w:val="single" w:sz="4" w:space="0" w:color="auto"/>
              <w:left w:val="single" w:sz="4" w:space="0" w:color="auto"/>
              <w:bottom w:val="single" w:sz="4" w:space="0" w:color="auto"/>
              <w:right w:val="single" w:sz="4" w:space="0" w:color="auto"/>
            </w:tcBorders>
            <w:hideMark/>
          </w:tcPr>
          <w:p w14:paraId="4899997B"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2024</w:t>
            </w:r>
          </w:p>
        </w:tc>
        <w:tc>
          <w:tcPr>
            <w:tcW w:w="2160" w:type="dxa"/>
            <w:tcBorders>
              <w:top w:val="single" w:sz="4" w:space="0" w:color="auto"/>
              <w:left w:val="single" w:sz="4" w:space="0" w:color="auto"/>
              <w:bottom w:val="single" w:sz="4" w:space="0" w:color="auto"/>
              <w:right w:val="single" w:sz="4" w:space="0" w:color="auto"/>
            </w:tcBorders>
            <w:hideMark/>
          </w:tcPr>
          <w:p w14:paraId="47A1E4B7"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1,077.2</w:t>
            </w:r>
          </w:p>
        </w:tc>
        <w:tc>
          <w:tcPr>
            <w:tcW w:w="2160" w:type="dxa"/>
            <w:tcBorders>
              <w:top w:val="single" w:sz="4" w:space="0" w:color="auto"/>
              <w:left w:val="single" w:sz="4" w:space="0" w:color="auto"/>
              <w:bottom w:val="single" w:sz="4" w:space="0" w:color="auto"/>
              <w:right w:val="single" w:sz="4" w:space="0" w:color="auto"/>
            </w:tcBorders>
            <w:hideMark/>
          </w:tcPr>
          <w:p w14:paraId="28D022F0"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9,356.3</w:t>
            </w:r>
          </w:p>
        </w:tc>
        <w:tc>
          <w:tcPr>
            <w:tcW w:w="2160" w:type="dxa"/>
            <w:tcBorders>
              <w:top w:val="single" w:sz="4" w:space="0" w:color="auto"/>
              <w:left w:val="single" w:sz="4" w:space="0" w:color="auto"/>
              <w:bottom w:val="single" w:sz="4" w:space="0" w:color="auto"/>
              <w:right w:val="single" w:sz="4" w:space="0" w:color="auto"/>
            </w:tcBorders>
            <w:hideMark/>
          </w:tcPr>
          <w:p w14:paraId="53D91E96"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(1,077.2 / 9,356.3) * 365 = 42.02 days</w:t>
            </w:r>
          </w:p>
        </w:tc>
      </w:tr>
    </w:tbl>
    <w:p w14:paraId="3BABD685" w14:textId="77777777" w:rsidR="004F4B73" w:rsidRPr="004F4B73" w:rsidRDefault="004F4B73" w:rsidP="004F4B73">
      <w:pPr>
        <w:spacing w:line="360" w:lineRule="auto"/>
        <w:jc w:val="both"/>
        <w:rPr>
          <w:rFonts w:ascii="Times New Roman" w:eastAsia="Times New Roman" w:hAnsi="Times New Roman" w:cs="Times New Roman"/>
          <w:b/>
          <w:bCs/>
          <w:kern w:val="0"/>
          <w:lang w:val="en-US"/>
          <w14:ligatures w14:val="none"/>
        </w:rPr>
      </w:pPr>
    </w:p>
    <w:p w14:paraId="4A518914" w14:textId="77777777" w:rsidR="004F4B73" w:rsidRPr="004F4B73" w:rsidRDefault="004F4B73" w:rsidP="004F4B73">
      <w:pPr>
        <w:spacing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Payables Days</w:t>
      </w:r>
    </w:p>
    <w:p w14:paraId="35049929" w14:textId="77777777" w:rsidR="004F4B73" w:rsidRPr="004F4B73" w:rsidRDefault="004F4B73" w:rsidP="004F4B73">
      <w:pPr>
        <w:spacing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Payables Days = (Payables / Cost of Sales) * 365</w:t>
      </w:r>
    </w:p>
    <w:tbl>
      <w:tblPr>
        <w:tblStyle w:val="TableGrid"/>
        <w:tblW w:w="0" w:type="auto"/>
        <w:tblLook w:val="04A0" w:firstRow="1" w:lastRow="0" w:firstColumn="1" w:lastColumn="0" w:noHBand="0" w:noVBand="1"/>
      </w:tblPr>
      <w:tblGrid>
        <w:gridCol w:w="2160"/>
        <w:gridCol w:w="2160"/>
        <w:gridCol w:w="2160"/>
        <w:gridCol w:w="2160"/>
      </w:tblGrid>
      <w:tr w:rsidR="004F4B73" w:rsidRPr="004F4B73" w14:paraId="7DC0A7EA" w14:textId="77777777">
        <w:tc>
          <w:tcPr>
            <w:tcW w:w="2160" w:type="dxa"/>
            <w:tcBorders>
              <w:top w:val="single" w:sz="4" w:space="0" w:color="auto"/>
              <w:left w:val="single" w:sz="4" w:space="0" w:color="auto"/>
              <w:bottom w:val="single" w:sz="4" w:space="0" w:color="auto"/>
              <w:right w:val="single" w:sz="4" w:space="0" w:color="auto"/>
            </w:tcBorders>
            <w:hideMark/>
          </w:tcPr>
          <w:p w14:paraId="0C748C05"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Year</w:t>
            </w:r>
          </w:p>
        </w:tc>
        <w:tc>
          <w:tcPr>
            <w:tcW w:w="2160" w:type="dxa"/>
            <w:tcBorders>
              <w:top w:val="single" w:sz="4" w:space="0" w:color="auto"/>
              <w:left w:val="single" w:sz="4" w:space="0" w:color="auto"/>
              <w:bottom w:val="single" w:sz="4" w:space="0" w:color="auto"/>
              <w:right w:val="single" w:sz="4" w:space="0" w:color="auto"/>
            </w:tcBorders>
            <w:hideMark/>
          </w:tcPr>
          <w:p w14:paraId="6E2C5249"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Payables (£m)</w:t>
            </w:r>
          </w:p>
        </w:tc>
        <w:tc>
          <w:tcPr>
            <w:tcW w:w="2160" w:type="dxa"/>
            <w:tcBorders>
              <w:top w:val="single" w:sz="4" w:space="0" w:color="auto"/>
              <w:left w:val="single" w:sz="4" w:space="0" w:color="auto"/>
              <w:bottom w:val="single" w:sz="4" w:space="0" w:color="auto"/>
              <w:right w:val="single" w:sz="4" w:space="0" w:color="auto"/>
            </w:tcBorders>
            <w:hideMark/>
          </w:tcPr>
          <w:p w14:paraId="355DBCBF"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Cost of Sales (£m)</w:t>
            </w:r>
          </w:p>
        </w:tc>
        <w:tc>
          <w:tcPr>
            <w:tcW w:w="2160" w:type="dxa"/>
            <w:tcBorders>
              <w:top w:val="single" w:sz="4" w:space="0" w:color="auto"/>
              <w:left w:val="single" w:sz="4" w:space="0" w:color="auto"/>
              <w:bottom w:val="single" w:sz="4" w:space="0" w:color="auto"/>
              <w:right w:val="single" w:sz="4" w:space="0" w:color="auto"/>
            </w:tcBorders>
            <w:hideMark/>
          </w:tcPr>
          <w:p w14:paraId="681EB989"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Payables Days</w:t>
            </w:r>
          </w:p>
        </w:tc>
      </w:tr>
      <w:tr w:rsidR="004F4B73" w:rsidRPr="004F4B73" w14:paraId="08DCA305" w14:textId="77777777">
        <w:tc>
          <w:tcPr>
            <w:tcW w:w="2160" w:type="dxa"/>
            <w:tcBorders>
              <w:top w:val="single" w:sz="4" w:space="0" w:color="auto"/>
              <w:left w:val="single" w:sz="4" w:space="0" w:color="auto"/>
              <w:bottom w:val="single" w:sz="4" w:space="0" w:color="auto"/>
              <w:right w:val="single" w:sz="4" w:space="0" w:color="auto"/>
            </w:tcBorders>
            <w:hideMark/>
          </w:tcPr>
          <w:p w14:paraId="62F6B278"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2023</w:t>
            </w:r>
          </w:p>
        </w:tc>
        <w:tc>
          <w:tcPr>
            <w:tcW w:w="2160" w:type="dxa"/>
            <w:tcBorders>
              <w:top w:val="single" w:sz="4" w:space="0" w:color="auto"/>
              <w:left w:val="single" w:sz="4" w:space="0" w:color="auto"/>
              <w:bottom w:val="single" w:sz="4" w:space="0" w:color="auto"/>
              <w:right w:val="single" w:sz="4" w:space="0" w:color="auto"/>
            </w:tcBorders>
            <w:hideMark/>
          </w:tcPr>
          <w:p w14:paraId="2D29862E"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2,156.8</w:t>
            </w:r>
          </w:p>
        </w:tc>
        <w:tc>
          <w:tcPr>
            <w:tcW w:w="2160" w:type="dxa"/>
            <w:tcBorders>
              <w:top w:val="single" w:sz="4" w:space="0" w:color="auto"/>
              <w:left w:val="single" w:sz="4" w:space="0" w:color="auto"/>
              <w:bottom w:val="single" w:sz="4" w:space="0" w:color="auto"/>
              <w:right w:val="single" w:sz="4" w:space="0" w:color="auto"/>
            </w:tcBorders>
            <w:hideMark/>
          </w:tcPr>
          <w:p w14:paraId="2D0D4B5C"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5,765.1</w:t>
            </w:r>
          </w:p>
        </w:tc>
        <w:tc>
          <w:tcPr>
            <w:tcW w:w="2160" w:type="dxa"/>
            <w:tcBorders>
              <w:top w:val="single" w:sz="4" w:space="0" w:color="auto"/>
              <w:left w:val="single" w:sz="4" w:space="0" w:color="auto"/>
              <w:bottom w:val="single" w:sz="4" w:space="0" w:color="auto"/>
              <w:right w:val="single" w:sz="4" w:space="0" w:color="auto"/>
            </w:tcBorders>
            <w:hideMark/>
          </w:tcPr>
          <w:p w14:paraId="7210C82F"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(2,156.8 / 5,765.1) * 365 = 136.55 days</w:t>
            </w:r>
          </w:p>
        </w:tc>
      </w:tr>
      <w:tr w:rsidR="004F4B73" w:rsidRPr="004F4B73" w14:paraId="352B09C7" w14:textId="77777777">
        <w:tc>
          <w:tcPr>
            <w:tcW w:w="2160" w:type="dxa"/>
            <w:tcBorders>
              <w:top w:val="single" w:sz="4" w:space="0" w:color="auto"/>
              <w:left w:val="single" w:sz="4" w:space="0" w:color="auto"/>
              <w:bottom w:val="single" w:sz="4" w:space="0" w:color="auto"/>
              <w:right w:val="single" w:sz="4" w:space="0" w:color="auto"/>
            </w:tcBorders>
            <w:hideMark/>
          </w:tcPr>
          <w:p w14:paraId="1366B8AE"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2024</w:t>
            </w:r>
          </w:p>
        </w:tc>
        <w:tc>
          <w:tcPr>
            <w:tcW w:w="2160" w:type="dxa"/>
            <w:tcBorders>
              <w:top w:val="single" w:sz="4" w:space="0" w:color="auto"/>
              <w:left w:val="single" w:sz="4" w:space="0" w:color="auto"/>
              <w:bottom w:val="single" w:sz="4" w:space="0" w:color="auto"/>
              <w:right w:val="single" w:sz="4" w:space="0" w:color="auto"/>
            </w:tcBorders>
            <w:hideMark/>
          </w:tcPr>
          <w:p w14:paraId="66C7B816"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2,323.2</w:t>
            </w:r>
          </w:p>
        </w:tc>
        <w:tc>
          <w:tcPr>
            <w:tcW w:w="2160" w:type="dxa"/>
            <w:tcBorders>
              <w:top w:val="single" w:sz="4" w:space="0" w:color="auto"/>
              <w:left w:val="single" w:sz="4" w:space="0" w:color="auto"/>
              <w:bottom w:val="single" w:sz="4" w:space="0" w:color="auto"/>
              <w:right w:val="single" w:sz="4" w:space="0" w:color="auto"/>
            </w:tcBorders>
            <w:hideMark/>
          </w:tcPr>
          <w:p w14:paraId="16EE0BC5"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5,982.9</w:t>
            </w:r>
          </w:p>
        </w:tc>
        <w:tc>
          <w:tcPr>
            <w:tcW w:w="2160" w:type="dxa"/>
            <w:tcBorders>
              <w:top w:val="single" w:sz="4" w:space="0" w:color="auto"/>
              <w:left w:val="single" w:sz="4" w:space="0" w:color="auto"/>
              <w:bottom w:val="single" w:sz="4" w:space="0" w:color="auto"/>
              <w:right w:val="single" w:sz="4" w:space="0" w:color="auto"/>
            </w:tcBorders>
            <w:hideMark/>
          </w:tcPr>
          <w:p w14:paraId="45464DFF"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(2,323.2 / 5,982.9) * 365 = 141.73 days</w:t>
            </w:r>
          </w:p>
        </w:tc>
      </w:tr>
    </w:tbl>
    <w:p w14:paraId="4F22DE79" w14:textId="77777777" w:rsidR="004F4B73" w:rsidRPr="004F4B73" w:rsidRDefault="004F4B73" w:rsidP="004F4B73">
      <w:pPr>
        <w:spacing w:line="360" w:lineRule="auto"/>
        <w:jc w:val="both"/>
        <w:rPr>
          <w:rFonts w:ascii="Times New Roman" w:eastAsia="Times New Roman" w:hAnsi="Times New Roman" w:cs="Times New Roman"/>
          <w:b/>
          <w:bCs/>
          <w:kern w:val="0"/>
          <w:lang w:val="en-US"/>
          <w14:ligatures w14:val="none"/>
        </w:rPr>
      </w:pPr>
    </w:p>
    <w:p w14:paraId="07BDB73B" w14:textId="77777777" w:rsidR="004F4B73" w:rsidRPr="004F4B73" w:rsidRDefault="004F4B73" w:rsidP="004F4B73">
      <w:pPr>
        <w:spacing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lastRenderedPageBreak/>
        <w:t>Gearing Ratio</w:t>
      </w:r>
    </w:p>
    <w:p w14:paraId="142AFBCC" w14:textId="77777777" w:rsidR="004F4B73" w:rsidRPr="004F4B73" w:rsidRDefault="004F4B73" w:rsidP="004F4B73">
      <w:pPr>
        <w:spacing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Gearing % = LT Borrowings / (LT Borrowings + Shareholders’ Funds) * 100</w:t>
      </w:r>
    </w:p>
    <w:tbl>
      <w:tblPr>
        <w:tblStyle w:val="TableGrid"/>
        <w:tblW w:w="0" w:type="auto"/>
        <w:tblLook w:val="04A0" w:firstRow="1" w:lastRow="0" w:firstColumn="1" w:lastColumn="0" w:noHBand="0" w:noVBand="1"/>
      </w:tblPr>
      <w:tblGrid>
        <w:gridCol w:w="2160"/>
        <w:gridCol w:w="2160"/>
        <w:gridCol w:w="2160"/>
        <w:gridCol w:w="2160"/>
      </w:tblGrid>
      <w:tr w:rsidR="004F4B73" w:rsidRPr="004F4B73" w14:paraId="20F84158" w14:textId="77777777">
        <w:tc>
          <w:tcPr>
            <w:tcW w:w="2160" w:type="dxa"/>
            <w:tcBorders>
              <w:top w:val="single" w:sz="4" w:space="0" w:color="auto"/>
              <w:left w:val="single" w:sz="4" w:space="0" w:color="auto"/>
              <w:bottom w:val="single" w:sz="4" w:space="0" w:color="auto"/>
              <w:right w:val="single" w:sz="4" w:space="0" w:color="auto"/>
            </w:tcBorders>
            <w:hideMark/>
          </w:tcPr>
          <w:p w14:paraId="500A7EC6"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Year</w:t>
            </w:r>
          </w:p>
        </w:tc>
        <w:tc>
          <w:tcPr>
            <w:tcW w:w="2160" w:type="dxa"/>
            <w:tcBorders>
              <w:top w:val="single" w:sz="4" w:space="0" w:color="auto"/>
              <w:left w:val="single" w:sz="4" w:space="0" w:color="auto"/>
              <w:bottom w:val="single" w:sz="4" w:space="0" w:color="auto"/>
              <w:right w:val="single" w:sz="4" w:space="0" w:color="auto"/>
            </w:tcBorders>
            <w:hideMark/>
          </w:tcPr>
          <w:p w14:paraId="3DAE5E94"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LT Borrowings (£m)</w:t>
            </w:r>
          </w:p>
        </w:tc>
        <w:tc>
          <w:tcPr>
            <w:tcW w:w="2160" w:type="dxa"/>
            <w:tcBorders>
              <w:top w:val="single" w:sz="4" w:space="0" w:color="auto"/>
              <w:left w:val="single" w:sz="4" w:space="0" w:color="auto"/>
              <w:bottom w:val="single" w:sz="4" w:space="0" w:color="auto"/>
              <w:right w:val="single" w:sz="4" w:space="0" w:color="auto"/>
            </w:tcBorders>
            <w:hideMark/>
          </w:tcPr>
          <w:p w14:paraId="656F15C7"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Shareholders’ Funds (£m)</w:t>
            </w:r>
          </w:p>
        </w:tc>
        <w:tc>
          <w:tcPr>
            <w:tcW w:w="2160" w:type="dxa"/>
            <w:tcBorders>
              <w:top w:val="single" w:sz="4" w:space="0" w:color="auto"/>
              <w:left w:val="single" w:sz="4" w:space="0" w:color="auto"/>
              <w:bottom w:val="single" w:sz="4" w:space="0" w:color="auto"/>
              <w:right w:val="single" w:sz="4" w:space="0" w:color="auto"/>
            </w:tcBorders>
            <w:hideMark/>
          </w:tcPr>
          <w:p w14:paraId="71A34E1A"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Gearing (%)</w:t>
            </w:r>
          </w:p>
        </w:tc>
      </w:tr>
      <w:tr w:rsidR="004F4B73" w:rsidRPr="004F4B73" w14:paraId="41597D98" w14:textId="77777777">
        <w:tc>
          <w:tcPr>
            <w:tcW w:w="2160" w:type="dxa"/>
            <w:tcBorders>
              <w:top w:val="single" w:sz="4" w:space="0" w:color="auto"/>
              <w:left w:val="single" w:sz="4" w:space="0" w:color="auto"/>
              <w:bottom w:val="single" w:sz="4" w:space="0" w:color="auto"/>
              <w:right w:val="single" w:sz="4" w:space="0" w:color="auto"/>
            </w:tcBorders>
            <w:hideMark/>
          </w:tcPr>
          <w:p w14:paraId="6EEF9738"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2023</w:t>
            </w:r>
          </w:p>
        </w:tc>
        <w:tc>
          <w:tcPr>
            <w:tcW w:w="2160" w:type="dxa"/>
            <w:tcBorders>
              <w:top w:val="single" w:sz="4" w:space="0" w:color="auto"/>
              <w:left w:val="single" w:sz="4" w:space="0" w:color="auto"/>
              <w:bottom w:val="single" w:sz="4" w:space="0" w:color="auto"/>
              <w:right w:val="single" w:sz="4" w:space="0" w:color="auto"/>
            </w:tcBorders>
            <w:hideMark/>
          </w:tcPr>
          <w:p w14:paraId="78893FC5"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2,154.5</w:t>
            </w:r>
          </w:p>
        </w:tc>
        <w:tc>
          <w:tcPr>
            <w:tcW w:w="2160" w:type="dxa"/>
            <w:tcBorders>
              <w:top w:val="single" w:sz="4" w:space="0" w:color="auto"/>
              <w:left w:val="single" w:sz="4" w:space="0" w:color="auto"/>
              <w:bottom w:val="single" w:sz="4" w:space="0" w:color="auto"/>
              <w:right w:val="single" w:sz="4" w:space="0" w:color="auto"/>
            </w:tcBorders>
            <w:hideMark/>
          </w:tcPr>
          <w:p w14:paraId="44604F4B"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2,690.7</w:t>
            </w:r>
          </w:p>
        </w:tc>
        <w:tc>
          <w:tcPr>
            <w:tcW w:w="2160" w:type="dxa"/>
            <w:tcBorders>
              <w:top w:val="single" w:sz="4" w:space="0" w:color="auto"/>
              <w:left w:val="single" w:sz="4" w:space="0" w:color="auto"/>
              <w:bottom w:val="single" w:sz="4" w:space="0" w:color="auto"/>
              <w:right w:val="single" w:sz="4" w:space="0" w:color="auto"/>
            </w:tcBorders>
            <w:hideMark/>
          </w:tcPr>
          <w:p w14:paraId="3DCECB49"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2,154.5 / (2,154.5 + 2,690.7) * 100 = 44.47%</w:t>
            </w:r>
          </w:p>
        </w:tc>
      </w:tr>
      <w:tr w:rsidR="004F4B73" w:rsidRPr="004F4B73" w14:paraId="6FF0A6DD" w14:textId="77777777">
        <w:tc>
          <w:tcPr>
            <w:tcW w:w="2160" w:type="dxa"/>
            <w:tcBorders>
              <w:top w:val="single" w:sz="4" w:space="0" w:color="auto"/>
              <w:left w:val="single" w:sz="4" w:space="0" w:color="auto"/>
              <w:bottom w:val="single" w:sz="4" w:space="0" w:color="auto"/>
              <w:right w:val="single" w:sz="4" w:space="0" w:color="auto"/>
            </w:tcBorders>
            <w:hideMark/>
          </w:tcPr>
          <w:p w14:paraId="21341466"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2024</w:t>
            </w:r>
          </w:p>
        </w:tc>
        <w:tc>
          <w:tcPr>
            <w:tcW w:w="2160" w:type="dxa"/>
            <w:tcBorders>
              <w:top w:val="single" w:sz="4" w:space="0" w:color="auto"/>
              <w:left w:val="single" w:sz="4" w:space="0" w:color="auto"/>
              <w:bottom w:val="single" w:sz="4" w:space="0" w:color="auto"/>
              <w:right w:val="single" w:sz="4" w:space="0" w:color="auto"/>
            </w:tcBorders>
            <w:hideMark/>
          </w:tcPr>
          <w:p w14:paraId="65FF6146"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2,690.0</w:t>
            </w:r>
          </w:p>
        </w:tc>
        <w:tc>
          <w:tcPr>
            <w:tcW w:w="2160" w:type="dxa"/>
            <w:tcBorders>
              <w:top w:val="single" w:sz="4" w:space="0" w:color="auto"/>
              <w:left w:val="single" w:sz="4" w:space="0" w:color="auto"/>
              <w:bottom w:val="single" w:sz="4" w:space="0" w:color="auto"/>
              <w:right w:val="single" w:sz="4" w:space="0" w:color="auto"/>
            </w:tcBorders>
            <w:hideMark/>
          </w:tcPr>
          <w:p w14:paraId="11439A91"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2,789.0</w:t>
            </w:r>
          </w:p>
        </w:tc>
        <w:tc>
          <w:tcPr>
            <w:tcW w:w="2160" w:type="dxa"/>
            <w:tcBorders>
              <w:top w:val="single" w:sz="4" w:space="0" w:color="auto"/>
              <w:left w:val="single" w:sz="4" w:space="0" w:color="auto"/>
              <w:bottom w:val="single" w:sz="4" w:space="0" w:color="auto"/>
              <w:right w:val="single" w:sz="4" w:space="0" w:color="auto"/>
            </w:tcBorders>
            <w:hideMark/>
          </w:tcPr>
          <w:p w14:paraId="698D61DF"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2,690.0 / (2,690.0 + 2,789.0) * 100 = 49.10%</w:t>
            </w:r>
          </w:p>
        </w:tc>
      </w:tr>
    </w:tbl>
    <w:p w14:paraId="7E3E59FA" w14:textId="77777777" w:rsidR="004F4B73" w:rsidRPr="004F4B73" w:rsidRDefault="004F4B73" w:rsidP="004F4B73">
      <w:pPr>
        <w:spacing w:line="360" w:lineRule="auto"/>
        <w:jc w:val="both"/>
        <w:rPr>
          <w:rFonts w:ascii="Times New Roman" w:eastAsia="Times New Roman" w:hAnsi="Times New Roman" w:cs="Times New Roman"/>
          <w:b/>
          <w:bCs/>
          <w:kern w:val="0"/>
          <w:lang w:val="en-US"/>
          <w14:ligatures w14:val="none"/>
        </w:rPr>
      </w:pPr>
    </w:p>
    <w:p w14:paraId="390EC907" w14:textId="77777777" w:rsidR="004F4B73" w:rsidRPr="004F4B73" w:rsidRDefault="004F4B73" w:rsidP="004F4B73">
      <w:pPr>
        <w:spacing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Earnings Per Share (EPS)</w:t>
      </w:r>
    </w:p>
    <w:p w14:paraId="0742D91A" w14:textId="77777777" w:rsidR="004F4B73" w:rsidRPr="004F4B73" w:rsidRDefault="004F4B73" w:rsidP="004F4B73">
      <w:pPr>
        <w:spacing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EPS = Profit after Tax / Number of ordinary shares</w:t>
      </w:r>
    </w:p>
    <w:tbl>
      <w:tblPr>
        <w:tblStyle w:val="TableGrid"/>
        <w:tblW w:w="0" w:type="auto"/>
        <w:tblLook w:val="04A0" w:firstRow="1" w:lastRow="0" w:firstColumn="1" w:lastColumn="0" w:noHBand="0" w:noVBand="1"/>
      </w:tblPr>
      <w:tblGrid>
        <w:gridCol w:w="2160"/>
        <w:gridCol w:w="2160"/>
        <w:gridCol w:w="2160"/>
        <w:gridCol w:w="2160"/>
      </w:tblGrid>
      <w:tr w:rsidR="004F4B73" w:rsidRPr="004F4B73" w14:paraId="18501190" w14:textId="77777777">
        <w:tc>
          <w:tcPr>
            <w:tcW w:w="2160" w:type="dxa"/>
            <w:tcBorders>
              <w:top w:val="single" w:sz="4" w:space="0" w:color="auto"/>
              <w:left w:val="single" w:sz="4" w:space="0" w:color="auto"/>
              <w:bottom w:val="single" w:sz="4" w:space="0" w:color="auto"/>
              <w:right w:val="single" w:sz="4" w:space="0" w:color="auto"/>
            </w:tcBorders>
            <w:hideMark/>
          </w:tcPr>
          <w:p w14:paraId="2A8F7FD5"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Year</w:t>
            </w:r>
          </w:p>
        </w:tc>
        <w:tc>
          <w:tcPr>
            <w:tcW w:w="2160" w:type="dxa"/>
            <w:tcBorders>
              <w:top w:val="single" w:sz="4" w:space="0" w:color="auto"/>
              <w:left w:val="single" w:sz="4" w:space="0" w:color="auto"/>
              <w:bottom w:val="single" w:sz="4" w:space="0" w:color="auto"/>
              <w:right w:val="single" w:sz="4" w:space="0" w:color="auto"/>
            </w:tcBorders>
            <w:hideMark/>
          </w:tcPr>
          <w:p w14:paraId="5E27C97F"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Profit after Tax (£m)</w:t>
            </w:r>
          </w:p>
        </w:tc>
        <w:tc>
          <w:tcPr>
            <w:tcW w:w="2160" w:type="dxa"/>
            <w:tcBorders>
              <w:top w:val="single" w:sz="4" w:space="0" w:color="auto"/>
              <w:left w:val="single" w:sz="4" w:space="0" w:color="auto"/>
              <w:bottom w:val="single" w:sz="4" w:space="0" w:color="auto"/>
              <w:right w:val="single" w:sz="4" w:space="0" w:color="auto"/>
            </w:tcBorders>
            <w:hideMark/>
          </w:tcPr>
          <w:p w14:paraId="3769F30A"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Shares (m)</w:t>
            </w:r>
          </w:p>
        </w:tc>
        <w:tc>
          <w:tcPr>
            <w:tcW w:w="2160" w:type="dxa"/>
            <w:tcBorders>
              <w:top w:val="single" w:sz="4" w:space="0" w:color="auto"/>
              <w:left w:val="single" w:sz="4" w:space="0" w:color="auto"/>
              <w:bottom w:val="single" w:sz="4" w:space="0" w:color="auto"/>
              <w:right w:val="single" w:sz="4" w:space="0" w:color="auto"/>
            </w:tcBorders>
            <w:hideMark/>
          </w:tcPr>
          <w:p w14:paraId="769DA1AB"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EPS (£)</w:t>
            </w:r>
          </w:p>
        </w:tc>
      </w:tr>
      <w:tr w:rsidR="004F4B73" w:rsidRPr="004F4B73" w14:paraId="5D079524" w14:textId="77777777">
        <w:tc>
          <w:tcPr>
            <w:tcW w:w="2160" w:type="dxa"/>
            <w:tcBorders>
              <w:top w:val="single" w:sz="4" w:space="0" w:color="auto"/>
              <w:left w:val="single" w:sz="4" w:space="0" w:color="auto"/>
              <w:bottom w:val="single" w:sz="4" w:space="0" w:color="auto"/>
              <w:right w:val="single" w:sz="4" w:space="0" w:color="auto"/>
            </w:tcBorders>
            <w:hideMark/>
          </w:tcPr>
          <w:p w14:paraId="52BE7F47"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2023</w:t>
            </w:r>
          </w:p>
        </w:tc>
        <w:tc>
          <w:tcPr>
            <w:tcW w:w="2160" w:type="dxa"/>
            <w:tcBorders>
              <w:top w:val="single" w:sz="4" w:space="0" w:color="auto"/>
              <w:left w:val="single" w:sz="4" w:space="0" w:color="auto"/>
              <w:bottom w:val="single" w:sz="4" w:space="0" w:color="auto"/>
              <w:right w:val="single" w:sz="4" w:space="0" w:color="auto"/>
            </w:tcBorders>
            <w:hideMark/>
          </w:tcPr>
          <w:p w14:paraId="7125A8F2"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553.1</w:t>
            </w:r>
          </w:p>
        </w:tc>
        <w:tc>
          <w:tcPr>
            <w:tcW w:w="2160" w:type="dxa"/>
            <w:tcBorders>
              <w:top w:val="single" w:sz="4" w:space="0" w:color="auto"/>
              <w:left w:val="single" w:sz="4" w:space="0" w:color="auto"/>
              <w:bottom w:val="single" w:sz="4" w:space="0" w:color="auto"/>
              <w:right w:val="single" w:sz="4" w:space="0" w:color="auto"/>
            </w:tcBorders>
            <w:hideMark/>
          </w:tcPr>
          <w:p w14:paraId="4CCF4A2B"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367.1</w:t>
            </w:r>
          </w:p>
        </w:tc>
        <w:tc>
          <w:tcPr>
            <w:tcW w:w="2160" w:type="dxa"/>
            <w:tcBorders>
              <w:top w:val="single" w:sz="4" w:space="0" w:color="auto"/>
              <w:left w:val="single" w:sz="4" w:space="0" w:color="auto"/>
              <w:bottom w:val="single" w:sz="4" w:space="0" w:color="auto"/>
              <w:right w:val="single" w:sz="4" w:space="0" w:color="auto"/>
            </w:tcBorders>
            <w:hideMark/>
          </w:tcPr>
          <w:p w14:paraId="475D3002"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553.1 / 367.1 = 1.51</w:t>
            </w:r>
          </w:p>
        </w:tc>
      </w:tr>
      <w:tr w:rsidR="004F4B73" w:rsidRPr="004F4B73" w14:paraId="57EEBDE4" w14:textId="77777777">
        <w:tc>
          <w:tcPr>
            <w:tcW w:w="2160" w:type="dxa"/>
            <w:tcBorders>
              <w:top w:val="single" w:sz="4" w:space="0" w:color="auto"/>
              <w:left w:val="single" w:sz="4" w:space="0" w:color="auto"/>
              <w:bottom w:val="single" w:sz="4" w:space="0" w:color="auto"/>
              <w:right w:val="single" w:sz="4" w:space="0" w:color="auto"/>
            </w:tcBorders>
            <w:hideMark/>
          </w:tcPr>
          <w:p w14:paraId="06F16CCF"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2024</w:t>
            </w:r>
          </w:p>
        </w:tc>
        <w:tc>
          <w:tcPr>
            <w:tcW w:w="2160" w:type="dxa"/>
            <w:tcBorders>
              <w:top w:val="single" w:sz="4" w:space="0" w:color="auto"/>
              <w:left w:val="single" w:sz="4" w:space="0" w:color="auto"/>
              <w:bottom w:val="single" w:sz="4" w:space="0" w:color="auto"/>
              <w:right w:val="single" w:sz="4" w:space="0" w:color="auto"/>
            </w:tcBorders>
            <w:hideMark/>
          </w:tcPr>
          <w:p w14:paraId="76E7F5CC"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713.1</w:t>
            </w:r>
          </w:p>
        </w:tc>
        <w:tc>
          <w:tcPr>
            <w:tcW w:w="2160" w:type="dxa"/>
            <w:tcBorders>
              <w:top w:val="single" w:sz="4" w:space="0" w:color="auto"/>
              <w:left w:val="single" w:sz="4" w:space="0" w:color="auto"/>
              <w:bottom w:val="single" w:sz="4" w:space="0" w:color="auto"/>
              <w:right w:val="single" w:sz="4" w:space="0" w:color="auto"/>
            </w:tcBorders>
            <w:hideMark/>
          </w:tcPr>
          <w:p w14:paraId="3BCD8095"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364.3</w:t>
            </w:r>
          </w:p>
        </w:tc>
        <w:tc>
          <w:tcPr>
            <w:tcW w:w="2160" w:type="dxa"/>
            <w:tcBorders>
              <w:top w:val="single" w:sz="4" w:space="0" w:color="auto"/>
              <w:left w:val="single" w:sz="4" w:space="0" w:color="auto"/>
              <w:bottom w:val="single" w:sz="4" w:space="0" w:color="auto"/>
              <w:right w:val="single" w:sz="4" w:space="0" w:color="auto"/>
            </w:tcBorders>
            <w:hideMark/>
          </w:tcPr>
          <w:p w14:paraId="55CA9624"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713.1 / 364.3 = 1.96</w:t>
            </w:r>
          </w:p>
        </w:tc>
      </w:tr>
    </w:tbl>
    <w:p w14:paraId="7CF7B35C" w14:textId="77777777" w:rsidR="004F4B73" w:rsidRPr="004F4B73" w:rsidRDefault="004F4B73" w:rsidP="004F4B73">
      <w:pPr>
        <w:spacing w:line="360" w:lineRule="auto"/>
        <w:jc w:val="both"/>
        <w:rPr>
          <w:rFonts w:ascii="Times New Roman" w:eastAsia="Times New Roman" w:hAnsi="Times New Roman" w:cs="Times New Roman"/>
          <w:b/>
          <w:bCs/>
          <w:kern w:val="0"/>
          <w:lang w:val="en-US"/>
          <w14:ligatures w14:val="none"/>
        </w:rPr>
      </w:pPr>
    </w:p>
    <w:p w14:paraId="45A8C0F7" w14:textId="77777777" w:rsidR="004F4B73" w:rsidRPr="004F4B73" w:rsidRDefault="004F4B73" w:rsidP="004F4B73">
      <w:pPr>
        <w:spacing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Dividend per Share (DPS)</w:t>
      </w:r>
    </w:p>
    <w:p w14:paraId="75FF96F9" w14:textId="77777777" w:rsidR="004F4B73" w:rsidRPr="004F4B73" w:rsidRDefault="004F4B73" w:rsidP="004F4B73">
      <w:pPr>
        <w:spacing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DPS = Dividend Declared / Number of ordinary shares</w:t>
      </w:r>
    </w:p>
    <w:tbl>
      <w:tblPr>
        <w:tblStyle w:val="TableGrid"/>
        <w:tblW w:w="0" w:type="auto"/>
        <w:tblLook w:val="04A0" w:firstRow="1" w:lastRow="0" w:firstColumn="1" w:lastColumn="0" w:noHBand="0" w:noVBand="1"/>
      </w:tblPr>
      <w:tblGrid>
        <w:gridCol w:w="2160"/>
        <w:gridCol w:w="2160"/>
        <w:gridCol w:w="2160"/>
        <w:gridCol w:w="2160"/>
      </w:tblGrid>
      <w:tr w:rsidR="004F4B73" w:rsidRPr="004F4B73" w14:paraId="2165ADE2" w14:textId="77777777">
        <w:tc>
          <w:tcPr>
            <w:tcW w:w="2160" w:type="dxa"/>
            <w:tcBorders>
              <w:top w:val="single" w:sz="4" w:space="0" w:color="auto"/>
              <w:left w:val="single" w:sz="4" w:space="0" w:color="auto"/>
              <w:bottom w:val="single" w:sz="4" w:space="0" w:color="auto"/>
              <w:right w:val="single" w:sz="4" w:space="0" w:color="auto"/>
            </w:tcBorders>
            <w:hideMark/>
          </w:tcPr>
          <w:p w14:paraId="694FC717"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Year</w:t>
            </w:r>
          </w:p>
        </w:tc>
        <w:tc>
          <w:tcPr>
            <w:tcW w:w="2160" w:type="dxa"/>
            <w:tcBorders>
              <w:top w:val="single" w:sz="4" w:space="0" w:color="auto"/>
              <w:left w:val="single" w:sz="4" w:space="0" w:color="auto"/>
              <w:bottom w:val="single" w:sz="4" w:space="0" w:color="auto"/>
              <w:right w:val="single" w:sz="4" w:space="0" w:color="auto"/>
            </w:tcBorders>
            <w:hideMark/>
          </w:tcPr>
          <w:p w14:paraId="3495A847"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Dividend per Share (€)</w:t>
            </w:r>
          </w:p>
        </w:tc>
        <w:tc>
          <w:tcPr>
            <w:tcW w:w="2160" w:type="dxa"/>
            <w:tcBorders>
              <w:top w:val="single" w:sz="4" w:space="0" w:color="auto"/>
              <w:left w:val="single" w:sz="4" w:space="0" w:color="auto"/>
              <w:bottom w:val="single" w:sz="4" w:space="0" w:color="auto"/>
              <w:right w:val="single" w:sz="4" w:space="0" w:color="auto"/>
            </w:tcBorders>
            <w:hideMark/>
          </w:tcPr>
          <w:p w14:paraId="6C658D59"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Conversion (€ * 0.87)</w:t>
            </w:r>
          </w:p>
        </w:tc>
        <w:tc>
          <w:tcPr>
            <w:tcW w:w="2160" w:type="dxa"/>
            <w:tcBorders>
              <w:top w:val="single" w:sz="4" w:space="0" w:color="auto"/>
              <w:left w:val="single" w:sz="4" w:space="0" w:color="auto"/>
              <w:bottom w:val="single" w:sz="4" w:space="0" w:color="auto"/>
              <w:right w:val="single" w:sz="4" w:space="0" w:color="auto"/>
            </w:tcBorders>
            <w:hideMark/>
          </w:tcPr>
          <w:p w14:paraId="0EEC7C35"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DPS (£)</w:t>
            </w:r>
          </w:p>
        </w:tc>
      </w:tr>
      <w:tr w:rsidR="004F4B73" w:rsidRPr="004F4B73" w14:paraId="5135F7AE" w14:textId="77777777">
        <w:tc>
          <w:tcPr>
            <w:tcW w:w="2160" w:type="dxa"/>
            <w:tcBorders>
              <w:top w:val="single" w:sz="4" w:space="0" w:color="auto"/>
              <w:left w:val="single" w:sz="4" w:space="0" w:color="auto"/>
              <w:bottom w:val="single" w:sz="4" w:space="0" w:color="auto"/>
              <w:right w:val="single" w:sz="4" w:space="0" w:color="auto"/>
            </w:tcBorders>
            <w:hideMark/>
          </w:tcPr>
          <w:p w14:paraId="54CC8C85"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2023</w:t>
            </w:r>
          </w:p>
        </w:tc>
        <w:tc>
          <w:tcPr>
            <w:tcW w:w="2160" w:type="dxa"/>
            <w:tcBorders>
              <w:top w:val="single" w:sz="4" w:space="0" w:color="auto"/>
              <w:left w:val="single" w:sz="4" w:space="0" w:color="auto"/>
              <w:bottom w:val="single" w:sz="4" w:space="0" w:color="auto"/>
              <w:right w:val="single" w:sz="4" w:space="0" w:color="auto"/>
            </w:tcBorders>
            <w:hideMark/>
          </w:tcPr>
          <w:p w14:paraId="4637A6DA"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0.93</w:t>
            </w:r>
          </w:p>
        </w:tc>
        <w:tc>
          <w:tcPr>
            <w:tcW w:w="2160" w:type="dxa"/>
            <w:tcBorders>
              <w:top w:val="single" w:sz="4" w:space="0" w:color="auto"/>
              <w:left w:val="single" w:sz="4" w:space="0" w:color="auto"/>
              <w:bottom w:val="single" w:sz="4" w:space="0" w:color="auto"/>
              <w:right w:val="single" w:sz="4" w:space="0" w:color="auto"/>
            </w:tcBorders>
            <w:hideMark/>
          </w:tcPr>
          <w:p w14:paraId="6008DF8C"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0.93 * 0.87</w:t>
            </w:r>
          </w:p>
        </w:tc>
        <w:tc>
          <w:tcPr>
            <w:tcW w:w="2160" w:type="dxa"/>
            <w:tcBorders>
              <w:top w:val="single" w:sz="4" w:space="0" w:color="auto"/>
              <w:left w:val="single" w:sz="4" w:space="0" w:color="auto"/>
              <w:bottom w:val="single" w:sz="4" w:space="0" w:color="auto"/>
              <w:right w:val="single" w:sz="4" w:space="0" w:color="auto"/>
            </w:tcBorders>
            <w:hideMark/>
          </w:tcPr>
          <w:p w14:paraId="4F74DC58"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0.81</w:t>
            </w:r>
          </w:p>
        </w:tc>
      </w:tr>
      <w:tr w:rsidR="004F4B73" w:rsidRPr="004F4B73" w14:paraId="6083124D" w14:textId="77777777">
        <w:tc>
          <w:tcPr>
            <w:tcW w:w="2160" w:type="dxa"/>
            <w:tcBorders>
              <w:top w:val="single" w:sz="4" w:space="0" w:color="auto"/>
              <w:left w:val="single" w:sz="4" w:space="0" w:color="auto"/>
              <w:bottom w:val="single" w:sz="4" w:space="0" w:color="auto"/>
              <w:right w:val="single" w:sz="4" w:space="0" w:color="auto"/>
            </w:tcBorders>
            <w:hideMark/>
          </w:tcPr>
          <w:p w14:paraId="1E6BB4A4"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2024</w:t>
            </w:r>
          </w:p>
        </w:tc>
        <w:tc>
          <w:tcPr>
            <w:tcW w:w="2160" w:type="dxa"/>
            <w:tcBorders>
              <w:top w:val="single" w:sz="4" w:space="0" w:color="auto"/>
              <w:left w:val="single" w:sz="4" w:space="0" w:color="auto"/>
              <w:bottom w:val="single" w:sz="4" w:space="0" w:color="auto"/>
              <w:right w:val="single" w:sz="4" w:space="0" w:color="auto"/>
            </w:tcBorders>
            <w:hideMark/>
          </w:tcPr>
          <w:p w14:paraId="24FDB6AB"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1.03</w:t>
            </w:r>
          </w:p>
        </w:tc>
        <w:tc>
          <w:tcPr>
            <w:tcW w:w="2160" w:type="dxa"/>
            <w:tcBorders>
              <w:top w:val="single" w:sz="4" w:space="0" w:color="auto"/>
              <w:left w:val="single" w:sz="4" w:space="0" w:color="auto"/>
              <w:bottom w:val="single" w:sz="4" w:space="0" w:color="auto"/>
              <w:right w:val="single" w:sz="4" w:space="0" w:color="auto"/>
            </w:tcBorders>
            <w:hideMark/>
          </w:tcPr>
          <w:p w14:paraId="345595B7"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1.03 * 0.87</w:t>
            </w:r>
          </w:p>
        </w:tc>
        <w:tc>
          <w:tcPr>
            <w:tcW w:w="2160" w:type="dxa"/>
            <w:tcBorders>
              <w:top w:val="single" w:sz="4" w:space="0" w:color="auto"/>
              <w:left w:val="single" w:sz="4" w:space="0" w:color="auto"/>
              <w:bottom w:val="single" w:sz="4" w:space="0" w:color="auto"/>
              <w:right w:val="single" w:sz="4" w:space="0" w:color="auto"/>
            </w:tcBorders>
            <w:hideMark/>
          </w:tcPr>
          <w:p w14:paraId="525D4DEB"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0.90</w:t>
            </w:r>
          </w:p>
        </w:tc>
      </w:tr>
    </w:tbl>
    <w:p w14:paraId="1F61FD53" w14:textId="77777777" w:rsidR="004F4B73" w:rsidRPr="004F4B73" w:rsidRDefault="004F4B73" w:rsidP="004F4B73">
      <w:pPr>
        <w:spacing w:line="360" w:lineRule="auto"/>
        <w:jc w:val="both"/>
        <w:rPr>
          <w:rFonts w:ascii="Times New Roman" w:eastAsia="Times New Roman" w:hAnsi="Times New Roman" w:cs="Times New Roman"/>
          <w:b/>
          <w:bCs/>
          <w:kern w:val="0"/>
          <w:lang w:val="en-US"/>
          <w14:ligatures w14:val="none"/>
        </w:rPr>
      </w:pPr>
    </w:p>
    <w:p w14:paraId="0D401B78" w14:textId="77777777" w:rsidR="004F4B73" w:rsidRPr="004F4B73" w:rsidRDefault="004F4B73" w:rsidP="004F4B73">
      <w:pPr>
        <w:spacing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Dividend Cover</w:t>
      </w:r>
    </w:p>
    <w:p w14:paraId="6F6A748D" w14:textId="77777777" w:rsidR="004F4B73" w:rsidRPr="004F4B73" w:rsidRDefault="004F4B73" w:rsidP="004F4B73">
      <w:pPr>
        <w:spacing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 xml:space="preserve">Dividend Cover = Profit after Tax / Total Dividends </w:t>
      </w:r>
      <w:proofErr w:type="gramStart"/>
      <w:r w:rsidRPr="004F4B73">
        <w:rPr>
          <w:rFonts w:ascii="Times New Roman" w:eastAsia="Times New Roman" w:hAnsi="Times New Roman" w:cs="Times New Roman"/>
          <w:b/>
          <w:bCs/>
          <w:kern w:val="0"/>
          <w:lang w:val="en-US"/>
          <w14:ligatures w14:val="none"/>
        </w:rPr>
        <w:t>Paid  (</w:t>
      </w:r>
      <w:proofErr w:type="gramEnd"/>
      <w:r w:rsidRPr="004F4B73">
        <w:rPr>
          <w:rFonts w:ascii="Times New Roman" w:eastAsia="Times New Roman" w:hAnsi="Times New Roman" w:cs="Times New Roman"/>
          <w:b/>
          <w:bCs/>
          <w:kern w:val="0"/>
          <w:lang w:val="en-US"/>
          <w14:ligatures w14:val="none"/>
        </w:rPr>
        <w:t>Total Dividends Paid = DPS (£) * Shares (m))</w:t>
      </w:r>
    </w:p>
    <w:tbl>
      <w:tblPr>
        <w:tblStyle w:val="TableGrid"/>
        <w:tblW w:w="0" w:type="auto"/>
        <w:tblLook w:val="04A0" w:firstRow="1" w:lastRow="0" w:firstColumn="1" w:lastColumn="0" w:noHBand="0" w:noVBand="1"/>
      </w:tblPr>
      <w:tblGrid>
        <w:gridCol w:w="1440"/>
        <w:gridCol w:w="1440"/>
        <w:gridCol w:w="1440"/>
        <w:gridCol w:w="1440"/>
        <w:gridCol w:w="1440"/>
        <w:gridCol w:w="1440"/>
      </w:tblGrid>
      <w:tr w:rsidR="004F4B73" w:rsidRPr="004F4B73" w14:paraId="51338C8E" w14:textId="77777777">
        <w:tc>
          <w:tcPr>
            <w:tcW w:w="1440" w:type="dxa"/>
            <w:tcBorders>
              <w:top w:val="single" w:sz="4" w:space="0" w:color="auto"/>
              <w:left w:val="single" w:sz="4" w:space="0" w:color="auto"/>
              <w:bottom w:val="single" w:sz="4" w:space="0" w:color="auto"/>
              <w:right w:val="single" w:sz="4" w:space="0" w:color="auto"/>
            </w:tcBorders>
            <w:hideMark/>
          </w:tcPr>
          <w:p w14:paraId="62063AA2"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Year</w:t>
            </w:r>
          </w:p>
        </w:tc>
        <w:tc>
          <w:tcPr>
            <w:tcW w:w="1440" w:type="dxa"/>
            <w:tcBorders>
              <w:top w:val="single" w:sz="4" w:space="0" w:color="auto"/>
              <w:left w:val="single" w:sz="4" w:space="0" w:color="auto"/>
              <w:bottom w:val="single" w:sz="4" w:space="0" w:color="auto"/>
              <w:right w:val="single" w:sz="4" w:space="0" w:color="auto"/>
            </w:tcBorders>
            <w:hideMark/>
          </w:tcPr>
          <w:p w14:paraId="24044AF8"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Profit after Tax (£m)</w:t>
            </w:r>
          </w:p>
        </w:tc>
        <w:tc>
          <w:tcPr>
            <w:tcW w:w="1440" w:type="dxa"/>
            <w:tcBorders>
              <w:top w:val="single" w:sz="4" w:space="0" w:color="auto"/>
              <w:left w:val="single" w:sz="4" w:space="0" w:color="auto"/>
              <w:bottom w:val="single" w:sz="4" w:space="0" w:color="auto"/>
              <w:right w:val="single" w:sz="4" w:space="0" w:color="auto"/>
            </w:tcBorders>
            <w:hideMark/>
          </w:tcPr>
          <w:p w14:paraId="53BCD812"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DPS (£)</w:t>
            </w:r>
          </w:p>
        </w:tc>
        <w:tc>
          <w:tcPr>
            <w:tcW w:w="1440" w:type="dxa"/>
            <w:tcBorders>
              <w:top w:val="single" w:sz="4" w:space="0" w:color="auto"/>
              <w:left w:val="single" w:sz="4" w:space="0" w:color="auto"/>
              <w:bottom w:val="single" w:sz="4" w:space="0" w:color="auto"/>
              <w:right w:val="single" w:sz="4" w:space="0" w:color="auto"/>
            </w:tcBorders>
            <w:hideMark/>
          </w:tcPr>
          <w:p w14:paraId="0EBA0B6D"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Shares (m)</w:t>
            </w:r>
          </w:p>
        </w:tc>
        <w:tc>
          <w:tcPr>
            <w:tcW w:w="1440" w:type="dxa"/>
            <w:tcBorders>
              <w:top w:val="single" w:sz="4" w:space="0" w:color="auto"/>
              <w:left w:val="single" w:sz="4" w:space="0" w:color="auto"/>
              <w:bottom w:val="single" w:sz="4" w:space="0" w:color="auto"/>
              <w:right w:val="single" w:sz="4" w:space="0" w:color="auto"/>
            </w:tcBorders>
            <w:hideMark/>
          </w:tcPr>
          <w:p w14:paraId="125502C2"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Total Dividends Paid (£m)</w:t>
            </w:r>
          </w:p>
        </w:tc>
        <w:tc>
          <w:tcPr>
            <w:tcW w:w="1440" w:type="dxa"/>
            <w:tcBorders>
              <w:top w:val="single" w:sz="4" w:space="0" w:color="auto"/>
              <w:left w:val="single" w:sz="4" w:space="0" w:color="auto"/>
              <w:bottom w:val="single" w:sz="4" w:space="0" w:color="auto"/>
              <w:right w:val="single" w:sz="4" w:space="0" w:color="auto"/>
            </w:tcBorders>
            <w:hideMark/>
          </w:tcPr>
          <w:p w14:paraId="62577BC1"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Dividend Cover (times)</w:t>
            </w:r>
          </w:p>
        </w:tc>
      </w:tr>
      <w:tr w:rsidR="004F4B73" w:rsidRPr="004F4B73" w14:paraId="4E89D833" w14:textId="77777777">
        <w:tc>
          <w:tcPr>
            <w:tcW w:w="1440" w:type="dxa"/>
            <w:tcBorders>
              <w:top w:val="single" w:sz="4" w:space="0" w:color="auto"/>
              <w:left w:val="single" w:sz="4" w:space="0" w:color="auto"/>
              <w:bottom w:val="single" w:sz="4" w:space="0" w:color="auto"/>
              <w:right w:val="single" w:sz="4" w:space="0" w:color="auto"/>
            </w:tcBorders>
            <w:hideMark/>
          </w:tcPr>
          <w:p w14:paraId="41A3FD93"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2023</w:t>
            </w:r>
          </w:p>
        </w:tc>
        <w:tc>
          <w:tcPr>
            <w:tcW w:w="1440" w:type="dxa"/>
            <w:tcBorders>
              <w:top w:val="single" w:sz="4" w:space="0" w:color="auto"/>
              <w:left w:val="single" w:sz="4" w:space="0" w:color="auto"/>
              <w:bottom w:val="single" w:sz="4" w:space="0" w:color="auto"/>
              <w:right w:val="single" w:sz="4" w:space="0" w:color="auto"/>
            </w:tcBorders>
            <w:hideMark/>
          </w:tcPr>
          <w:p w14:paraId="4B43D003"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553.1</w:t>
            </w:r>
          </w:p>
        </w:tc>
        <w:tc>
          <w:tcPr>
            <w:tcW w:w="1440" w:type="dxa"/>
            <w:tcBorders>
              <w:top w:val="single" w:sz="4" w:space="0" w:color="auto"/>
              <w:left w:val="single" w:sz="4" w:space="0" w:color="auto"/>
              <w:bottom w:val="single" w:sz="4" w:space="0" w:color="auto"/>
              <w:right w:val="single" w:sz="4" w:space="0" w:color="auto"/>
            </w:tcBorders>
            <w:hideMark/>
          </w:tcPr>
          <w:p w14:paraId="038FD43E"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0.81</w:t>
            </w:r>
          </w:p>
        </w:tc>
        <w:tc>
          <w:tcPr>
            <w:tcW w:w="1440" w:type="dxa"/>
            <w:tcBorders>
              <w:top w:val="single" w:sz="4" w:space="0" w:color="auto"/>
              <w:left w:val="single" w:sz="4" w:space="0" w:color="auto"/>
              <w:bottom w:val="single" w:sz="4" w:space="0" w:color="auto"/>
              <w:right w:val="single" w:sz="4" w:space="0" w:color="auto"/>
            </w:tcBorders>
            <w:hideMark/>
          </w:tcPr>
          <w:p w14:paraId="3FCDF723"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367.1</w:t>
            </w:r>
          </w:p>
        </w:tc>
        <w:tc>
          <w:tcPr>
            <w:tcW w:w="1440" w:type="dxa"/>
            <w:tcBorders>
              <w:top w:val="single" w:sz="4" w:space="0" w:color="auto"/>
              <w:left w:val="single" w:sz="4" w:space="0" w:color="auto"/>
              <w:bottom w:val="single" w:sz="4" w:space="0" w:color="auto"/>
              <w:right w:val="single" w:sz="4" w:space="0" w:color="auto"/>
            </w:tcBorders>
            <w:hideMark/>
          </w:tcPr>
          <w:p w14:paraId="5B8EBE6C"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0.81 * 367.1 = 297.0</w:t>
            </w:r>
          </w:p>
        </w:tc>
        <w:tc>
          <w:tcPr>
            <w:tcW w:w="1440" w:type="dxa"/>
            <w:tcBorders>
              <w:top w:val="single" w:sz="4" w:space="0" w:color="auto"/>
              <w:left w:val="single" w:sz="4" w:space="0" w:color="auto"/>
              <w:bottom w:val="single" w:sz="4" w:space="0" w:color="auto"/>
              <w:right w:val="single" w:sz="4" w:space="0" w:color="auto"/>
            </w:tcBorders>
            <w:hideMark/>
          </w:tcPr>
          <w:p w14:paraId="0E2C24BB"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553.1 / 297.0 = 1.86</w:t>
            </w:r>
          </w:p>
        </w:tc>
      </w:tr>
      <w:tr w:rsidR="004F4B73" w:rsidRPr="004F4B73" w14:paraId="0FF2B2F3" w14:textId="77777777">
        <w:tc>
          <w:tcPr>
            <w:tcW w:w="1440" w:type="dxa"/>
            <w:tcBorders>
              <w:top w:val="single" w:sz="4" w:space="0" w:color="auto"/>
              <w:left w:val="single" w:sz="4" w:space="0" w:color="auto"/>
              <w:bottom w:val="single" w:sz="4" w:space="0" w:color="auto"/>
              <w:right w:val="single" w:sz="4" w:space="0" w:color="auto"/>
            </w:tcBorders>
            <w:hideMark/>
          </w:tcPr>
          <w:p w14:paraId="1937F432"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2024</w:t>
            </w:r>
          </w:p>
        </w:tc>
        <w:tc>
          <w:tcPr>
            <w:tcW w:w="1440" w:type="dxa"/>
            <w:tcBorders>
              <w:top w:val="single" w:sz="4" w:space="0" w:color="auto"/>
              <w:left w:val="single" w:sz="4" w:space="0" w:color="auto"/>
              <w:bottom w:val="single" w:sz="4" w:space="0" w:color="auto"/>
              <w:right w:val="single" w:sz="4" w:space="0" w:color="auto"/>
            </w:tcBorders>
            <w:hideMark/>
          </w:tcPr>
          <w:p w14:paraId="129FE993"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713.1</w:t>
            </w:r>
          </w:p>
        </w:tc>
        <w:tc>
          <w:tcPr>
            <w:tcW w:w="1440" w:type="dxa"/>
            <w:tcBorders>
              <w:top w:val="single" w:sz="4" w:space="0" w:color="auto"/>
              <w:left w:val="single" w:sz="4" w:space="0" w:color="auto"/>
              <w:bottom w:val="single" w:sz="4" w:space="0" w:color="auto"/>
              <w:right w:val="single" w:sz="4" w:space="0" w:color="auto"/>
            </w:tcBorders>
            <w:hideMark/>
          </w:tcPr>
          <w:p w14:paraId="1BD063DA"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0.90</w:t>
            </w:r>
          </w:p>
        </w:tc>
        <w:tc>
          <w:tcPr>
            <w:tcW w:w="1440" w:type="dxa"/>
            <w:tcBorders>
              <w:top w:val="single" w:sz="4" w:space="0" w:color="auto"/>
              <w:left w:val="single" w:sz="4" w:space="0" w:color="auto"/>
              <w:bottom w:val="single" w:sz="4" w:space="0" w:color="auto"/>
              <w:right w:val="single" w:sz="4" w:space="0" w:color="auto"/>
            </w:tcBorders>
            <w:hideMark/>
          </w:tcPr>
          <w:p w14:paraId="2493658F"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364.3</w:t>
            </w:r>
          </w:p>
        </w:tc>
        <w:tc>
          <w:tcPr>
            <w:tcW w:w="1440" w:type="dxa"/>
            <w:tcBorders>
              <w:top w:val="single" w:sz="4" w:space="0" w:color="auto"/>
              <w:left w:val="single" w:sz="4" w:space="0" w:color="auto"/>
              <w:bottom w:val="single" w:sz="4" w:space="0" w:color="auto"/>
              <w:right w:val="single" w:sz="4" w:space="0" w:color="auto"/>
            </w:tcBorders>
            <w:hideMark/>
          </w:tcPr>
          <w:p w14:paraId="45ABDDBD"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0.90 * 364.3 = 326.4</w:t>
            </w:r>
          </w:p>
        </w:tc>
        <w:tc>
          <w:tcPr>
            <w:tcW w:w="1440" w:type="dxa"/>
            <w:tcBorders>
              <w:top w:val="single" w:sz="4" w:space="0" w:color="auto"/>
              <w:left w:val="single" w:sz="4" w:space="0" w:color="auto"/>
              <w:bottom w:val="single" w:sz="4" w:space="0" w:color="auto"/>
              <w:right w:val="single" w:sz="4" w:space="0" w:color="auto"/>
            </w:tcBorders>
            <w:hideMark/>
          </w:tcPr>
          <w:p w14:paraId="6D667DBD"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713.1 / 326.4 = 2.19</w:t>
            </w:r>
          </w:p>
        </w:tc>
      </w:tr>
    </w:tbl>
    <w:p w14:paraId="6CC7CE58" w14:textId="77777777" w:rsidR="004F4B73" w:rsidRPr="004F4B73" w:rsidRDefault="004F4B73" w:rsidP="004F4B73">
      <w:pPr>
        <w:spacing w:line="360" w:lineRule="auto"/>
        <w:jc w:val="both"/>
        <w:rPr>
          <w:rFonts w:ascii="Times New Roman" w:eastAsia="Times New Roman" w:hAnsi="Times New Roman" w:cs="Times New Roman"/>
          <w:b/>
          <w:bCs/>
          <w:kern w:val="0"/>
          <w:lang w:val="en-US"/>
          <w14:ligatures w14:val="none"/>
        </w:rPr>
      </w:pPr>
    </w:p>
    <w:p w14:paraId="4843FD67" w14:textId="77777777" w:rsidR="004F4B73" w:rsidRPr="004F4B73" w:rsidRDefault="004F4B73" w:rsidP="004F4B73">
      <w:pPr>
        <w:spacing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Dividend Yield</w:t>
      </w:r>
    </w:p>
    <w:p w14:paraId="735D46EF" w14:textId="77777777" w:rsidR="004F4B73" w:rsidRPr="004F4B73" w:rsidRDefault="004F4B73" w:rsidP="004F4B73">
      <w:pPr>
        <w:spacing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Dividend Yield = (Dividend per Share / Market Value per Share) * 100</w:t>
      </w:r>
    </w:p>
    <w:tbl>
      <w:tblPr>
        <w:tblStyle w:val="TableGrid"/>
        <w:tblW w:w="0" w:type="auto"/>
        <w:tblLook w:val="04A0" w:firstRow="1" w:lastRow="0" w:firstColumn="1" w:lastColumn="0" w:noHBand="0" w:noVBand="1"/>
      </w:tblPr>
      <w:tblGrid>
        <w:gridCol w:w="2160"/>
        <w:gridCol w:w="2160"/>
        <w:gridCol w:w="2160"/>
        <w:gridCol w:w="2160"/>
      </w:tblGrid>
      <w:tr w:rsidR="004F4B73" w:rsidRPr="004F4B73" w14:paraId="1B40B6C4" w14:textId="77777777">
        <w:tc>
          <w:tcPr>
            <w:tcW w:w="2160" w:type="dxa"/>
            <w:tcBorders>
              <w:top w:val="single" w:sz="4" w:space="0" w:color="auto"/>
              <w:left w:val="single" w:sz="4" w:space="0" w:color="auto"/>
              <w:bottom w:val="single" w:sz="4" w:space="0" w:color="auto"/>
              <w:right w:val="single" w:sz="4" w:space="0" w:color="auto"/>
            </w:tcBorders>
            <w:hideMark/>
          </w:tcPr>
          <w:p w14:paraId="5C773BF4"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Year</w:t>
            </w:r>
          </w:p>
        </w:tc>
        <w:tc>
          <w:tcPr>
            <w:tcW w:w="2160" w:type="dxa"/>
            <w:tcBorders>
              <w:top w:val="single" w:sz="4" w:space="0" w:color="auto"/>
              <w:left w:val="single" w:sz="4" w:space="0" w:color="auto"/>
              <w:bottom w:val="single" w:sz="4" w:space="0" w:color="auto"/>
              <w:right w:val="single" w:sz="4" w:space="0" w:color="auto"/>
            </w:tcBorders>
            <w:hideMark/>
          </w:tcPr>
          <w:p w14:paraId="6543E6AA"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DPS (£)</w:t>
            </w:r>
          </w:p>
        </w:tc>
        <w:tc>
          <w:tcPr>
            <w:tcW w:w="2160" w:type="dxa"/>
            <w:tcBorders>
              <w:top w:val="single" w:sz="4" w:space="0" w:color="auto"/>
              <w:left w:val="single" w:sz="4" w:space="0" w:color="auto"/>
              <w:bottom w:val="single" w:sz="4" w:space="0" w:color="auto"/>
              <w:right w:val="single" w:sz="4" w:space="0" w:color="auto"/>
            </w:tcBorders>
            <w:hideMark/>
          </w:tcPr>
          <w:p w14:paraId="78F4FE97"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Share Price (£)</w:t>
            </w:r>
          </w:p>
        </w:tc>
        <w:tc>
          <w:tcPr>
            <w:tcW w:w="2160" w:type="dxa"/>
            <w:tcBorders>
              <w:top w:val="single" w:sz="4" w:space="0" w:color="auto"/>
              <w:left w:val="single" w:sz="4" w:space="0" w:color="auto"/>
              <w:bottom w:val="single" w:sz="4" w:space="0" w:color="auto"/>
              <w:right w:val="single" w:sz="4" w:space="0" w:color="auto"/>
            </w:tcBorders>
            <w:hideMark/>
          </w:tcPr>
          <w:p w14:paraId="69D7EA34"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Dividend Yield (%)</w:t>
            </w:r>
          </w:p>
        </w:tc>
      </w:tr>
      <w:tr w:rsidR="004F4B73" w:rsidRPr="004F4B73" w14:paraId="663D921A" w14:textId="77777777">
        <w:tc>
          <w:tcPr>
            <w:tcW w:w="2160" w:type="dxa"/>
            <w:tcBorders>
              <w:top w:val="single" w:sz="4" w:space="0" w:color="auto"/>
              <w:left w:val="single" w:sz="4" w:space="0" w:color="auto"/>
              <w:bottom w:val="single" w:sz="4" w:space="0" w:color="auto"/>
              <w:right w:val="single" w:sz="4" w:space="0" w:color="auto"/>
            </w:tcBorders>
            <w:hideMark/>
          </w:tcPr>
          <w:p w14:paraId="1CB049EF"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2023</w:t>
            </w:r>
          </w:p>
        </w:tc>
        <w:tc>
          <w:tcPr>
            <w:tcW w:w="2160" w:type="dxa"/>
            <w:tcBorders>
              <w:top w:val="single" w:sz="4" w:space="0" w:color="auto"/>
              <w:left w:val="single" w:sz="4" w:space="0" w:color="auto"/>
              <w:bottom w:val="single" w:sz="4" w:space="0" w:color="auto"/>
              <w:right w:val="single" w:sz="4" w:space="0" w:color="auto"/>
            </w:tcBorders>
            <w:hideMark/>
          </w:tcPr>
          <w:p w14:paraId="3211094D"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0.81</w:t>
            </w:r>
          </w:p>
        </w:tc>
        <w:tc>
          <w:tcPr>
            <w:tcW w:w="2160" w:type="dxa"/>
            <w:tcBorders>
              <w:top w:val="single" w:sz="4" w:space="0" w:color="auto"/>
              <w:left w:val="single" w:sz="4" w:space="0" w:color="auto"/>
              <w:bottom w:val="single" w:sz="4" w:space="0" w:color="auto"/>
              <w:right w:val="single" w:sz="4" w:space="0" w:color="auto"/>
            </w:tcBorders>
            <w:hideMark/>
          </w:tcPr>
          <w:p w14:paraId="529EA0A5"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23.04</w:t>
            </w:r>
          </w:p>
        </w:tc>
        <w:tc>
          <w:tcPr>
            <w:tcW w:w="2160" w:type="dxa"/>
            <w:tcBorders>
              <w:top w:val="single" w:sz="4" w:space="0" w:color="auto"/>
              <w:left w:val="single" w:sz="4" w:space="0" w:color="auto"/>
              <w:bottom w:val="single" w:sz="4" w:space="0" w:color="auto"/>
              <w:right w:val="single" w:sz="4" w:space="0" w:color="auto"/>
            </w:tcBorders>
            <w:hideMark/>
          </w:tcPr>
          <w:p w14:paraId="2A85B355"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(0.81 / 23.04) * 100 = 3.51%</w:t>
            </w:r>
          </w:p>
        </w:tc>
      </w:tr>
      <w:tr w:rsidR="004F4B73" w:rsidRPr="004F4B73" w14:paraId="595F95D9" w14:textId="77777777">
        <w:tc>
          <w:tcPr>
            <w:tcW w:w="2160" w:type="dxa"/>
            <w:tcBorders>
              <w:top w:val="single" w:sz="4" w:space="0" w:color="auto"/>
              <w:left w:val="single" w:sz="4" w:space="0" w:color="auto"/>
              <w:bottom w:val="single" w:sz="4" w:space="0" w:color="auto"/>
              <w:right w:val="single" w:sz="4" w:space="0" w:color="auto"/>
            </w:tcBorders>
            <w:hideMark/>
          </w:tcPr>
          <w:p w14:paraId="631AE18F"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2024</w:t>
            </w:r>
          </w:p>
        </w:tc>
        <w:tc>
          <w:tcPr>
            <w:tcW w:w="2160" w:type="dxa"/>
            <w:tcBorders>
              <w:top w:val="single" w:sz="4" w:space="0" w:color="auto"/>
              <w:left w:val="single" w:sz="4" w:space="0" w:color="auto"/>
              <w:bottom w:val="single" w:sz="4" w:space="0" w:color="auto"/>
              <w:right w:val="single" w:sz="4" w:space="0" w:color="auto"/>
            </w:tcBorders>
            <w:hideMark/>
          </w:tcPr>
          <w:p w14:paraId="194C1D4B"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0.90</w:t>
            </w:r>
          </w:p>
        </w:tc>
        <w:tc>
          <w:tcPr>
            <w:tcW w:w="2160" w:type="dxa"/>
            <w:tcBorders>
              <w:top w:val="single" w:sz="4" w:space="0" w:color="auto"/>
              <w:left w:val="single" w:sz="4" w:space="0" w:color="auto"/>
              <w:bottom w:val="single" w:sz="4" w:space="0" w:color="auto"/>
              <w:right w:val="single" w:sz="4" w:space="0" w:color="auto"/>
            </w:tcBorders>
            <w:hideMark/>
          </w:tcPr>
          <w:p w14:paraId="180C80C5"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27.32</w:t>
            </w:r>
          </w:p>
        </w:tc>
        <w:tc>
          <w:tcPr>
            <w:tcW w:w="2160" w:type="dxa"/>
            <w:tcBorders>
              <w:top w:val="single" w:sz="4" w:space="0" w:color="auto"/>
              <w:left w:val="single" w:sz="4" w:space="0" w:color="auto"/>
              <w:bottom w:val="single" w:sz="4" w:space="0" w:color="auto"/>
              <w:right w:val="single" w:sz="4" w:space="0" w:color="auto"/>
            </w:tcBorders>
            <w:hideMark/>
          </w:tcPr>
          <w:p w14:paraId="32B4B3B9"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(0.90 / 27.32) * 100 = 3.28%</w:t>
            </w:r>
          </w:p>
        </w:tc>
      </w:tr>
    </w:tbl>
    <w:p w14:paraId="43049746" w14:textId="77777777" w:rsidR="004F4B73" w:rsidRPr="004F4B73" w:rsidRDefault="004F4B73" w:rsidP="004F4B73">
      <w:pPr>
        <w:spacing w:line="360" w:lineRule="auto"/>
        <w:jc w:val="both"/>
        <w:rPr>
          <w:rFonts w:ascii="Times New Roman" w:eastAsia="Times New Roman" w:hAnsi="Times New Roman" w:cs="Times New Roman"/>
          <w:b/>
          <w:bCs/>
          <w:kern w:val="0"/>
          <w:lang w:val="en-US"/>
          <w14:ligatures w14:val="none"/>
        </w:rPr>
      </w:pPr>
    </w:p>
    <w:p w14:paraId="222C326C" w14:textId="77777777" w:rsidR="004F4B73" w:rsidRPr="004F4B73" w:rsidRDefault="004F4B73" w:rsidP="004F4B73">
      <w:pPr>
        <w:spacing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Interest Cover</w:t>
      </w:r>
    </w:p>
    <w:p w14:paraId="1497127C" w14:textId="77777777" w:rsidR="004F4B73" w:rsidRPr="004F4B73" w:rsidRDefault="004F4B73" w:rsidP="004F4B73">
      <w:pPr>
        <w:spacing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Interest Cover = EBIT / Finance Costs</w:t>
      </w:r>
    </w:p>
    <w:tbl>
      <w:tblPr>
        <w:tblStyle w:val="TableGrid"/>
        <w:tblW w:w="0" w:type="auto"/>
        <w:tblLook w:val="04A0" w:firstRow="1" w:lastRow="0" w:firstColumn="1" w:lastColumn="0" w:noHBand="0" w:noVBand="1"/>
      </w:tblPr>
      <w:tblGrid>
        <w:gridCol w:w="1440"/>
        <w:gridCol w:w="1440"/>
        <w:gridCol w:w="1440"/>
        <w:gridCol w:w="1440"/>
        <w:gridCol w:w="1440"/>
        <w:gridCol w:w="1440"/>
      </w:tblGrid>
      <w:tr w:rsidR="004F4B73" w:rsidRPr="004F4B73" w14:paraId="307B93BD" w14:textId="77777777">
        <w:tc>
          <w:tcPr>
            <w:tcW w:w="1440" w:type="dxa"/>
            <w:tcBorders>
              <w:top w:val="single" w:sz="4" w:space="0" w:color="auto"/>
              <w:left w:val="single" w:sz="4" w:space="0" w:color="auto"/>
              <w:bottom w:val="single" w:sz="4" w:space="0" w:color="auto"/>
              <w:right w:val="single" w:sz="4" w:space="0" w:color="auto"/>
            </w:tcBorders>
            <w:hideMark/>
          </w:tcPr>
          <w:p w14:paraId="02ACC9D6"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lastRenderedPageBreak/>
              <w:t>Year</w:t>
            </w:r>
          </w:p>
        </w:tc>
        <w:tc>
          <w:tcPr>
            <w:tcW w:w="1440" w:type="dxa"/>
            <w:tcBorders>
              <w:top w:val="single" w:sz="4" w:space="0" w:color="auto"/>
              <w:left w:val="single" w:sz="4" w:space="0" w:color="auto"/>
              <w:bottom w:val="single" w:sz="4" w:space="0" w:color="auto"/>
              <w:right w:val="single" w:sz="4" w:space="0" w:color="auto"/>
            </w:tcBorders>
            <w:hideMark/>
          </w:tcPr>
          <w:p w14:paraId="39C7BF5B"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EBIT (€m)</w:t>
            </w:r>
          </w:p>
        </w:tc>
        <w:tc>
          <w:tcPr>
            <w:tcW w:w="1440" w:type="dxa"/>
            <w:tcBorders>
              <w:top w:val="single" w:sz="4" w:space="0" w:color="auto"/>
              <w:left w:val="single" w:sz="4" w:space="0" w:color="auto"/>
              <w:bottom w:val="single" w:sz="4" w:space="0" w:color="auto"/>
              <w:right w:val="single" w:sz="4" w:space="0" w:color="auto"/>
            </w:tcBorders>
            <w:hideMark/>
          </w:tcPr>
          <w:p w14:paraId="3F04CAC5"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EBIT (£m) (*0.87)</w:t>
            </w:r>
          </w:p>
        </w:tc>
        <w:tc>
          <w:tcPr>
            <w:tcW w:w="1440" w:type="dxa"/>
            <w:tcBorders>
              <w:top w:val="single" w:sz="4" w:space="0" w:color="auto"/>
              <w:left w:val="single" w:sz="4" w:space="0" w:color="auto"/>
              <w:bottom w:val="single" w:sz="4" w:space="0" w:color="auto"/>
              <w:right w:val="single" w:sz="4" w:space="0" w:color="auto"/>
            </w:tcBorders>
            <w:hideMark/>
          </w:tcPr>
          <w:p w14:paraId="35E3C7B3"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Finance Costs (€m)</w:t>
            </w:r>
          </w:p>
        </w:tc>
        <w:tc>
          <w:tcPr>
            <w:tcW w:w="1440" w:type="dxa"/>
            <w:tcBorders>
              <w:top w:val="single" w:sz="4" w:space="0" w:color="auto"/>
              <w:left w:val="single" w:sz="4" w:space="0" w:color="auto"/>
              <w:bottom w:val="single" w:sz="4" w:space="0" w:color="auto"/>
              <w:right w:val="single" w:sz="4" w:space="0" w:color="auto"/>
            </w:tcBorders>
            <w:hideMark/>
          </w:tcPr>
          <w:p w14:paraId="7E70F996"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Finance Costs (£m) (*0.87)</w:t>
            </w:r>
          </w:p>
        </w:tc>
        <w:tc>
          <w:tcPr>
            <w:tcW w:w="1440" w:type="dxa"/>
            <w:tcBorders>
              <w:top w:val="single" w:sz="4" w:space="0" w:color="auto"/>
              <w:left w:val="single" w:sz="4" w:space="0" w:color="auto"/>
              <w:bottom w:val="single" w:sz="4" w:space="0" w:color="auto"/>
              <w:right w:val="single" w:sz="4" w:space="0" w:color="auto"/>
            </w:tcBorders>
            <w:hideMark/>
          </w:tcPr>
          <w:p w14:paraId="4F23EE58"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Interest Cover (times)</w:t>
            </w:r>
          </w:p>
        </w:tc>
      </w:tr>
      <w:tr w:rsidR="004F4B73" w:rsidRPr="004F4B73" w14:paraId="7D4C37EE" w14:textId="77777777">
        <w:tc>
          <w:tcPr>
            <w:tcW w:w="1440" w:type="dxa"/>
            <w:tcBorders>
              <w:top w:val="single" w:sz="4" w:space="0" w:color="auto"/>
              <w:left w:val="single" w:sz="4" w:space="0" w:color="auto"/>
              <w:bottom w:val="single" w:sz="4" w:space="0" w:color="auto"/>
              <w:right w:val="single" w:sz="4" w:space="0" w:color="auto"/>
            </w:tcBorders>
            <w:hideMark/>
          </w:tcPr>
          <w:p w14:paraId="0FDF9779"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2023</w:t>
            </w:r>
          </w:p>
        </w:tc>
        <w:tc>
          <w:tcPr>
            <w:tcW w:w="1440" w:type="dxa"/>
            <w:tcBorders>
              <w:top w:val="single" w:sz="4" w:space="0" w:color="auto"/>
              <w:left w:val="single" w:sz="4" w:space="0" w:color="auto"/>
              <w:bottom w:val="single" w:sz="4" w:space="0" w:color="auto"/>
              <w:right w:val="single" w:sz="4" w:space="0" w:color="auto"/>
            </w:tcBorders>
            <w:hideMark/>
          </w:tcPr>
          <w:p w14:paraId="0FC2C052"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953.6</w:t>
            </w:r>
          </w:p>
        </w:tc>
        <w:tc>
          <w:tcPr>
            <w:tcW w:w="1440" w:type="dxa"/>
            <w:tcBorders>
              <w:top w:val="single" w:sz="4" w:space="0" w:color="auto"/>
              <w:left w:val="single" w:sz="4" w:space="0" w:color="auto"/>
              <w:bottom w:val="single" w:sz="4" w:space="0" w:color="auto"/>
              <w:right w:val="single" w:sz="4" w:space="0" w:color="auto"/>
            </w:tcBorders>
            <w:hideMark/>
          </w:tcPr>
          <w:p w14:paraId="3D58C894"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953.6 * 0.87 = 829.6</w:t>
            </w:r>
          </w:p>
        </w:tc>
        <w:tc>
          <w:tcPr>
            <w:tcW w:w="1440" w:type="dxa"/>
            <w:tcBorders>
              <w:top w:val="single" w:sz="4" w:space="0" w:color="auto"/>
              <w:left w:val="single" w:sz="4" w:space="0" w:color="auto"/>
              <w:bottom w:val="single" w:sz="4" w:space="0" w:color="auto"/>
              <w:right w:val="single" w:sz="4" w:space="0" w:color="auto"/>
            </w:tcBorders>
            <w:hideMark/>
          </w:tcPr>
          <w:p w14:paraId="1213B7DA"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104.0</w:t>
            </w:r>
          </w:p>
        </w:tc>
        <w:tc>
          <w:tcPr>
            <w:tcW w:w="1440" w:type="dxa"/>
            <w:tcBorders>
              <w:top w:val="single" w:sz="4" w:space="0" w:color="auto"/>
              <w:left w:val="single" w:sz="4" w:space="0" w:color="auto"/>
              <w:bottom w:val="single" w:sz="4" w:space="0" w:color="auto"/>
              <w:right w:val="single" w:sz="4" w:space="0" w:color="auto"/>
            </w:tcBorders>
            <w:hideMark/>
          </w:tcPr>
          <w:p w14:paraId="1980D0C2"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104.0 * 0.87 = 90.5</w:t>
            </w:r>
          </w:p>
        </w:tc>
        <w:tc>
          <w:tcPr>
            <w:tcW w:w="1440" w:type="dxa"/>
            <w:tcBorders>
              <w:top w:val="single" w:sz="4" w:space="0" w:color="auto"/>
              <w:left w:val="single" w:sz="4" w:space="0" w:color="auto"/>
              <w:bottom w:val="single" w:sz="4" w:space="0" w:color="auto"/>
              <w:right w:val="single" w:sz="4" w:space="0" w:color="auto"/>
            </w:tcBorders>
            <w:hideMark/>
          </w:tcPr>
          <w:p w14:paraId="7DD55C8B"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829.6 / 90.5 = 9.17</w:t>
            </w:r>
          </w:p>
        </w:tc>
      </w:tr>
      <w:tr w:rsidR="004F4B73" w:rsidRPr="004F4B73" w14:paraId="013C1F75" w14:textId="77777777">
        <w:tc>
          <w:tcPr>
            <w:tcW w:w="1440" w:type="dxa"/>
            <w:tcBorders>
              <w:top w:val="single" w:sz="4" w:space="0" w:color="auto"/>
              <w:left w:val="single" w:sz="4" w:space="0" w:color="auto"/>
              <w:bottom w:val="single" w:sz="4" w:space="0" w:color="auto"/>
              <w:right w:val="single" w:sz="4" w:space="0" w:color="auto"/>
            </w:tcBorders>
            <w:hideMark/>
          </w:tcPr>
          <w:p w14:paraId="700A93FA"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2024</w:t>
            </w:r>
          </w:p>
        </w:tc>
        <w:tc>
          <w:tcPr>
            <w:tcW w:w="1440" w:type="dxa"/>
            <w:tcBorders>
              <w:top w:val="single" w:sz="4" w:space="0" w:color="auto"/>
              <w:left w:val="single" w:sz="4" w:space="0" w:color="auto"/>
              <w:bottom w:val="single" w:sz="4" w:space="0" w:color="auto"/>
              <w:right w:val="single" w:sz="4" w:space="0" w:color="auto"/>
            </w:tcBorders>
            <w:hideMark/>
          </w:tcPr>
          <w:p w14:paraId="60DBDB06"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1,185.4</w:t>
            </w:r>
          </w:p>
        </w:tc>
        <w:tc>
          <w:tcPr>
            <w:tcW w:w="1440" w:type="dxa"/>
            <w:tcBorders>
              <w:top w:val="single" w:sz="4" w:space="0" w:color="auto"/>
              <w:left w:val="single" w:sz="4" w:space="0" w:color="auto"/>
              <w:bottom w:val="single" w:sz="4" w:space="0" w:color="auto"/>
              <w:right w:val="single" w:sz="4" w:space="0" w:color="auto"/>
            </w:tcBorders>
            <w:hideMark/>
          </w:tcPr>
          <w:p w14:paraId="6D6E6319"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1,185.4 * 0.87 = 1,031.3</w:t>
            </w:r>
          </w:p>
        </w:tc>
        <w:tc>
          <w:tcPr>
            <w:tcW w:w="1440" w:type="dxa"/>
            <w:tcBorders>
              <w:top w:val="single" w:sz="4" w:space="0" w:color="auto"/>
              <w:left w:val="single" w:sz="4" w:space="0" w:color="auto"/>
              <w:bottom w:val="single" w:sz="4" w:space="0" w:color="auto"/>
              <w:right w:val="single" w:sz="4" w:space="0" w:color="auto"/>
            </w:tcBorders>
            <w:hideMark/>
          </w:tcPr>
          <w:p w14:paraId="3EDCA1D4"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166.7</w:t>
            </w:r>
          </w:p>
        </w:tc>
        <w:tc>
          <w:tcPr>
            <w:tcW w:w="1440" w:type="dxa"/>
            <w:tcBorders>
              <w:top w:val="single" w:sz="4" w:space="0" w:color="auto"/>
              <w:left w:val="single" w:sz="4" w:space="0" w:color="auto"/>
              <w:bottom w:val="single" w:sz="4" w:space="0" w:color="auto"/>
              <w:right w:val="single" w:sz="4" w:space="0" w:color="auto"/>
            </w:tcBorders>
            <w:hideMark/>
          </w:tcPr>
          <w:p w14:paraId="313923A6"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166.7 * 0.87 = 145.0</w:t>
            </w:r>
          </w:p>
        </w:tc>
        <w:tc>
          <w:tcPr>
            <w:tcW w:w="1440" w:type="dxa"/>
            <w:tcBorders>
              <w:top w:val="single" w:sz="4" w:space="0" w:color="auto"/>
              <w:left w:val="single" w:sz="4" w:space="0" w:color="auto"/>
              <w:bottom w:val="single" w:sz="4" w:space="0" w:color="auto"/>
              <w:right w:val="single" w:sz="4" w:space="0" w:color="auto"/>
            </w:tcBorders>
            <w:hideMark/>
          </w:tcPr>
          <w:p w14:paraId="781964C7"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1,031.3 / 145.0 = 7.11</w:t>
            </w:r>
          </w:p>
        </w:tc>
      </w:tr>
    </w:tbl>
    <w:p w14:paraId="7A8F7409" w14:textId="77777777" w:rsidR="004F4B73" w:rsidRPr="004F4B73" w:rsidRDefault="004F4B73" w:rsidP="004F4B73">
      <w:pPr>
        <w:spacing w:line="360" w:lineRule="auto"/>
        <w:jc w:val="both"/>
        <w:rPr>
          <w:rFonts w:ascii="Times New Roman" w:eastAsia="Times New Roman" w:hAnsi="Times New Roman" w:cs="Times New Roman"/>
          <w:b/>
          <w:bCs/>
          <w:kern w:val="0"/>
          <w:lang w:val="en-US"/>
          <w14:ligatures w14:val="none"/>
        </w:rPr>
      </w:pPr>
    </w:p>
    <w:p w14:paraId="6C6387BC" w14:textId="77777777" w:rsidR="004F4B73" w:rsidRPr="004F4B73" w:rsidRDefault="004F4B73" w:rsidP="004F4B73">
      <w:pPr>
        <w:spacing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Price/Earnings (P/E) Ratio</w:t>
      </w:r>
    </w:p>
    <w:p w14:paraId="415B3673" w14:textId="77777777" w:rsidR="004F4B73" w:rsidRPr="004F4B73" w:rsidRDefault="004F4B73" w:rsidP="004F4B73">
      <w:pPr>
        <w:spacing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P/E = Market Value per Share / Earnings per Share</w:t>
      </w:r>
    </w:p>
    <w:tbl>
      <w:tblPr>
        <w:tblStyle w:val="TableGrid"/>
        <w:tblW w:w="0" w:type="auto"/>
        <w:tblLook w:val="04A0" w:firstRow="1" w:lastRow="0" w:firstColumn="1" w:lastColumn="0" w:noHBand="0" w:noVBand="1"/>
      </w:tblPr>
      <w:tblGrid>
        <w:gridCol w:w="2160"/>
        <w:gridCol w:w="2160"/>
        <w:gridCol w:w="2160"/>
        <w:gridCol w:w="2160"/>
      </w:tblGrid>
      <w:tr w:rsidR="004F4B73" w:rsidRPr="004F4B73" w14:paraId="2599852F" w14:textId="77777777">
        <w:tc>
          <w:tcPr>
            <w:tcW w:w="2160" w:type="dxa"/>
            <w:tcBorders>
              <w:top w:val="single" w:sz="4" w:space="0" w:color="auto"/>
              <w:left w:val="single" w:sz="4" w:space="0" w:color="auto"/>
              <w:bottom w:val="single" w:sz="4" w:space="0" w:color="auto"/>
              <w:right w:val="single" w:sz="4" w:space="0" w:color="auto"/>
            </w:tcBorders>
            <w:hideMark/>
          </w:tcPr>
          <w:p w14:paraId="6344BD0E"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Year</w:t>
            </w:r>
          </w:p>
        </w:tc>
        <w:tc>
          <w:tcPr>
            <w:tcW w:w="2160" w:type="dxa"/>
            <w:tcBorders>
              <w:top w:val="single" w:sz="4" w:space="0" w:color="auto"/>
              <w:left w:val="single" w:sz="4" w:space="0" w:color="auto"/>
              <w:bottom w:val="single" w:sz="4" w:space="0" w:color="auto"/>
              <w:right w:val="single" w:sz="4" w:space="0" w:color="auto"/>
            </w:tcBorders>
            <w:hideMark/>
          </w:tcPr>
          <w:p w14:paraId="5F15B5C6"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Share Price (£)</w:t>
            </w:r>
          </w:p>
        </w:tc>
        <w:tc>
          <w:tcPr>
            <w:tcW w:w="2160" w:type="dxa"/>
            <w:tcBorders>
              <w:top w:val="single" w:sz="4" w:space="0" w:color="auto"/>
              <w:left w:val="single" w:sz="4" w:space="0" w:color="auto"/>
              <w:bottom w:val="single" w:sz="4" w:space="0" w:color="auto"/>
              <w:right w:val="single" w:sz="4" w:space="0" w:color="auto"/>
            </w:tcBorders>
            <w:hideMark/>
          </w:tcPr>
          <w:p w14:paraId="5EEB5827"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EPS (£)</w:t>
            </w:r>
          </w:p>
        </w:tc>
        <w:tc>
          <w:tcPr>
            <w:tcW w:w="2160" w:type="dxa"/>
            <w:tcBorders>
              <w:top w:val="single" w:sz="4" w:space="0" w:color="auto"/>
              <w:left w:val="single" w:sz="4" w:space="0" w:color="auto"/>
              <w:bottom w:val="single" w:sz="4" w:space="0" w:color="auto"/>
              <w:right w:val="single" w:sz="4" w:space="0" w:color="auto"/>
            </w:tcBorders>
            <w:hideMark/>
          </w:tcPr>
          <w:p w14:paraId="05A1A73D"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P/E (times)</w:t>
            </w:r>
          </w:p>
        </w:tc>
      </w:tr>
      <w:tr w:rsidR="004F4B73" w:rsidRPr="004F4B73" w14:paraId="33CE3C78" w14:textId="77777777">
        <w:tc>
          <w:tcPr>
            <w:tcW w:w="2160" w:type="dxa"/>
            <w:tcBorders>
              <w:top w:val="single" w:sz="4" w:space="0" w:color="auto"/>
              <w:left w:val="single" w:sz="4" w:space="0" w:color="auto"/>
              <w:bottom w:val="single" w:sz="4" w:space="0" w:color="auto"/>
              <w:right w:val="single" w:sz="4" w:space="0" w:color="auto"/>
            </w:tcBorders>
            <w:hideMark/>
          </w:tcPr>
          <w:p w14:paraId="0D97347E"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2023</w:t>
            </w:r>
          </w:p>
        </w:tc>
        <w:tc>
          <w:tcPr>
            <w:tcW w:w="2160" w:type="dxa"/>
            <w:tcBorders>
              <w:top w:val="single" w:sz="4" w:space="0" w:color="auto"/>
              <w:left w:val="single" w:sz="4" w:space="0" w:color="auto"/>
              <w:bottom w:val="single" w:sz="4" w:space="0" w:color="auto"/>
              <w:right w:val="single" w:sz="4" w:space="0" w:color="auto"/>
            </w:tcBorders>
            <w:hideMark/>
          </w:tcPr>
          <w:p w14:paraId="7CC58622"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23.04</w:t>
            </w:r>
          </w:p>
        </w:tc>
        <w:tc>
          <w:tcPr>
            <w:tcW w:w="2160" w:type="dxa"/>
            <w:tcBorders>
              <w:top w:val="single" w:sz="4" w:space="0" w:color="auto"/>
              <w:left w:val="single" w:sz="4" w:space="0" w:color="auto"/>
              <w:bottom w:val="single" w:sz="4" w:space="0" w:color="auto"/>
              <w:right w:val="single" w:sz="4" w:space="0" w:color="auto"/>
            </w:tcBorders>
            <w:hideMark/>
          </w:tcPr>
          <w:p w14:paraId="40B7C7AE"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1.51</w:t>
            </w:r>
          </w:p>
        </w:tc>
        <w:tc>
          <w:tcPr>
            <w:tcW w:w="2160" w:type="dxa"/>
            <w:tcBorders>
              <w:top w:val="single" w:sz="4" w:space="0" w:color="auto"/>
              <w:left w:val="single" w:sz="4" w:space="0" w:color="auto"/>
              <w:bottom w:val="single" w:sz="4" w:space="0" w:color="auto"/>
              <w:right w:val="single" w:sz="4" w:space="0" w:color="auto"/>
            </w:tcBorders>
            <w:hideMark/>
          </w:tcPr>
          <w:p w14:paraId="65742577"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23.04 / 1.51 = 15.26</w:t>
            </w:r>
          </w:p>
        </w:tc>
      </w:tr>
      <w:tr w:rsidR="004F4B73" w:rsidRPr="004F4B73" w14:paraId="405DEB36" w14:textId="77777777">
        <w:tc>
          <w:tcPr>
            <w:tcW w:w="2160" w:type="dxa"/>
            <w:tcBorders>
              <w:top w:val="single" w:sz="4" w:space="0" w:color="auto"/>
              <w:left w:val="single" w:sz="4" w:space="0" w:color="auto"/>
              <w:bottom w:val="single" w:sz="4" w:space="0" w:color="auto"/>
              <w:right w:val="single" w:sz="4" w:space="0" w:color="auto"/>
            </w:tcBorders>
            <w:hideMark/>
          </w:tcPr>
          <w:p w14:paraId="09F29333"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2024</w:t>
            </w:r>
          </w:p>
        </w:tc>
        <w:tc>
          <w:tcPr>
            <w:tcW w:w="2160" w:type="dxa"/>
            <w:tcBorders>
              <w:top w:val="single" w:sz="4" w:space="0" w:color="auto"/>
              <w:left w:val="single" w:sz="4" w:space="0" w:color="auto"/>
              <w:bottom w:val="single" w:sz="4" w:space="0" w:color="auto"/>
              <w:right w:val="single" w:sz="4" w:space="0" w:color="auto"/>
            </w:tcBorders>
            <w:hideMark/>
          </w:tcPr>
          <w:p w14:paraId="3A05C992"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27.32</w:t>
            </w:r>
          </w:p>
        </w:tc>
        <w:tc>
          <w:tcPr>
            <w:tcW w:w="2160" w:type="dxa"/>
            <w:tcBorders>
              <w:top w:val="single" w:sz="4" w:space="0" w:color="auto"/>
              <w:left w:val="single" w:sz="4" w:space="0" w:color="auto"/>
              <w:bottom w:val="single" w:sz="4" w:space="0" w:color="auto"/>
              <w:right w:val="single" w:sz="4" w:space="0" w:color="auto"/>
            </w:tcBorders>
            <w:hideMark/>
          </w:tcPr>
          <w:p w14:paraId="0B12A8CE"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1.96</w:t>
            </w:r>
          </w:p>
        </w:tc>
        <w:tc>
          <w:tcPr>
            <w:tcW w:w="2160" w:type="dxa"/>
            <w:tcBorders>
              <w:top w:val="single" w:sz="4" w:space="0" w:color="auto"/>
              <w:left w:val="single" w:sz="4" w:space="0" w:color="auto"/>
              <w:bottom w:val="single" w:sz="4" w:space="0" w:color="auto"/>
              <w:right w:val="single" w:sz="4" w:space="0" w:color="auto"/>
            </w:tcBorders>
            <w:hideMark/>
          </w:tcPr>
          <w:p w14:paraId="65E2943E" w14:textId="77777777" w:rsidR="004F4B73" w:rsidRPr="004F4B73" w:rsidRDefault="004F4B73" w:rsidP="004F4B73">
            <w:pPr>
              <w:spacing w:after="160" w:line="360" w:lineRule="auto"/>
              <w:jc w:val="both"/>
              <w:rPr>
                <w:rFonts w:ascii="Times New Roman" w:eastAsia="Times New Roman" w:hAnsi="Times New Roman" w:cs="Times New Roman"/>
                <w:b/>
                <w:bCs/>
                <w:kern w:val="0"/>
                <w:lang w:val="en-US"/>
                <w14:ligatures w14:val="none"/>
              </w:rPr>
            </w:pPr>
            <w:r w:rsidRPr="004F4B73">
              <w:rPr>
                <w:rFonts w:ascii="Times New Roman" w:eastAsia="Times New Roman" w:hAnsi="Times New Roman" w:cs="Times New Roman"/>
                <w:b/>
                <w:bCs/>
                <w:kern w:val="0"/>
                <w:lang w:val="en-US"/>
                <w14:ligatures w14:val="none"/>
              </w:rPr>
              <w:t>27.32 / 1.96 = 13.94</w:t>
            </w:r>
          </w:p>
        </w:tc>
      </w:tr>
    </w:tbl>
    <w:p w14:paraId="47964C4A" w14:textId="77777777" w:rsidR="00F87925" w:rsidRDefault="00F87925" w:rsidP="00051AEB">
      <w:pPr>
        <w:spacing w:line="360" w:lineRule="auto"/>
        <w:jc w:val="both"/>
        <w:rPr>
          <w:rFonts w:ascii="Times New Roman" w:hAnsi="Times New Roman" w:cs="Times New Roman"/>
        </w:rPr>
      </w:pPr>
    </w:p>
    <w:p w14:paraId="17276C22" w14:textId="55CA2911" w:rsidR="007D50EA" w:rsidRDefault="007D50EA" w:rsidP="00051AEB">
      <w:pPr>
        <w:spacing w:line="360" w:lineRule="auto"/>
        <w:jc w:val="both"/>
        <w:rPr>
          <w:rFonts w:ascii="Times New Roman" w:hAnsi="Times New Roman" w:cs="Times New Roman"/>
        </w:rPr>
      </w:pPr>
      <w:r>
        <w:rPr>
          <w:rFonts w:ascii="Times New Roman" w:hAnsi="Times New Roman" w:cs="Times New Roman"/>
        </w:rPr>
        <w:br w:type="textWrapping" w:clear="all"/>
      </w:r>
    </w:p>
    <w:p w14:paraId="49DAE356" w14:textId="6A7D88FB" w:rsidR="00AB6DD5" w:rsidRPr="008A6D03" w:rsidRDefault="00AB6DD5" w:rsidP="00F87925">
      <w:pPr>
        <w:pStyle w:val="Heading2"/>
        <w:rPr>
          <w:rFonts w:eastAsia="Times New Roman"/>
        </w:rPr>
      </w:pPr>
      <w:bookmarkStart w:id="52" w:name="_Toc218984770"/>
      <w:r w:rsidRPr="008A6D03">
        <w:rPr>
          <w:rFonts w:eastAsia="Times New Roman"/>
        </w:rPr>
        <w:lastRenderedPageBreak/>
        <w:t>Part 2</w:t>
      </w:r>
      <w:bookmarkEnd w:id="52"/>
    </w:p>
    <w:p w14:paraId="6D503EA5" w14:textId="77777777" w:rsidR="00AB6DD5" w:rsidRDefault="00AB6DD5" w:rsidP="00AB6DD5">
      <w:pPr>
        <w:spacing w:before="100" w:beforeAutospacing="1" w:after="100" w:afterAutospacing="1" w:line="360" w:lineRule="auto"/>
        <w:jc w:val="both"/>
        <w:rPr>
          <w:rFonts w:ascii="Times New Roman" w:eastAsia="Times New Roman" w:hAnsi="Times New Roman" w:cs="Times New Roman"/>
          <w:kern w:val="0"/>
          <w14:ligatures w14:val="none"/>
        </w:rPr>
      </w:pPr>
      <w:r w:rsidRPr="001563E3">
        <w:rPr>
          <w:noProof/>
        </w:rPr>
        <w:drawing>
          <wp:inline distT="0" distB="0" distL="0" distR="0" wp14:anchorId="34BFD3F7" wp14:editId="3E338D7D">
            <wp:extent cx="5943600" cy="2493010"/>
            <wp:effectExtent l="0" t="0" r="0" b="2540"/>
            <wp:docPr id="207742577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2493010"/>
                    </a:xfrm>
                    <a:prstGeom prst="rect">
                      <a:avLst/>
                    </a:prstGeom>
                    <a:noFill/>
                    <a:ln>
                      <a:noFill/>
                    </a:ln>
                  </pic:spPr>
                </pic:pic>
              </a:graphicData>
            </a:graphic>
          </wp:inline>
        </w:drawing>
      </w:r>
    </w:p>
    <w:p w14:paraId="3A802911" w14:textId="77777777" w:rsidR="00AB6DD5" w:rsidRPr="001563E3" w:rsidRDefault="00AB6DD5" w:rsidP="00AB6DD5">
      <w:pPr>
        <w:spacing w:before="100" w:beforeAutospacing="1" w:after="100" w:afterAutospacing="1" w:line="360" w:lineRule="auto"/>
        <w:jc w:val="both"/>
        <w:rPr>
          <w:rFonts w:ascii="Times New Roman" w:eastAsia="Times New Roman" w:hAnsi="Times New Roman" w:cs="Times New Roman"/>
          <w:b/>
          <w:bCs/>
          <w:kern w:val="0"/>
          <w:sz w:val="36"/>
          <w:szCs w:val="36"/>
          <w14:ligatures w14:val="none"/>
        </w:rPr>
      </w:pPr>
      <w:r w:rsidRPr="001563E3">
        <w:rPr>
          <w:rFonts w:ascii="Times New Roman" w:eastAsia="Times New Roman" w:hAnsi="Times New Roman" w:cs="Times New Roman"/>
          <w:b/>
          <w:bCs/>
          <w:kern w:val="0"/>
          <w:sz w:val="36"/>
          <w:szCs w:val="36"/>
          <w14:ligatures w14:val="none"/>
        </w:rPr>
        <w:t>Option A</w:t>
      </w:r>
    </w:p>
    <w:p w14:paraId="61B44505" w14:textId="77777777" w:rsidR="00AB6DD5" w:rsidRPr="001563E3" w:rsidRDefault="00AB6DD5" w:rsidP="00AB6DD5">
      <w:pPr>
        <w:spacing w:before="100" w:beforeAutospacing="1" w:after="100" w:afterAutospacing="1" w:line="360" w:lineRule="auto"/>
        <w:jc w:val="both"/>
        <w:rPr>
          <w:rFonts w:ascii="Times New Roman" w:eastAsia="Times New Roman" w:hAnsi="Times New Roman" w:cs="Times New Roman"/>
          <w:kern w:val="0"/>
          <w14:ligatures w14:val="none"/>
        </w:rPr>
      </w:pPr>
      <w:r w:rsidRPr="001563E3">
        <w:rPr>
          <w:rFonts w:ascii="Times New Roman" w:eastAsia="Times New Roman" w:hAnsi="Times New Roman" w:cs="Times New Roman"/>
          <w:kern w:val="0"/>
          <w14:ligatures w14:val="none"/>
        </w:rPr>
        <w:t>PV of inflows = 1,243.17</w:t>
      </w:r>
    </w:p>
    <w:p w14:paraId="5BC8B478" w14:textId="77777777" w:rsidR="00AB6DD5" w:rsidRPr="001563E3" w:rsidRDefault="00AB6DD5" w:rsidP="00AB6DD5">
      <w:pPr>
        <w:spacing w:before="100" w:beforeAutospacing="1" w:after="100" w:afterAutospacing="1" w:line="360" w:lineRule="auto"/>
        <w:jc w:val="both"/>
        <w:rPr>
          <w:rFonts w:ascii="Times New Roman" w:eastAsia="Times New Roman" w:hAnsi="Times New Roman" w:cs="Times New Roman"/>
          <w:kern w:val="0"/>
          <w14:ligatures w14:val="none"/>
        </w:rPr>
      </w:pPr>
      <w:r w:rsidRPr="001563E3">
        <w:rPr>
          <w:rFonts w:ascii="Times New Roman" w:eastAsia="Times New Roman" w:hAnsi="Times New Roman" w:cs="Times New Roman"/>
          <w:kern w:val="0"/>
          <w14:ligatures w14:val="none"/>
        </w:rPr>
        <w:t>Initial investment = 600</w:t>
      </w:r>
    </w:p>
    <w:p w14:paraId="3DC04FC3" w14:textId="77777777" w:rsidR="00AB6DD5" w:rsidRDefault="00AB6DD5" w:rsidP="00AB6DD5">
      <w:pPr>
        <w:spacing w:before="100" w:beforeAutospacing="1" w:after="100" w:afterAutospacing="1" w:line="360" w:lineRule="auto"/>
        <w:jc w:val="both"/>
        <w:rPr>
          <w:rFonts w:ascii="Times New Roman" w:eastAsia="Times New Roman" w:hAnsi="Times New Roman" w:cs="Times New Roman"/>
          <w:kern w:val="0"/>
          <w14:ligatures w14:val="none"/>
        </w:rPr>
      </w:pPr>
      <w:r w:rsidRPr="001563E3">
        <w:rPr>
          <w:rFonts w:ascii="Times New Roman" w:eastAsia="Times New Roman" w:hAnsi="Times New Roman" w:cs="Times New Roman"/>
          <w:kern w:val="0"/>
          <w14:ligatures w14:val="none"/>
        </w:rPr>
        <w:t>PI(A) = 1,243.17 / 600 = 2.07</w:t>
      </w:r>
    </w:p>
    <w:p w14:paraId="15C0C276" w14:textId="77777777" w:rsidR="00AB6DD5" w:rsidRPr="007B59F7" w:rsidRDefault="00AB6DD5" w:rsidP="00AB6DD5">
      <w:pPr>
        <w:spacing w:before="100" w:beforeAutospacing="1" w:after="100" w:afterAutospacing="1" w:line="360" w:lineRule="auto"/>
        <w:jc w:val="both"/>
        <w:rPr>
          <w:rFonts w:ascii="Times New Roman" w:eastAsia="Times New Roman" w:hAnsi="Times New Roman" w:cs="Times New Roman"/>
          <w:kern w:val="0"/>
          <w14:ligatures w14:val="none"/>
        </w:rPr>
      </w:pPr>
      <w:r w:rsidRPr="00C26D49">
        <w:rPr>
          <w:noProof/>
        </w:rPr>
        <w:lastRenderedPageBreak/>
        <w:drawing>
          <wp:inline distT="0" distB="0" distL="0" distR="0" wp14:anchorId="5AC7B752" wp14:editId="3AD0A67F">
            <wp:extent cx="4408170" cy="5175837"/>
            <wp:effectExtent l="0" t="0" r="0" b="6350"/>
            <wp:docPr id="13740231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rotWithShape="1">
                    <a:blip r:embed="rId13">
                      <a:extLst>
                        <a:ext uri="{28A0092B-C50C-407E-A947-70E740481C1C}">
                          <a14:useLocalDpi xmlns:a14="http://schemas.microsoft.com/office/drawing/2010/main" val="0"/>
                        </a:ext>
                      </a:extLst>
                    </a:blip>
                    <a:srcRect t="7407"/>
                    <a:stretch>
                      <a:fillRect/>
                    </a:stretch>
                  </pic:blipFill>
                  <pic:spPr bwMode="auto">
                    <a:xfrm>
                      <a:off x="0" y="0"/>
                      <a:ext cx="4408170" cy="5175837"/>
                    </a:xfrm>
                    <a:prstGeom prst="rect">
                      <a:avLst/>
                    </a:prstGeom>
                    <a:noFill/>
                    <a:ln>
                      <a:noFill/>
                    </a:ln>
                    <a:extLst>
                      <a:ext uri="{53640926-AAD7-44D8-BBD7-CCE9431645EC}">
                        <a14:shadowObscured xmlns:a14="http://schemas.microsoft.com/office/drawing/2010/main"/>
                      </a:ext>
                    </a:extLst>
                  </pic:spPr>
                </pic:pic>
              </a:graphicData>
            </a:graphic>
          </wp:inline>
        </w:drawing>
      </w:r>
    </w:p>
    <w:p w14:paraId="1EF0DB72" w14:textId="77777777" w:rsidR="00AB6DD5" w:rsidRPr="001563E3" w:rsidRDefault="00AB6DD5" w:rsidP="00AB6DD5">
      <w:pPr>
        <w:spacing w:after="0" w:line="360" w:lineRule="auto"/>
        <w:jc w:val="both"/>
        <w:rPr>
          <w:rFonts w:ascii="Times New Roman" w:eastAsia="Times New Roman" w:hAnsi="Times New Roman" w:cs="Times New Roman"/>
          <w:b/>
          <w:bCs/>
          <w:kern w:val="0"/>
          <w:sz w:val="40"/>
          <w:szCs w:val="40"/>
          <w14:ligatures w14:val="none"/>
        </w:rPr>
      </w:pPr>
      <w:r w:rsidRPr="001563E3">
        <w:rPr>
          <w:rFonts w:ascii="Times New Roman" w:eastAsia="Times New Roman" w:hAnsi="Times New Roman" w:cs="Times New Roman"/>
          <w:b/>
          <w:bCs/>
          <w:kern w:val="0"/>
          <w:sz w:val="40"/>
          <w:szCs w:val="40"/>
          <w14:ligatures w14:val="none"/>
        </w:rPr>
        <w:t>Option B</w:t>
      </w:r>
    </w:p>
    <w:p w14:paraId="191F6F32" w14:textId="77777777" w:rsidR="00AB6DD5" w:rsidRPr="001563E3" w:rsidRDefault="00AB6DD5" w:rsidP="00AB6DD5">
      <w:pPr>
        <w:spacing w:after="0" w:line="360" w:lineRule="auto"/>
        <w:jc w:val="both"/>
        <w:rPr>
          <w:rFonts w:ascii="Times New Roman" w:eastAsia="Times New Roman" w:hAnsi="Times New Roman" w:cs="Times New Roman"/>
          <w:kern w:val="0"/>
          <w14:ligatures w14:val="none"/>
        </w:rPr>
      </w:pPr>
      <w:r w:rsidRPr="001563E3">
        <w:rPr>
          <w:rFonts w:ascii="Times New Roman" w:eastAsia="Times New Roman" w:hAnsi="Times New Roman" w:cs="Times New Roman"/>
          <w:kern w:val="0"/>
          <w14:ligatures w14:val="none"/>
        </w:rPr>
        <w:t>PV of inflows = 1,792.23</w:t>
      </w:r>
    </w:p>
    <w:p w14:paraId="65F98F47" w14:textId="77777777" w:rsidR="00AB6DD5" w:rsidRPr="001563E3" w:rsidRDefault="00AB6DD5" w:rsidP="00AB6DD5">
      <w:pPr>
        <w:spacing w:after="0" w:line="360" w:lineRule="auto"/>
        <w:jc w:val="both"/>
        <w:rPr>
          <w:rFonts w:ascii="Times New Roman" w:eastAsia="Times New Roman" w:hAnsi="Times New Roman" w:cs="Times New Roman"/>
          <w:kern w:val="0"/>
          <w14:ligatures w14:val="none"/>
        </w:rPr>
      </w:pPr>
      <w:r w:rsidRPr="001563E3">
        <w:rPr>
          <w:rFonts w:ascii="Times New Roman" w:eastAsia="Times New Roman" w:hAnsi="Times New Roman" w:cs="Times New Roman"/>
          <w:kern w:val="0"/>
          <w14:ligatures w14:val="none"/>
        </w:rPr>
        <w:t>Initial investment = 1,000</w:t>
      </w:r>
    </w:p>
    <w:p w14:paraId="31FA86E3" w14:textId="77777777" w:rsidR="00AB6DD5" w:rsidRPr="001563E3" w:rsidRDefault="00AB6DD5" w:rsidP="00AB6DD5">
      <w:pPr>
        <w:spacing w:after="0" w:line="360" w:lineRule="auto"/>
        <w:jc w:val="both"/>
        <w:rPr>
          <w:rFonts w:ascii="Times New Roman" w:eastAsia="Times New Roman" w:hAnsi="Times New Roman" w:cs="Times New Roman"/>
          <w:kern w:val="0"/>
          <w14:ligatures w14:val="none"/>
        </w:rPr>
      </w:pPr>
      <w:r w:rsidRPr="001563E3">
        <w:rPr>
          <w:rFonts w:ascii="Times New Roman" w:eastAsia="Times New Roman" w:hAnsi="Times New Roman" w:cs="Times New Roman"/>
          <w:kern w:val="0"/>
          <w14:ligatures w14:val="none"/>
        </w:rPr>
        <w:t>PI(B) = 1,792.23 / 1,000 = 1.79</w:t>
      </w:r>
    </w:p>
    <w:p w14:paraId="7315821C" w14:textId="77777777" w:rsidR="00AB6DD5" w:rsidRDefault="00AB6DD5" w:rsidP="00AB6DD5">
      <w:pPr>
        <w:spacing w:after="0" w:line="360" w:lineRule="auto"/>
        <w:jc w:val="both"/>
        <w:rPr>
          <w:rFonts w:ascii="Times New Roman" w:eastAsia="Times New Roman" w:hAnsi="Times New Roman" w:cs="Times New Roman"/>
          <w:kern w:val="0"/>
          <w14:ligatures w14:val="none"/>
        </w:rPr>
      </w:pPr>
    </w:p>
    <w:p w14:paraId="1B2D6F99" w14:textId="77777777" w:rsidR="00AB6DD5" w:rsidRDefault="00AB6DD5" w:rsidP="00AB6DD5">
      <w:pPr>
        <w:spacing w:after="0" w:line="360" w:lineRule="auto"/>
        <w:jc w:val="both"/>
        <w:rPr>
          <w:rFonts w:ascii="Times New Roman" w:eastAsia="Times New Roman" w:hAnsi="Times New Roman" w:cs="Times New Roman"/>
          <w:kern w:val="0"/>
          <w14:ligatures w14:val="none"/>
        </w:rPr>
      </w:pPr>
      <w:r w:rsidRPr="00066735">
        <w:rPr>
          <w:noProof/>
        </w:rPr>
        <w:lastRenderedPageBreak/>
        <w:drawing>
          <wp:inline distT="0" distB="0" distL="0" distR="0" wp14:anchorId="71902A94" wp14:editId="42BE64CE">
            <wp:extent cx="4407844" cy="5184068"/>
            <wp:effectExtent l="0" t="0" r="0" b="0"/>
            <wp:docPr id="11409127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rotWithShape="1">
                    <a:blip r:embed="rId14">
                      <a:extLst>
                        <a:ext uri="{28A0092B-C50C-407E-A947-70E740481C1C}">
                          <a14:useLocalDpi xmlns:a14="http://schemas.microsoft.com/office/drawing/2010/main" val="0"/>
                        </a:ext>
                      </a:extLst>
                    </a:blip>
                    <a:srcRect t="7253"/>
                    <a:stretch>
                      <a:fillRect/>
                    </a:stretch>
                  </pic:blipFill>
                  <pic:spPr bwMode="auto">
                    <a:xfrm>
                      <a:off x="0" y="0"/>
                      <a:ext cx="4408170" cy="5184451"/>
                    </a:xfrm>
                    <a:prstGeom prst="rect">
                      <a:avLst/>
                    </a:prstGeom>
                    <a:noFill/>
                    <a:ln>
                      <a:noFill/>
                    </a:ln>
                    <a:extLst>
                      <a:ext uri="{53640926-AAD7-44D8-BBD7-CCE9431645EC}">
                        <a14:shadowObscured xmlns:a14="http://schemas.microsoft.com/office/drawing/2010/main"/>
                      </a:ext>
                    </a:extLst>
                  </pic:spPr>
                </pic:pic>
              </a:graphicData>
            </a:graphic>
          </wp:inline>
        </w:drawing>
      </w:r>
    </w:p>
    <w:p w14:paraId="391F0B23" w14:textId="77777777" w:rsidR="00AB6DD5" w:rsidRDefault="00AB6DD5" w:rsidP="00AB6DD5">
      <w:pPr>
        <w:spacing w:after="0" w:line="360" w:lineRule="auto"/>
        <w:jc w:val="both"/>
        <w:rPr>
          <w:rFonts w:ascii="Times New Roman" w:eastAsia="Times New Roman" w:hAnsi="Times New Roman" w:cs="Times New Roman"/>
          <w:kern w:val="0"/>
          <w14:ligatures w14:val="none"/>
        </w:rPr>
      </w:pPr>
    </w:p>
    <w:p w14:paraId="2F8E0D5B" w14:textId="77777777" w:rsidR="00F87925" w:rsidRDefault="00F87925" w:rsidP="00AB6DD5">
      <w:pPr>
        <w:spacing w:after="0" w:line="360" w:lineRule="auto"/>
        <w:jc w:val="both"/>
        <w:rPr>
          <w:rFonts w:ascii="Times New Roman" w:eastAsia="Times New Roman" w:hAnsi="Times New Roman" w:cs="Times New Roman"/>
          <w:kern w:val="0"/>
          <w14:ligatures w14:val="none"/>
        </w:rPr>
      </w:pPr>
    </w:p>
    <w:p w14:paraId="468381D6" w14:textId="77777777" w:rsidR="00F87925" w:rsidRDefault="00F87925" w:rsidP="00AB6DD5">
      <w:pPr>
        <w:spacing w:after="0" w:line="360" w:lineRule="auto"/>
        <w:jc w:val="both"/>
        <w:rPr>
          <w:rFonts w:ascii="Times New Roman" w:eastAsia="Times New Roman" w:hAnsi="Times New Roman" w:cs="Times New Roman"/>
          <w:kern w:val="0"/>
          <w14:ligatures w14:val="none"/>
        </w:rPr>
      </w:pPr>
    </w:p>
    <w:p w14:paraId="58DC41E7" w14:textId="77777777" w:rsidR="00F87925" w:rsidRDefault="00F87925" w:rsidP="00AB6DD5">
      <w:pPr>
        <w:spacing w:after="0" w:line="360" w:lineRule="auto"/>
        <w:jc w:val="both"/>
        <w:rPr>
          <w:rFonts w:ascii="Times New Roman" w:eastAsia="Times New Roman" w:hAnsi="Times New Roman" w:cs="Times New Roman"/>
          <w:kern w:val="0"/>
          <w14:ligatures w14:val="none"/>
        </w:rPr>
      </w:pPr>
    </w:p>
    <w:p w14:paraId="6799612A" w14:textId="77777777" w:rsidR="00F87925" w:rsidRDefault="00F87925" w:rsidP="00AB6DD5">
      <w:pPr>
        <w:spacing w:after="0" w:line="360" w:lineRule="auto"/>
        <w:jc w:val="both"/>
        <w:rPr>
          <w:rFonts w:ascii="Times New Roman" w:eastAsia="Times New Roman" w:hAnsi="Times New Roman" w:cs="Times New Roman"/>
          <w:kern w:val="0"/>
          <w14:ligatures w14:val="none"/>
        </w:rPr>
      </w:pPr>
    </w:p>
    <w:p w14:paraId="3CA11E57" w14:textId="77777777" w:rsidR="00F87925" w:rsidRDefault="00F87925" w:rsidP="00AB6DD5">
      <w:pPr>
        <w:spacing w:after="0" w:line="360" w:lineRule="auto"/>
        <w:jc w:val="both"/>
        <w:rPr>
          <w:rFonts w:ascii="Times New Roman" w:eastAsia="Times New Roman" w:hAnsi="Times New Roman" w:cs="Times New Roman"/>
          <w:kern w:val="0"/>
          <w14:ligatures w14:val="none"/>
        </w:rPr>
      </w:pPr>
    </w:p>
    <w:p w14:paraId="3900D88F" w14:textId="77777777" w:rsidR="00F87925" w:rsidRDefault="00F87925" w:rsidP="00AB6DD5">
      <w:pPr>
        <w:spacing w:after="0" w:line="360" w:lineRule="auto"/>
        <w:jc w:val="both"/>
        <w:rPr>
          <w:rFonts w:ascii="Times New Roman" w:eastAsia="Times New Roman" w:hAnsi="Times New Roman" w:cs="Times New Roman"/>
          <w:kern w:val="0"/>
          <w14:ligatures w14:val="none"/>
        </w:rPr>
      </w:pPr>
    </w:p>
    <w:p w14:paraId="13E6359B" w14:textId="77777777" w:rsidR="00F87925" w:rsidRDefault="00F87925" w:rsidP="00AB6DD5">
      <w:pPr>
        <w:spacing w:after="0" w:line="360" w:lineRule="auto"/>
        <w:jc w:val="both"/>
        <w:rPr>
          <w:rFonts w:ascii="Times New Roman" w:eastAsia="Times New Roman" w:hAnsi="Times New Roman" w:cs="Times New Roman"/>
          <w:kern w:val="0"/>
          <w14:ligatures w14:val="none"/>
        </w:rPr>
      </w:pPr>
    </w:p>
    <w:p w14:paraId="6B88EF39" w14:textId="77777777" w:rsidR="00F87925" w:rsidRDefault="00F87925" w:rsidP="00AB6DD5">
      <w:pPr>
        <w:spacing w:after="0" w:line="360" w:lineRule="auto"/>
        <w:jc w:val="both"/>
        <w:rPr>
          <w:rFonts w:ascii="Times New Roman" w:eastAsia="Times New Roman" w:hAnsi="Times New Roman" w:cs="Times New Roman"/>
          <w:kern w:val="0"/>
          <w14:ligatures w14:val="none"/>
        </w:rPr>
      </w:pPr>
    </w:p>
    <w:p w14:paraId="7CE88BC1" w14:textId="77777777" w:rsidR="00F87925" w:rsidRDefault="00F87925" w:rsidP="00AB6DD5">
      <w:pPr>
        <w:spacing w:after="0" w:line="360" w:lineRule="auto"/>
        <w:jc w:val="both"/>
        <w:rPr>
          <w:rFonts w:ascii="Times New Roman" w:eastAsia="Times New Roman" w:hAnsi="Times New Roman" w:cs="Times New Roman"/>
          <w:kern w:val="0"/>
          <w14:ligatures w14:val="none"/>
        </w:rPr>
      </w:pPr>
    </w:p>
    <w:p w14:paraId="27AF9E43" w14:textId="77777777" w:rsidR="00F87925" w:rsidRDefault="00F87925" w:rsidP="00AB6DD5">
      <w:pPr>
        <w:spacing w:after="0" w:line="360" w:lineRule="auto"/>
        <w:jc w:val="both"/>
        <w:rPr>
          <w:rFonts w:ascii="Times New Roman" w:eastAsia="Times New Roman" w:hAnsi="Times New Roman" w:cs="Times New Roman"/>
          <w:kern w:val="0"/>
          <w14:ligatures w14:val="none"/>
        </w:rPr>
      </w:pPr>
    </w:p>
    <w:p w14:paraId="76FB0D49" w14:textId="77777777" w:rsidR="00AB6DD5" w:rsidRPr="001563E3" w:rsidRDefault="00AB6DD5" w:rsidP="00AB6DD5">
      <w:pPr>
        <w:spacing w:after="0" w:line="360" w:lineRule="auto"/>
        <w:jc w:val="both"/>
        <w:rPr>
          <w:rFonts w:ascii="Times New Roman" w:eastAsia="Times New Roman" w:hAnsi="Times New Roman" w:cs="Times New Roman"/>
          <w:b/>
          <w:bCs/>
          <w:kern w:val="0"/>
          <w:sz w:val="36"/>
          <w:szCs w:val="36"/>
          <w14:ligatures w14:val="none"/>
        </w:rPr>
      </w:pPr>
      <w:r w:rsidRPr="001563E3">
        <w:rPr>
          <w:rFonts w:ascii="Times New Roman" w:eastAsia="Times New Roman" w:hAnsi="Times New Roman" w:cs="Times New Roman"/>
          <w:b/>
          <w:bCs/>
          <w:kern w:val="0"/>
          <w:sz w:val="36"/>
          <w:szCs w:val="36"/>
          <w14:ligatures w14:val="none"/>
        </w:rPr>
        <w:lastRenderedPageBreak/>
        <w:t>Option C</w:t>
      </w:r>
    </w:p>
    <w:p w14:paraId="1839A5FA" w14:textId="77777777" w:rsidR="00AB6DD5" w:rsidRPr="001563E3" w:rsidRDefault="00AB6DD5" w:rsidP="00AB6DD5">
      <w:pPr>
        <w:spacing w:after="0" w:line="360" w:lineRule="auto"/>
        <w:jc w:val="both"/>
        <w:rPr>
          <w:rFonts w:ascii="Times New Roman" w:eastAsia="Times New Roman" w:hAnsi="Times New Roman" w:cs="Times New Roman"/>
          <w:kern w:val="0"/>
          <w14:ligatures w14:val="none"/>
        </w:rPr>
      </w:pPr>
      <w:r w:rsidRPr="001563E3">
        <w:rPr>
          <w:rFonts w:ascii="Times New Roman" w:eastAsia="Times New Roman" w:hAnsi="Times New Roman" w:cs="Times New Roman"/>
          <w:kern w:val="0"/>
          <w14:ligatures w14:val="none"/>
        </w:rPr>
        <w:t>PV of inflows = 2,342.48</w:t>
      </w:r>
    </w:p>
    <w:p w14:paraId="76A1366B" w14:textId="77777777" w:rsidR="00AB6DD5" w:rsidRPr="001563E3" w:rsidRDefault="00AB6DD5" w:rsidP="00AB6DD5">
      <w:pPr>
        <w:spacing w:after="0" w:line="360" w:lineRule="auto"/>
        <w:jc w:val="both"/>
        <w:rPr>
          <w:rFonts w:ascii="Times New Roman" w:eastAsia="Times New Roman" w:hAnsi="Times New Roman" w:cs="Times New Roman"/>
          <w:kern w:val="0"/>
          <w14:ligatures w14:val="none"/>
        </w:rPr>
      </w:pPr>
      <w:r w:rsidRPr="001563E3">
        <w:rPr>
          <w:rFonts w:ascii="Times New Roman" w:eastAsia="Times New Roman" w:hAnsi="Times New Roman" w:cs="Times New Roman"/>
          <w:kern w:val="0"/>
          <w14:ligatures w14:val="none"/>
        </w:rPr>
        <w:t>Initial investment = 1,600</w:t>
      </w:r>
    </w:p>
    <w:p w14:paraId="21B19578" w14:textId="77777777" w:rsidR="00AB6DD5" w:rsidRDefault="00AB6DD5" w:rsidP="00AB6DD5">
      <w:pPr>
        <w:spacing w:after="0" w:line="360" w:lineRule="auto"/>
        <w:jc w:val="both"/>
        <w:rPr>
          <w:rFonts w:ascii="Times New Roman" w:eastAsia="Times New Roman" w:hAnsi="Times New Roman" w:cs="Times New Roman"/>
          <w:kern w:val="0"/>
          <w14:ligatures w14:val="none"/>
        </w:rPr>
      </w:pPr>
      <w:r w:rsidRPr="001563E3">
        <w:rPr>
          <w:rFonts w:ascii="Times New Roman" w:eastAsia="Times New Roman" w:hAnsi="Times New Roman" w:cs="Times New Roman"/>
          <w:kern w:val="0"/>
          <w14:ligatures w14:val="none"/>
        </w:rPr>
        <w:t>PI(C) = 2,342.48 / 1,600 = 1.46</w:t>
      </w:r>
    </w:p>
    <w:p w14:paraId="5285C782" w14:textId="0A65EC08" w:rsidR="00AB6DD5" w:rsidRPr="00051AEB" w:rsidRDefault="008A6D03" w:rsidP="00051AEB">
      <w:pPr>
        <w:spacing w:line="360" w:lineRule="auto"/>
        <w:jc w:val="both"/>
        <w:rPr>
          <w:rFonts w:ascii="Times New Roman" w:hAnsi="Times New Roman" w:cs="Times New Roman"/>
        </w:rPr>
      </w:pPr>
      <w:r>
        <w:rPr>
          <w:rFonts w:ascii="Times New Roman" w:hAnsi="Times New Roman" w:cs="Times New Roman"/>
          <w:noProof/>
        </w:rPr>
        <w:drawing>
          <wp:inline distT="0" distB="0" distL="0" distR="0" wp14:anchorId="19669F30" wp14:editId="2F6D17D5">
            <wp:extent cx="5400614" cy="5938520"/>
            <wp:effectExtent l="0" t="0" r="0" b="5080"/>
            <wp:docPr id="11486921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12664" cy="5951770"/>
                    </a:xfrm>
                    <a:prstGeom prst="rect">
                      <a:avLst/>
                    </a:prstGeom>
                    <a:noFill/>
                  </pic:spPr>
                </pic:pic>
              </a:graphicData>
            </a:graphic>
          </wp:inline>
        </w:drawing>
      </w:r>
      <w:r w:rsidR="00F87925">
        <w:rPr>
          <w:rFonts w:ascii="Times New Roman" w:hAnsi="Times New Roman" w:cs="Times New Roman"/>
        </w:rPr>
        <w:t xml:space="preserve">                                                                    </w:t>
      </w:r>
    </w:p>
    <w:sectPr w:rsidR="00AB6DD5" w:rsidRPr="00051AEB">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7D09E1" w14:textId="77777777" w:rsidR="000001A0" w:rsidRDefault="000001A0" w:rsidP="0002649F">
      <w:pPr>
        <w:spacing w:after="0" w:line="240" w:lineRule="auto"/>
      </w:pPr>
      <w:r>
        <w:separator/>
      </w:r>
    </w:p>
  </w:endnote>
  <w:endnote w:type="continuationSeparator" w:id="0">
    <w:p w14:paraId="2E419107" w14:textId="77777777" w:rsidR="000001A0" w:rsidRDefault="000001A0" w:rsidP="000264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6789296"/>
      <w:docPartObj>
        <w:docPartGallery w:val="Page Numbers (Bottom of Page)"/>
        <w:docPartUnique/>
      </w:docPartObj>
    </w:sdtPr>
    <w:sdtEndPr>
      <w:rPr>
        <w:noProof/>
      </w:rPr>
    </w:sdtEndPr>
    <w:sdtContent>
      <w:p w14:paraId="291CB3FB" w14:textId="7D7A8C55" w:rsidR="0002649F" w:rsidRDefault="0002649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CB477C5" w14:textId="77777777" w:rsidR="0002649F" w:rsidRDefault="000264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269CF9" w14:textId="77777777" w:rsidR="000001A0" w:rsidRDefault="000001A0" w:rsidP="0002649F">
      <w:pPr>
        <w:spacing w:after="0" w:line="240" w:lineRule="auto"/>
      </w:pPr>
      <w:r>
        <w:separator/>
      </w:r>
    </w:p>
  </w:footnote>
  <w:footnote w:type="continuationSeparator" w:id="0">
    <w:p w14:paraId="34A3317B" w14:textId="77777777" w:rsidR="000001A0" w:rsidRDefault="000001A0" w:rsidP="000264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82875"/>
    <w:multiLevelType w:val="multilevel"/>
    <w:tmpl w:val="B46C3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4D5753"/>
    <w:multiLevelType w:val="multilevel"/>
    <w:tmpl w:val="B1E41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BF0890"/>
    <w:multiLevelType w:val="multilevel"/>
    <w:tmpl w:val="7638C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821CC8"/>
    <w:multiLevelType w:val="hybridMultilevel"/>
    <w:tmpl w:val="22E04742"/>
    <w:lvl w:ilvl="0" w:tplc="3FB42A0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5130E6D"/>
    <w:multiLevelType w:val="hybridMultilevel"/>
    <w:tmpl w:val="98A67CE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60F5041"/>
    <w:multiLevelType w:val="hybridMultilevel"/>
    <w:tmpl w:val="9A8ECFA8"/>
    <w:lvl w:ilvl="0" w:tplc="A496A4F4">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937522F"/>
    <w:multiLevelType w:val="multilevel"/>
    <w:tmpl w:val="33DC0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6CF5C35"/>
    <w:multiLevelType w:val="hybridMultilevel"/>
    <w:tmpl w:val="9AB47F82"/>
    <w:lvl w:ilvl="0" w:tplc="660C6AD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0B23803"/>
    <w:multiLevelType w:val="hybridMultilevel"/>
    <w:tmpl w:val="61E27904"/>
    <w:lvl w:ilvl="0" w:tplc="04090019">
      <w:start w:val="9"/>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4244C69"/>
    <w:multiLevelType w:val="hybridMultilevel"/>
    <w:tmpl w:val="51EAE35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68C30C7"/>
    <w:multiLevelType w:val="multilevel"/>
    <w:tmpl w:val="11BA7C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91968CF"/>
    <w:multiLevelType w:val="hybridMultilevel"/>
    <w:tmpl w:val="BB7AB2E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DCE6330"/>
    <w:multiLevelType w:val="hybridMultilevel"/>
    <w:tmpl w:val="E276890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3DA64D6"/>
    <w:multiLevelType w:val="hybridMultilevel"/>
    <w:tmpl w:val="6ED4194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1"/>
  </w:num>
  <w:num w:numId="3">
    <w:abstractNumId w:val="2"/>
  </w:num>
  <w:num w:numId="4">
    <w:abstractNumId w:val="0"/>
  </w:num>
  <w:num w:numId="5">
    <w:abstractNumId w:val="10"/>
  </w:num>
  <w:num w:numId="6">
    <w:abstractNumId w:val="9"/>
  </w:num>
  <w:num w:numId="7">
    <w:abstractNumId w:val="3"/>
  </w:num>
  <w:num w:numId="8">
    <w:abstractNumId w:val="5"/>
  </w:num>
  <w:num w:numId="9">
    <w:abstractNumId w:val="7"/>
  </w:num>
  <w:num w:numId="10">
    <w:abstractNumId w:val="8"/>
  </w:num>
  <w:num w:numId="11">
    <w:abstractNumId w:val="4"/>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5E38"/>
    <w:rsid w:val="000001A0"/>
    <w:rsid w:val="00023A03"/>
    <w:rsid w:val="0002649F"/>
    <w:rsid w:val="00027E11"/>
    <w:rsid w:val="00051AEB"/>
    <w:rsid w:val="0006257F"/>
    <w:rsid w:val="0007165D"/>
    <w:rsid w:val="000B2DED"/>
    <w:rsid w:val="000C4BED"/>
    <w:rsid w:val="000E39ED"/>
    <w:rsid w:val="000F3EE7"/>
    <w:rsid w:val="0010032C"/>
    <w:rsid w:val="00125715"/>
    <w:rsid w:val="00131504"/>
    <w:rsid w:val="001A26CD"/>
    <w:rsid w:val="001A42B9"/>
    <w:rsid w:val="002640D5"/>
    <w:rsid w:val="00276121"/>
    <w:rsid w:val="002B0305"/>
    <w:rsid w:val="002B6187"/>
    <w:rsid w:val="002C7F24"/>
    <w:rsid w:val="002F6D82"/>
    <w:rsid w:val="00301E3B"/>
    <w:rsid w:val="00317C5B"/>
    <w:rsid w:val="00365F17"/>
    <w:rsid w:val="0039000C"/>
    <w:rsid w:val="003D5196"/>
    <w:rsid w:val="003D7D08"/>
    <w:rsid w:val="003F00EB"/>
    <w:rsid w:val="00422EA5"/>
    <w:rsid w:val="00432D64"/>
    <w:rsid w:val="004363BB"/>
    <w:rsid w:val="0046750B"/>
    <w:rsid w:val="00472813"/>
    <w:rsid w:val="004805E7"/>
    <w:rsid w:val="004E3911"/>
    <w:rsid w:val="004E5BE2"/>
    <w:rsid w:val="004E6317"/>
    <w:rsid w:val="004F4B73"/>
    <w:rsid w:val="00515905"/>
    <w:rsid w:val="0055591F"/>
    <w:rsid w:val="00564DF3"/>
    <w:rsid w:val="005C3C5E"/>
    <w:rsid w:val="005C5CD7"/>
    <w:rsid w:val="005D1F5A"/>
    <w:rsid w:val="005E6D8E"/>
    <w:rsid w:val="005E7537"/>
    <w:rsid w:val="006317BF"/>
    <w:rsid w:val="006466CC"/>
    <w:rsid w:val="00692FF8"/>
    <w:rsid w:val="006B2124"/>
    <w:rsid w:val="006C1D3F"/>
    <w:rsid w:val="006F591F"/>
    <w:rsid w:val="00734073"/>
    <w:rsid w:val="007859E0"/>
    <w:rsid w:val="00790310"/>
    <w:rsid w:val="007A2246"/>
    <w:rsid w:val="007B3FAC"/>
    <w:rsid w:val="007D50EA"/>
    <w:rsid w:val="007F17EC"/>
    <w:rsid w:val="0080033C"/>
    <w:rsid w:val="00817BE2"/>
    <w:rsid w:val="00837A43"/>
    <w:rsid w:val="008400D3"/>
    <w:rsid w:val="008428C1"/>
    <w:rsid w:val="0085015A"/>
    <w:rsid w:val="008A6D03"/>
    <w:rsid w:val="008F4A09"/>
    <w:rsid w:val="00916390"/>
    <w:rsid w:val="00937248"/>
    <w:rsid w:val="009A428C"/>
    <w:rsid w:val="009B6FF7"/>
    <w:rsid w:val="009C407A"/>
    <w:rsid w:val="009E0602"/>
    <w:rsid w:val="00AB073B"/>
    <w:rsid w:val="00AB6DD5"/>
    <w:rsid w:val="00AC69F0"/>
    <w:rsid w:val="00AC7CB6"/>
    <w:rsid w:val="00AF1D10"/>
    <w:rsid w:val="00B24F9A"/>
    <w:rsid w:val="00B85D7D"/>
    <w:rsid w:val="00BD596F"/>
    <w:rsid w:val="00BF3296"/>
    <w:rsid w:val="00C079B9"/>
    <w:rsid w:val="00C15E38"/>
    <w:rsid w:val="00C2098E"/>
    <w:rsid w:val="00C65CF5"/>
    <w:rsid w:val="00CB0F4D"/>
    <w:rsid w:val="00CD2FB2"/>
    <w:rsid w:val="00CE216E"/>
    <w:rsid w:val="00CF2A49"/>
    <w:rsid w:val="00D160E5"/>
    <w:rsid w:val="00D34EFC"/>
    <w:rsid w:val="00D660B5"/>
    <w:rsid w:val="00D668FE"/>
    <w:rsid w:val="00DC26D4"/>
    <w:rsid w:val="00DC3EF4"/>
    <w:rsid w:val="00DF2638"/>
    <w:rsid w:val="00E05925"/>
    <w:rsid w:val="00E213AF"/>
    <w:rsid w:val="00E47A6F"/>
    <w:rsid w:val="00E52030"/>
    <w:rsid w:val="00E526A9"/>
    <w:rsid w:val="00E97511"/>
    <w:rsid w:val="00EE4FD9"/>
    <w:rsid w:val="00F4266D"/>
    <w:rsid w:val="00F4435F"/>
    <w:rsid w:val="00F67BC5"/>
    <w:rsid w:val="00F87925"/>
    <w:rsid w:val="00FB363D"/>
    <w:rsid w:val="00FE4D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19230F"/>
  <w15:chartTrackingRefBased/>
  <w15:docId w15:val="{3A8DA37C-BE29-4E2A-ADD8-130FA67916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59E0"/>
    <w:rPr>
      <w:lang w:val="en-GB"/>
    </w:rPr>
  </w:style>
  <w:style w:type="paragraph" w:styleId="Heading1">
    <w:name w:val="heading 1"/>
    <w:basedOn w:val="Normal"/>
    <w:next w:val="Normal"/>
    <w:link w:val="Heading1Char"/>
    <w:uiPriority w:val="9"/>
    <w:qFormat/>
    <w:rsid w:val="008428C1"/>
    <w:pPr>
      <w:keepNext/>
      <w:keepLines/>
      <w:spacing w:before="360" w:after="80"/>
      <w:outlineLvl w:val="0"/>
    </w:pPr>
    <w:rPr>
      <w:rFonts w:ascii="Times New Roman" w:eastAsiaTheme="majorEastAsia" w:hAnsi="Times New Roman"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428C1"/>
    <w:pPr>
      <w:keepNext/>
      <w:keepLines/>
      <w:spacing w:before="160" w:after="80"/>
      <w:outlineLvl w:val="1"/>
    </w:pPr>
    <w:rPr>
      <w:rFonts w:ascii="Times New Roman" w:eastAsiaTheme="majorEastAsia" w:hAnsi="Times New Roman"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428C1"/>
    <w:pPr>
      <w:keepNext/>
      <w:keepLines/>
      <w:spacing w:before="160" w:after="80"/>
      <w:outlineLvl w:val="2"/>
    </w:pPr>
    <w:rPr>
      <w:rFonts w:ascii="Times New Roman" w:eastAsiaTheme="majorEastAsia" w:hAnsi="Times New Roman"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15E3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15E3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15E3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15E3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15E3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15E3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28C1"/>
    <w:rPr>
      <w:rFonts w:ascii="Times New Roman" w:eastAsiaTheme="majorEastAsia" w:hAnsi="Times New Roman" w:cstheme="majorBidi"/>
      <w:color w:val="0F4761" w:themeColor="accent1" w:themeShade="BF"/>
      <w:sz w:val="40"/>
      <w:szCs w:val="40"/>
      <w:lang w:val="en-GB"/>
    </w:rPr>
  </w:style>
  <w:style w:type="character" w:customStyle="1" w:styleId="Heading2Char">
    <w:name w:val="Heading 2 Char"/>
    <w:basedOn w:val="DefaultParagraphFont"/>
    <w:link w:val="Heading2"/>
    <w:uiPriority w:val="9"/>
    <w:rsid w:val="008428C1"/>
    <w:rPr>
      <w:rFonts w:ascii="Times New Roman" w:eastAsiaTheme="majorEastAsia" w:hAnsi="Times New Roman" w:cstheme="majorBidi"/>
      <w:color w:val="0F4761" w:themeColor="accent1" w:themeShade="BF"/>
      <w:sz w:val="32"/>
      <w:szCs w:val="32"/>
      <w:lang w:val="en-GB"/>
    </w:rPr>
  </w:style>
  <w:style w:type="character" w:customStyle="1" w:styleId="Heading3Char">
    <w:name w:val="Heading 3 Char"/>
    <w:basedOn w:val="DefaultParagraphFont"/>
    <w:link w:val="Heading3"/>
    <w:uiPriority w:val="9"/>
    <w:rsid w:val="008428C1"/>
    <w:rPr>
      <w:rFonts w:ascii="Times New Roman" w:eastAsiaTheme="majorEastAsia" w:hAnsi="Times New Roman"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C15E3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15E3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15E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15E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15E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15E38"/>
    <w:rPr>
      <w:rFonts w:eastAsiaTheme="majorEastAsia" w:cstheme="majorBidi"/>
      <w:color w:val="272727" w:themeColor="text1" w:themeTint="D8"/>
    </w:rPr>
  </w:style>
  <w:style w:type="paragraph" w:styleId="Title">
    <w:name w:val="Title"/>
    <w:basedOn w:val="Normal"/>
    <w:next w:val="Normal"/>
    <w:link w:val="TitleChar"/>
    <w:uiPriority w:val="10"/>
    <w:qFormat/>
    <w:rsid w:val="00C15E3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15E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15E3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15E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15E38"/>
    <w:pPr>
      <w:spacing w:before="160"/>
      <w:jc w:val="center"/>
    </w:pPr>
    <w:rPr>
      <w:i/>
      <w:iCs/>
      <w:color w:val="404040" w:themeColor="text1" w:themeTint="BF"/>
    </w:rPr>
  </w:style>
  <w:style w:type="character" w:customStyle="1" w:styleId="QuoteChar">
    <w:name w:val="Quote Char"/>
    <w:basedOn w:val="DefaultParagraphFont"/>
    <w:link w:val="Quote"/>
    <w:uiPriority w:val="29"/>
    <w:rsid w:val="00C15E38"/>
    <w:rPr>
      <w:i/>
      <w:iCs/>
      <w:color w:val="404040" w:themeColor="text1" w:themeTint="BF"/>
    </w:rPr>
  </w:style>
  <w:style w:type="paragraph" w:styleId="ListParagraph">
    <w:name w:val="List Paragraph"/>
    <w:basedOn w:val="Normal"/>
    <w:uiPriority w:val="34"/>
    <w:qFormat/>
    <w:rsid w:val="00C15E38"/>
    <w:pPr>
      <w:ind w:left="720"/>
      <w:contextualSpacing/>
    </w:pPr>
  </w:style>
  <w:style w:type="character" w:styleId="IntenseEmphasis">
    <w:name w:val="Intense Emphasis"/>
    <w:basedOn w:val="DefaultParagraphFont"/>
    <w:uiPriority w:val="21"/>
    <w:qFormat/>
    <w:rsid w:val="00C15E38"/>
    <w:rPr>
      <w:i/>
      <w:iCs/>
      <w:color w:val="0F4761" w:themeColor="accent1" w:themeShade="BF"/>
    </w:rPr>
  </w:style>
  <w:style w:type="paragraph" w:styleId="IntenseQuote">
    <w:name w:val="Intense Quote"/>
    <w:basedOn w:val="Normal"/>
    <w:next w:val="Normal"/>
    <w:link w:val="IntenseQuoteChar"/>
    <w:uiPriority w:val="30"/>
    <w:qFormat/>
    <w:rsid w:val="00C15E3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15E38"/>
    <w:rPr>
      <w:i/>
      <w:iCs/>
      <w:color w:val="0F4761" w:themeColor="accent1" w:themeShade="BF"/>
    </w:rPr>
  </w:style>
  <w:style w:type="character" w:styleId="IntenseReference">
    <w:name w:val="Intense Reference"/>
    <w:basedOn w:val="DefaultParagraphFont"/>
    <w:uiPriority w:val="32"/>
    <w:qFormat/>
    <w:rsid w:val="00C15E38"/>
    <w:rPr>
      <w:b/>
      <w:bCs/>
      <w:smallCaps/>
      <w:color w:val="0F4761" w:themeColor="accent1" w:themeShade="BF"/>
      <w:spacing w:val="5"/>
    </w:rPr>
  </w:style>
  <w:style w:type="table" w:styleId="TableGrid">
    <w:name w:val="Table Grid"/>
    <w:basedOn w:val="TableNormal"/>
    <w:uiPriority w:val="39"/>
    <w:rsid w:val="005559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9C407A"/>
  </w:style>
  <w:style w:type="paragraph" w:styleId="TOCHeading">
    <w:name w:val="TOC Heading"/>
    <w:basedOn w:val="Heading1"/>
    <w:next w:val="Normal"/>
    <w:uiPriority w:val="39"/>
    <w:unhideWhenUsed/>
    <w:qFormat/>
    <w:rsid w:val="0046750B"/>
    <w:pPr>
      <w:spacing w:before="240" w:after="0" w:line="259" w:lineRule="auto"/>
      <w:outlineLvl w:val="9"/>
    </w:pPr>
    <w:rPr>
      <w:rFonts w:asciiTheme="majorHAnsi" w:hAnsiTheme="majorHAnsi"/>
      <w:kern w:val="0"/>
      <w:sz w:val="32"/>
      <w:szCs w:val="32"/>
      <w:lang w:val="en-US"/>
      <w14:ligatures w14:val="none"/>
    </w:rPr>
  </w:style>
  <w:style w:type="paragraph" w:styleId="TOC1">
    <w:name w:val="toc 1"/>
    <w:basedOn w:val="Normal"/>
    <w:next w:val="Normal"/>
    <w:autoRedefine/>
    <w:uiPriority w:val="39"/>
    <w:unhideWhenUsed/>
    <w:rsid w:val="0046750B"/>
    <w:pPr>
      <w:spacing w:after="100"/>
    </w:pPr>
  </w:style>
  <w:style w:type="paragraph" w:styleId="TOC2">
    <w:name w:val="toc 2"/>
    <w:basedOn w:val="Normal"/>
    <w:next w:val="Normal"/>
    <w:autoRedefine/>
    <w:uiPriority w:val="39"/>
    <w:unhideWhenUsed/>
    <w:rsid w:val="0046750B"/>
    <w:pPr>
      <w:spacing w:after="100"/>
      <w:ind w:left="240"/>
    </w:pPr>
  </w:style>
  <w:style w:type="paragraph" w:styleId="TOC3">
    <w:name w:val="toc 3"/>
    <w:basedOn w:val="Normal"/>
    <w:next w:val="Normal"/>
    <w:autoRedefine/>
    <w:uiPriority w:val="39"/>
    <w:unhideWhenUsed/>
    <w:rsid w:val="0046750B"/>
    <w:pPr>
      <w:spacing w:after="100"/>
      <w:ind w:left="480"/>
    </w:pPr>
  </w:style>
  <w:style w:type="character" w:styleId="Hyperlink">
    <w:name w:val="Hyperlink"/>
    <w:basedOn w:val="DefaultParagraphFont"/>
    <w:uiPriority w:val="99"/>
    <w:unhideWhenUsed/>
    <w:rsid w:val="0046750B"/>
    <w:rPr>
      <w:color w:val="467886" w:themeColor="hyperlink"/>
      <w:u w:val="single"/>
    </w:rPr>
  </w:style>
  <w:style w:type="paragraph" w:styleId="NoSpacing">
    <w:name w:val="No Spacing"/>
    <w:link w:val="NoSpacingChar"/>
    <w:uiPriority w:val="1"/>
    <w:qFormat/>
    <w:rsid w:val="00CB0F4D"/>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CB0F4D"/>
    <w:rPr>
      <w:rFonts w:eastAsiaTheme="minorEastAsia"/>
      <w:kern w:val="0"/>
      <w:sz w:val="22"/>
      <w:szCs w:val="22"/>
      <w14:ligatures w14:val="none"/>
    </w:rPr>
  </w:style>
  <w:style w:type="paragraph" w:styleId="Header">
    <w:name w:val="header"/>
    <w:basedOn w:val="Normal"/>
    <w:link w:val="HeaderChar"/>
    <w:uiPriority w:val="99"/>
    <w:unhideWhenUsed/>
    <w:rsid w:val="0002649F"/>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649F"/>
    <w:rPr>
      <w:lang w:val="en-GB"/>
    </w:rPr>
  </w:style>
  <w:style w:type="paragraph" w:styleId="Footer">
    <w:name w:val="footer"/>
    <w:basedOn w:val="Normal"/>
    <w:link w:val="FooterChar"/>
    <w:uiPriority w:val="99"/>
    <w:unhideWhenUsed/>
    <w:rsid w:val="0002649F"/>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649F"/>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79640">
      <w:bodyDiv w:val="1"/>
      <w:marLeft w:val="0"/>
      <w:marRight w:val="0"/>
      <w:marTop w:val="0"/>
      <w:marBottom w:val="0"/>
      <w:divBdr>
        <w:top w:val="none" w:sz="0" w:space="0" w:color="auto"/>
        <w:left w:val="none" w:sz="0" w:space="0" w:color="auto"/>
        <w:bottom w:val="none" w:sz="0" w:space="0" w:color="auto"/>
        <w:right w:val="none" w:sz="0" w:space="0" w:color="auto"/>
      </w:divBdr>
    </w:div>
    <w:div w:id="10845013">
      <w:bodyDiv w:val="1"/>
      <w:marLeft w:val="0"/>
      <w:marRight w:val="0"/>
      <w:marTop w:val="0"/>
      <w:marBottom w:val="0"/>
      <w:divBdr>
        <w:top w:val="none" w:sz="0" w:space="0" w:color="auto"/>
        <w:left w:val="none" w:sz="0" w:space="0" w:color="auto"/>
        <w:bottom w:val="none" w:sz="0" w:space="0" w:color="auto"/>
        <w:right w:val="none" w:sz="0" w:space="0" w:color="auto"/>
      </w:divBdr>
    </w:div>
    <w:div w:id="26638633">
      <w:bodyDiv w:val="1"/>
      <w:marLeft w:val="0"/>
      <w:marRight w:val="0"/>
      <w:marTop w:val="0"/>
      <w:marBottom w:val="0"/>
      <w:divBdr>
        <w:top w:val="none" w:sz="0" w:space="0" w:color="auto"/>
        <w:left w:val="none" w:sz="0" w:space="0" w:color="auto"/>
        <w:bottom w:val="none" w:sz="0" w:space="0" w:color="auto"/>
        <w:right w:val="none" w:sz="0" w:space="0" w:color="auto"/>
      </w:divBdr>
    </w:div>
    <w:div w:id="38214068">
      <w:bodyDiv w:val="1"/>
      <w:marLeft w:val="0"/>
      <w:marRight w:val="0"/>
      <w:marTop w:val="0"/>
      <w:marBottom w:val="0"/>
      <w:divBdr>
        <w:top w:val="none" w:sz="0" w:space="0" w:color="auto"/>
        <w:left w:val="none" w:sz="0" w:space="0" w:color="auto"/>
        <w:bottom w:val="none" w:sz="0" w:space="0" w:color="auto"/>
        <w:right w:val="none" w:sz="0" w:space="0" w:color="auto"/>
      </w:divBdr>
    </w:div>
    <w:div w:id="49622335">
      <w:bodyDiv w:val="1"/>
      <w:marLeft w:val="0"/>
      <w:marRight w:val="0"/>
      <w:marTop w:val="0"/>
      <w:marBottom w:val="0"/>
      <w:divBdr>
        <w:top w:val="none" w:sz="0" w:space="0" w:color="auto"/>
        <w:left w:val="none" w:sz="0" w:space="0" w:color="auto"/>
        <w:bottom w:val="none" w:sz="0" w:space="0" w:color="auto"/>
        <w:right w:val="none" w:sz="0" w:space="0" w:color="auto"/>
      </w:divBdr>
    </w:div>
    <w:div w:id="56634474">
      <w:bodyDiv w:val="1"/>
      <w:marLeft w:val="0"/>
      <w:marRight w:val="0"/>
      <w:marTop w:val="0"/>
      <w:marBottom w:val="0"/>
      <w:divBdr>
        <w:top w:val="none" w:sz="0" w:space="0" w:color="auto"/>
        <w:left w:val="none" w:sz="0" w:space="0" w:color="auto"/>
        <w:bottom w:val="none" w:sz="0" w:space="0" w:color="auto"/>
        <w:right w:val="none" w:sz="0" w:space="0" w:color="auto"/>
      </w:divBdr>
    </w:div>
    <w:div w:id="92750099">
      <w:bodyDiv w:val="1"/>
      <w:marLeft w:val="0"/>
      <w:marRight w:val="0"/>
      <w:marTop w:val="0"/>
      <w:marBottom w:val="0"/>
      <w:divBdr>
        <w:top w:val="none" w:sz="0" w:space="0" w:color="auto"/>
        <w:left w:val="none" w:sz="0" w:space="0" w:color="auto"/>
        <w:bottom w:val="none" w:sz="0" w:space="0" w:color="auto"/>
        <w:right w:val="none" w:sz="0" w:space="0" w:color="auto"/>
      </w:divBdr>
    </w:div>
    <w:div w:id="98067538">
      <w:bodyDiv w:val="1"/>
      <w:marLeft w:val="0"/>
      <w:marRight w:val="0"/>
      <w:marTop w:val="0"/>
      <w:marBottom w:val="0"/>
      <w:divBdr>
        <w:top w:val="none" w:sz="0" w:space="0" w:color="auto"/>
        <w:left w:val="none" w:sz="0" w:space="0" w:color="auto"/>
        <w:bottom w:val="none" w:sz="0" w:space="0" w:color="auto"/>
        <w:right w:val="none" w:sz="0" w:space="0" w:color="auto"/>
      </w:divBdr>
    </w:div>
    <w:div w:id="110559370">
      <w:bodyDiv w:val="1"/>
      <w:marLeft w:val="0"/>
      <w:marRight w:val="0"/>
      <w:marTop w:val="0"/>
      <w:marBottom w:val="0"/>
      <w:divBdr>
        <w:top w:val="none" w:sz="0" w:space="0" w:color="auto"/>
        <w:left w:val="none" w:sz="0" w:space="0" w:color="auto"/>
        <w:bottom w:val="none" w:sz="0" w:space="0" w:color="auto"/>
        <w:right w:val="none" w:sz="0" w:space="0" w:color="auto"/>
      </w:divBdr>
    </w:div>
    <w:div w:id="159004831">
      <w:bodyDiv w:val="1"/>
      <w:marLeft w:val="0"/>
      <w:marRight w:val="0"/>
      <w:marTop w:val="0"/>
      <w:marBottom w:val="0"/>
      <w:divBdr>
        <w:top w:val="none" w:sz="0" w:space="0" w:color="auto"/>
        <w:left w:val="none" w:sz="0" w:space="0" w:color="auto"/>
        <w:bottom w:val="none" w:sz="0" w:space="0" w:color="auto"/>
        <w:right w:val="none" w:sz="0" w:space="0" w:color="auto"/>
      </w:divBdr>
    </w:div>
    <w:div w:id="162403499">
      <w:bodyDiv w:val="1"/>
      <w:marLeft w:val="0"/>
      <w:marRight w:val="0"/>
      <w:marTop w:val="0"/>
      <w:marBottom w:val="0"/>
      <w:divBdr>
        <w:top w:val="none" w:sz="0" w:space="0" w:color="auto"/>
        <w:left w:val="none" w:sz="0" w:space="0" w:color="auto"/>
        <w:bottom w:val="none" w:sz="0" w:space="0" w:color="auto"/>
        <w:right w:val="none" w:sz="0" w:space="0" w:color="auto"/>
      </w:divBdr>
    </w:div>
    <w:div w:id="166136687">
      <w:bodyDiv w:val="1"/>
      <w:marLeft w:val="0"/>
      <w:marRight w:val="0"/>
      <w:marTop w:val="0"/>
      <w:marBottom w:val="0"/>
      <w:divBdr>
        <w:top w:val="none" w:sz="0" w:space="0" w:color="auto"/>
        <w:left w:val="none" w:sz="0" w:space="0" w:color="auto"/>
        <w:bottom w:val="none" w:sz="0" w:space="0" w:color="auto"/>
        <w:right w:val="none" w:sz="0" w:space="0" w:color="auto"/>
      </w:divBdr>
    </w:div>
    <w:div w:id="216943007">
      <w:bodyDiv w:val="1"/>
      <w:marLeft w:val="0"/>
      <w:marRight w:val="0"/>
      <w:marTop w:val="0"/>
      <w:marBottom w:val="0"/>
      <w:divBdr>
        <w:top w:val="none" w:sz="0" w:space="0" w:color="auto"/>
        <w:left w:val="none" w:sz="0" w:space="0" w:color="auto"/>
        <w:bottom w:val="none" w:sz="0" w:space="0" w:color="auto"/>
        <w:right w:val="none" w:sz="0" w:space="0" w:color="auto"/>
      </w:divBdr>
    </w:div>
    <w:div w:id="229703776">
      <w:bodyDiv w:val="1"/>
      <w:marLeft w:val="0"/>
      <w:marRight w:val="0"/>
      <w:marTop w:val="0"/>
      <w:marBottom w:val="0"/>
      <w:divBdr>
        <w:top w:val="none" w:sz="0" w:space="0" w:color="auto"/>
        <w:left w:val="none" w:sz="0" w:space="0" w:color="auto"/>
        <w:bottom w:val="none" w:sz="0" w:space="0" w:color="auto"/>
        <w:right w:val="none" w:sz="0" w:space="0" w:color="auto"/>
      </w:divBdr>
    </w:div>
    <w:div w:id="231745836">
      <w:bodyDiv w:val="1"/>
      <w:marLeft w:val="0"/>
      <w:marRight w:val="0"/>
      <w:marTop w:val="0"/>
      <w:marBottom w:val="0"/>
      <w:divBdr>
        <w:top w:val="none" w:sz="0" w:space="0" w:color="auto"/>
        <w:left w:val="none" w:sz="0" w:space="0" w:color="auto"/>
        <w:bottom w:val="none" w:sz="0" w:space="0" w:color="auto"/>
        <w:right w:val="none" w:sz="0" w:space="0" w:color="auto"/>
      </w:divBdr>
    </w:div>
    <w:div w:id="235747510">
      <w:bodyDiv w:val="1"/>
      <w:marLeft w:val="0"/>
      <w:marRight w:val="0"/>
      <w:marTop w:val="0"/>
      <w:marBottom w:val="0"/>
      <w:divBdr>
        <w:top w:val="none" w:sz="0" w:space="0" w:color="auto"/>
        <w:left w:val="none" w:sz="0" w:space="0" w:color="auto"/>
        <w:bottom w:val="none" w:sz="0" w:space="0" w:color="auto"/>
        <w:right w:val="none" w:sz="0" w:space="0" w:color="auto"/>
      </w:divBdr>
    </w:div>
    <w:div w:id="243683176">
      <w:bodyDiv w:val="1"/>
      <w:marLeft w:val="0"/>
      <w:marRight w:val="0"/>
      <w:marTop w:val="0"/>
      <w:marBottom w:val="0"/>
      <w:divBdr>
        <w:top w:val="none" w:sz="0" w:space="0" w:color="auto"/>
        <w:left w:val="none" w:sz="0" w:space="0" w:color="auto"/>
        <w:bottom w:val="none" w:sz="0" w:space="0" w:color="auto"/>
        <w:right w:val="none" w:sz="0" w:space="0" w:color="auto"/>
      </w:divBdr>
    </w:div>
    <w:div w:id="252669043">
      <w:bodyDiv w:val="1"/>
      <w:marLeft w:val="0"/>
      <w:marRight w:val="0"/>
      <w:marTop w:val="0"/>
      <w:marBottom w:val="0"/>
      <w:divBdr>
        <w:top w:val="none" w:sz="0" w:space="0" w:color="auto"/>
        <w:left w:val="none" w:sz="0" w:space="0" w:color="auto"/>
        <w:bottom w:val="none" w:sz="0" w:space="0" w:color="auto"/>
        <w:right w:val="none" w:sz="0" w:space="0" w:color="auto"/>
      </w:divBdr>
    </w:div>
    <w:div w:id="260337458">
      <w:bodyDiv w:val="1"/>
      <w:marLeft w:val="0"/>
      <w:marRight w:val="0"/>
      <w:marTop w:val="0"/>
      <w:marBottom w:val="0"/>
      <w:divBdr>
        <w:top w:val="none" w:sz="0" w:space="0" w:color="auto"/>
        <w:left w:val="none" w:sz="0" w:space="0" w:color="auto"/>
        <w:bottom w:val="none" w:sz="0" w:space="0" w:color="auto"/>
        <w:right w:val="none" w:sz="0" w:space="0" w:color="auto"/>
      </w:divBdr>
    </w:div>
    <w:div w:id="281765063">
      <w:bodyDiv w:val="1"/>
      <w:marLeft w:val="0"/>
      <w:marRight w:val="0"/>
      <w:marTop w:val="0"/>
      <w:marBottom w:val="0"/>
      <w:divBdr>
        <w:top w:val="none" w:sz="0" w:space="0" w:color="auto"/>
        <w:left w:val="none" w:sz="0" w:space="0" w:color="auto"/>
        <w:bottom w:val="none" w:sz="0" w:space="0" w:color="auto"/>
        <w:right w:val="none" w:sz="0" w:space="0" w:color="auto"/>
      </w:divBdr>
    </w:div>
    <w:div w:id="283998904">
      <w:bodyDiv w:val="1"/>
      <w:marLeft w:val="0"/>
      <w:marRight w:val="0"/>
      <w:marTop w:val="0"/>
      <w:marBottom w:val="0"/>
      <w:divBdr>
        <w:top w:val="none" w:sz="0" w:space="0" w:color="auto"/>
        <w:left w:val="none" w:sz="0" w:space="0" w:color="auto"/>
        <w:bottom w:val="none" w:sz="0" w:space="0" w:color="auto"/>
        <w:right w:val="none" w:sz="0" w:space="0" w:color="auto"/>
      </w:divBdr>
    </w:div>
    <w:div w:id="288975847">
      <w:bodyDiv w:val="1"/>
      <w:marLeft w:val="0"/>
      <w:marRight w:val="0"/>
      <w:marTop w:val="0"/>
      <w:marBottom w:val="0"/>
      <w:divBdr>
        <w:top w:val="none" w:sz="0" w:space="0" w:color="auto"/>
        <w:left w:val="none" w:sz="0" w:space="0" w:color="auto"/>
        <w:bottom w:val="none" w:sz="0" w:space="0" w:color="auto"/>
        <w:right w:val="none" w:sz="0" w:space="0" w:color="auto"/>
      </w:divBdr>
    </w:div>
    <w:div w:id="290552155">
      <w:bodyDiv w:val="1"/>
      <w:marLeft w:val="0"/>
      <w:marRight w:val="0"/>
      <w:marTop w:val="0"/>
      <w:marBottom w:val="0"/>
      <w:divBdr>
        <w:top w:val="none" w:sz="0" w:space="0" w:color="auto"/>
        <w:left w:val="none" w:sz="0" w:space="0" w:color="auto"/>
        <w:bottom w:val="none" w:sz="0" w:space="0" w:color="auto"/>
        <w:right w:val="none" w:sz="0" w:space="0" w:color="auto"/>
      </w:divBdr>
    </w:div>
    <w:div w:id="302395472">
      <w:bodyDiv w:val="1"/>
      <w:marLeft w:val="0"/>
      <w:marRight w:val="0"/>
      <w:marTop w:val="0"/>
      <w:marBottom w:val="0"/>
      <w:divBdr>
        <w:top w:val="none" w:sz="0" w:space="0" w:color="auto"/>
        <w:left w:val="none" w:sz="0" w:space="0" w:color="auto"/>
        <w:bottom w:val="none" w:sz="0" w:space="0" w:color="auto"/>
        <w:right w:val="none" w:sz="0" w:space="0" w:color="auto"/>
      </w:divBdr>
    </w:div>
    <w:div w:id="324820382">
      <w:bodyDiv w:val="1"/>
      <w:marLeft w:val="0"/>
      <w:marRight w:val="0"/>
      <w:marTop w:val="0"/>
      <w:marBottom w:val="0"/>
      <w:divBdr>
        <w:top w:val="none" w:sz="0" w:space="0" w:color="auto"/>
        <w:left w:val="none" w:sz="0" w:space="0" w:color="auto"/>
        <w:bottom w:val="none" w:sz="0" w:space="0" w:color="auto"/>
        <w:right w:val="none" w:sz="0" w:space="0" w:color="auto"/>
      </w:divBdr>
    </w:div>
    <w:div w:id="332610036">
      <w:bodyDiv w:val="1"/>
      <w:marLeft w:val="0"/>
      <w:marRight w:val="0"/>
      <w:marTop w:val="0"/>
      <w:marBottom w:val="0"/>
      <w:divBdr>
        <w:top w:val="none" w:sz="0" w:space="0" w:color="auto"/>
        <w:left w:val="none" w:sz="0" w:space="0" w:color="auto"/>
        <w:bottom w:val="none" w:sz="0" w:space="0" w:color="auto"/>
        <w:right w:val="none" w:sz="0" w:space="0" w:color="auto"/>
      </w:divBdr>
    </w:div>
    <w:div w:id="360787461">
      <w:bodyDiv w:val="1"/>
      <w:marLeft w:val="0"/>
      <w:marRight w:val="0"/>
      <w:marTop w:val="0"/>
      <w:marBottom w:val="0"/>
      <w:divBdr>
        <w:top w:val="none" w:sz="0" w:space="0" w:color="auto"/>
        <w:left w:val="none" w:sz="0" w:space="0" w:color="auto"/>
        <w:bottom w:val="none" w:sz="0" w:space="0" w:color="auto"/>
        <w:right w:val="none" w:sz="0" w:space="0" w:color="auto"/>
      </w:divBdr>
    </w:div>
    <w:div w:id="369190571">
      <w:bodyDiv w:val="1"/>
      <w:marLeft w:val="0"/>
      <w:marRight w:val="0"/>
      <w:marTop w:val="0"/>
      <w:marBottom w:val="0"/>
      <w:divBdr>
        <w:top w:val="none" w:sz="0" w:space="0" w:color="auto"/>
        <w:left w:val="none" w:sz="0" w:space="0" w:color="auto"/>
        <w:bottom w:val="none" w:sz="0" w:space="0" w:color="auto"/>
        <w:right w:val="none" w:sz="0" w:space="0" w:color="auto"/>
      </w:divBdr>
    </w:div>
    <w:div w:id="379213671">
      <w:bodyDiv w:val="1"/>
      <w:marLeft w:val="0"/>
      <w:marRight w:val="0"/>
      <w:marTop w:val="0"/>
      <w:marBottom w:val="0"/>
      <w:divBdr>
        <w:top w:val="none" w:sz="0" w:space="0" w:color="auto"/>
        <w:left w:val="none" w:sz="0" w:space="0" w:color="auto"/>
        <w:bottom w:val="none" w:sz="0" w:space="0" w:color="auto"/>
        <w:right w:val="none" w:sz="0" w:space="0" w:color="auto"/>
      </w:divBdr>
    </w:div>
    <w:div w:id="380255488">
      <w:bodyDiv w:val="1"/>
      <w:marLeft w:val="0"/>
      <w:marRight w:val="0"/>
      <w:marTop w:val="0"/>
      <w:marBottom w:val="0"/>
      <w:divBdr>
        <w:top w:val="none" w:sz="0" w:space="0" w:color="auto"/>
        <w:left w:val="none" w:sz="0" w:space="0" w:color="auto"/>
        <w:bottom w:val="none" w:sz="0" w:space="0" w:color="auto"/>
        <w:right w:val="none" w:sz="0" w:space="0" w:color="auto"/>
      </w:divBdr>
    </w:div>
    <w:div w:id="392239541">
      <w:bodyDiv w:val="1"/>
      <w:marLeft w:val="0"/>
      <w:marRight w:val="0"/>
      <w:marTop w:val="0"/>
      <w:marBottom w:val="0"/>
      <w:divBdr>
        <w:top w:val="none" w:sz="0" w:space="0" w:color="auto"/>
        <w:left w:val="none" w:sz="0" w:space="0" w:color="auto"/>
        <w:bottom w:val="none" w:sz="0" w:space="0" w:color="auto"/>
        <w:right w:val="none" w:sz="0" w:space="0" w:color="auto"/>
      </w:divBdr>
    </w:div>
    <w:div w:id="394818215">
      <w:bodyDiv w:val="1"/>
      <w:marLeft w:val="0"/>
      <w:marRight w:val="0"/>
      <w:marTop w:val="0"/>
      <w:marBottom w:val="0"/>
      <w:divBdr>
        <w:top w:val="none" w:sz="0" w:space="0" w:color="auto"/>
        <w:left w:val="none" w:sz="0" w:space="0" w:color="auto"/>
        <w:bottom w:val="none" w:sz="0" w:space="0" w:color="auto"/>
        <w:right w:val="none" w:sz="0" w:space="0" w:color="auto"/>
      </w:divBdr>
    </w:div>
    <w:div w:id="397174661">
      <w:bodyDiv w:val="1"/>
      <w:marLeft w:val="0"/>
      <w:marRight w:val="0"/>
      <w:marTop w:val="0"/>
      <w:marBottom w:val="0"/>
      <w:divBdr>
        <w:top w:val="none" w:sz="0" w:space="0" w:color="auto"/>
        <w:left w:val="none" w:sz="0" w:space="0" w:color="auto"/>
        <w:bottom w:val="none" w:sz="0" w:space="0" w:color="auto"/>
        <w:right w:val="none" w:sz="0" w:space="0" w:color="auto"/>
      </w:divBdr>
    </w:div>
    <w:div w:id="431556285">
      <w:bodyDiv w:val="1"/>
      <w:marLeft w:val="0"/>
      <w:marRight w:val="0"/>
      <w:marTop w:val="0"/>
      <w:marBottom w:val="0"/>
      <w:divBdr>
        <w:top w:val="none" w:sz="0" w:space="0" w:color="auto"/>
        <w:left w:val="none" w:sz="0" w:space="0" w:color="auto"/>
        <w:bottom w:val="none" w:sz="0" w:space="0" w:color="auto"/>
        <w:right w:val="none" w:sz="0" w:space="0" w:color="auto"/>
      </w:divBdr>
    </w:div>
    <w:div w:id="441808226">
      <w:bodyDiv w:val="1"/>
      <w:marLeft w:val="0"/>
      <w:marRight w:val="0"/>
      <w:marTop w:val="0"/>
      <w:marBottom w:val="0"/>
      <w:divBdr>
        <w:top w:val="none" w:sz="0" w:space="0" w:color="auto"/>
        <w:left w:val="none" w:sz="0" w:space="0" w:color="auto"/>
        <w:bottom w:val="none" w:sz="0" w:space="0" w:color="auto"/>
        <w:right w:val="none" w:sz="0" w:space="0" w:color="auto"/>
      </w:divBdr>
    </w:div>
    <w:div w:id="461922181">
      <w:bodyDiv w:val="1"/>
      <w:marLeft w:val="0"/>
      <w:marRight w:val="0"/>
      <w:marTop w:val="0"/>
      <w:marBottom w:val="0"/>
      <w:divBdr>
        <w:top w:val="none" w:sz="0" w:space="0" w:color="auto"/>
        <w:left w:val="none" w:sz="0" w:space="0" w:color="auto"/>
        <w:bottom w:val="none" w:sz="0" w:space="0" w:color="auto"/>
        <w:right w:val="none" w:sz="0" w:space="0" w:color="auto"/>
      </w:divBdr>
    </w:div>
    <w:div w:id="462967964">
      <w:bodyDiv w:val="1"/>
      <w:marLeft w:val="0"/>
      <w:marRight w:val="0"/>
      <w:marTop w:val="0"/>
      <w:marBottom w:val="0"/>
      <w:divBdr>
        <w:top w:val="none" w:sz="0" w:space="0" w:color="auto"/>
        <w:left w:val="none" w:sz="0" w:space="0" w:color="auto"/>
        <w:bottom w:val="none" w:sz="0" w:space="0" w:color="auto"/>
        <w:right w:val="none" w:sz="0" w:space="0" w:color="auto"/>
      </w:divBdr>
    </w:div>
    <w:div w:id="478376790">
      <w:bodyDiv w:val="1"/>
      <w:marLeft w:val="0"/>
      <w:marRight w:val="0"/>
      <w:marTop w:val="0"/>
      <w:marBottom w:val="0"/>
      <w:divBdr>
        <w:top w:val="none" w:sz="0" w:space="0" w:color="auto"/>
        <w:left w:val="none" w:sz="0" w:space="0" w:color="auto"/>
        <w:bottom w:val="none" w:sz="0" w:space="0" w:color="auto"/>
        <w:right w:val="none" w:sz="0" w:space="0" w:color="auto"/>
      </w:divBdr>
    </w:div>
    <w:div w:id="524177542">
      <w:bodyDiv w:val="1"/>
      <w:marLeft w:val="0"/>
      <w:marRight w:val="0"/>
      <w:marTop w:val="0"/>
      <w:marBottom w:val="0"/>
      <w:divBdr>
        <w:top w:val="none" w:sz="0" w:space="0" w:color="auto"/>
        <w:left w:val="none" w:sz="0" w:space="0" w:color="auto"/>
        <w:bottom w:val="none" w:sz="0" w:space="0" w:color="auto"/>
        <w:right w:val="none" w:sz="0" w:space="0" w:color="auto"/>
      </w:divBdr>
    </w:div>
    <w:div w:id="534342906">
      <w:bodyDiv w:val="1"/>
      <w:marLeft w:val="0"/>
      <w:marRight w:val="0"/>
      <w:marTop w:val="0"/>
      <w:marBottom w:val="0"/>
      <w:divBdr>
        <w:top w:val="none" w:sz="0" w:space="0" w:color="auto"/>
        <w:left w:val="none" w:sz="0" w:space="0" w:color="auto"/>
        <w:bottom w:val="none" w:sz="0" w:space="0" w:color="auto"/>
        <w:right w:val="none" w:sz="0" w:space="0" w:color="auto"/>
      </w:divBdr>
    </w:div>
    <w:div w:id="539711703">
      <w:bodyDiv w:val="1"/>
      <w:marLeft w:val="0"/>
      <w:marRight w:val="0"/>
      <w:marTop w:val="0"/>
      <w:marBottom w:val="0"/>
      <w:divBdr>
        <w:top w:val="none" w:sz="0" w:space="0" w:color="auto"/>
        <w:left w:val="none" w:sz="0" w:space="0" w:color="auto"/>
        <w:bottom w:val="none" w:sz="0" w:space="0" w:color="auto"/>
        <w:right w:val="none" w:sz="0" w:space="0" w:color="auto"/>
      </w:divBdr>
    </w:div>
    <w:div w:id="545072430">
      <w:bodyDiv w:val="1"/>
      <w:marLeft w:val="0"/>
      <w:marRight w:val="0"/>
      <w:marTop w:val="0"/>
      <w:marBottom w:val="0"/>
      <w:divBdr>
        <w:top w:val="none" w:sz="0" w:space="0" w:color="auto"/>
        <w:left w:val="none" w:sz="0" w:space="0" w:color="auto"/>
        <w:bottom w:val="none" w:sz="0" w:space="0" w:color="auto"/>
        <w:right w:val="none" w:sz="0" w:space="0" w:color="auto"/>
      </w:divBdr>
    </w:div>
    <w:div w:id="560364042">
      <w:bodyDiv w:val="1"/>
      <w:marLeft w:val="0"/>
      <w:marRight w:val="0"/>
      <w:marTop w:val="0"/>
      <w:marBottom w:val="0"/>
      <w:divBdr>
        <w:top w:val="none" w:sz="0" w:space="0" w:color="auto"/>
        <w:left w:val="none" w:sz="0" w:space="0" w:color="auto"/>
        <w:bottom w:val="none" w:sz="0" w:space="0" w:color="auto"/>
        <w:right w:val="none" w:sz="0" w:space="0" w:color="auto"/>
      </w:divBdr>
    </w:div>
    <w:div w:id="560409264">
      <w:bodyDiv w:val="1"/>
      <w:marLeft w:val="0"/>
      <w:marRight w:val="0"/>
      <w:marTop w:val="0"/>
      <w:marBottom w:val="0"/>
      <w:divBdr>
        <w:top w:val="none" w:sz="0" w:space="0" w:color="auto"/>
        <w:left w:val="none" w:sz="0" w:space="0" w:color="auto"/>
        <w:bottom w:val="none" w:sz="0" w:space="0" w:color="auto"/>
        <w:right w:val="none" w:sz="0" w:space="0" w:color="auto"/>
      </w:divBdr>
    </w:div>
    <w:div w:id="564023979">
      <w:bodyDiv w:val="1"/>
      <w:marLeft w:val="0"/>
      <w:marRight w:val="0"/>
      <w:marTop w:val="0"/>
      <w:marBottom w:val="0"/>
      <w:divBdr>
        <w:top w:val="none" w:sz="0" w:space="0" w:color="auto"/>
        <w:left w:val="none" w:sz="0" w:space="0" w:color="auto"/>
        <w:bottom w:val="none" w:sz="0" w:space="0" w:color="auto"/>
        <w:right w:val="none" w:sz="0" w:space="0" w:color="auto"/>
      </w:divBdr>
    </w:div>
    <w:div w:id="565267331">
      <w:bodyDiv w:val="1"/>
      <w:marLeft w:val="0"/>
      <w:marRight w:val="0"/>
      <w:marTop w:val="0"/>
      <w:marBottom w:val="0"/>
      <w:divBdr>
        <w:top w:val="none" w:sz="0" w:space="0" w:color="auto"/>
        <w:left w:val="none" w:sz="0" w:space="0" w:color="auto"/>
        <w:bottom w:val="none" w:sz="0" w:space="0" w:color="auto"/>
        <w:right w:val="none" w:sz="0" w:space="0" w:color="auto"/>
      </w:divBdr>
    </w:div>
    <w:div w:id="573121958">
      <w:bodyDiv w:val="1"/>
      <w:marLeft w:val="0"/>
      <w:marRight w:val="0"/>
      <w:marTop w:val="0"/>
      <w:marBottom w:val="0"/>
      <w:divBdr>
        <w:top w:val="none" w:sz="0" w:space="0" w:color="auto"/>
        <w:left w:val="none" w:sz="0" w:space="0" w:color="auto"/>
        <w:bottom w:val="none" w:sz="0" w:space="0" w:color="auto"/>
        <w:right w:val="none" w:sz="0" w:space="0" w:color="auto"/>
      </w:divBdr>
    </w:div>
    <w:div w:id="576716948">
      <w:bodyDiv w:val="1"/>
      <w:marLeft w:val="0"/>
      <w:marRight w:val="0"/>
      <w:marTop w:val="0"/>
      <w:marBottom w:val="0"/>
      <w:divBdr>
        <w:top w:val="none" w:sz="0" w:space="0" w:color="auto"/>
        <w:left w:val="none" w:sz="0" w:space="0" w:color="auto"/>
        <w:bottom w:val="none" w:sz="0" w:space="0" w:color="auto"/>
        <w:right w:val="none" w:sz="0" w:space="0" w:color="auto"/>
      </w:divBdr>
    </w:div>
    <w:div w:id="581984856">
      <w:bodyDiv w:val="1"/>
      <w:marLeft w:val="0"/>
      <w:marRight w:val="0"/>
      <w:marTop w:val="0"/>
      <w:marBottom w:val="0"/>
      <w:divBdr>
        <w:top w:val="none" w:sz="0" w:space="0" w:color="auto"/>
        <w:left w:val="none" w:sz="0" w:space="0" w:color="auto"/>
        <w:bottom w:val="none" w:sz="0" w:space="0" w:color="auto"/>
        <w:right w:val="none" w:sz="0" w:space="0" w:color="auto"/>
      </w:divBdr>
    </w:div>
    <w:div w:id="586228447">
      <w:bodyDiv w:val="1"/>
      <w:marLeft w:val="0"/>
      <w:marRight w:val="0"/>
      <w:marTop w:val="0"/>
      <w:marBottom w:val="0"/>
      <w:divBdr>
        <w:top w:val="none" w:sz="0" w:space="0" w:color="auto"/>
        <w:left w:val="none" w:sz="0" w:space="0" w:color="auto"/>
        <w:bottom w:val="none" w:sz="0" w:space="0" w:color="auto"/>
        <w:right w:val="none" w:sz="0" w:space="0" w:color="auto"/>
      </w:divBdr>
    </w:div>
    <w:div w:id="592275597">
      <w:bodyDiv w:val="1"/>
      <w:marLeft w:val="0"/>
      <w:marRight w:val="0"/>
      <w:marTop w:val="0"/>
      <w:marBottom w:val="0"/>
      <w:divBdr>
        <w:top w:val="none" w:sz="0" w:space="0" w:color="auto"/>
        <w:left w:val="none" w:sz="0" w:space="0" w:color="auto"/>
        <w:bottom w:val="none" w:sz="0" w:space="0" w:color="auto"/>
        <w:right w:val="none" w:sz="0" w:space="0" w:color="auto"/>
      </w:divBdr>
    </w:div>
    <w:div w:id="601691046">
      <w:bodyDiv w:val="1"/>
      <w:marLeft w:val="0"/>
      <w:marRight w:val="0"/>
      <w:marTop w:val="0"/>
      <w:marBottom w:val="0"/>
      <w:divBdr>
        <w:top w:val="none" w:sz="0" w:space="0" w:color="auto"/>
        <w:left w:val="none" w:sz="0" w:space="0" w:color="auto"/>
        <w:bottom w:val="none" w:sz="0" w:space="0" w:color="auto"/>
        <w:right w:val="none" w:sz="0" w:space="0" w:color="auto"/>
      </w:divBdr>
    </w:div>
    <w:div w:id="611934656">
      <w:bodyDiv w:val="1"/>
      <w:marLeft w:val="0"/>
      <w:marRight w:val="0"/>
      <w:marTop w:val="0"/>
      <w:marBottom w:val="0"/>
      <w:divBdr>
        <w:top w:val="none" w:sz="0" w:space="0" w:color="auto"/>
        <w:left w:val="none" w:sz="0" w:space="0" w:color="auto"/>
        <w:bottom w:val="none" w:sz="0" w:space="0" w:color="auto"/>
        <w:right w:val="none" w:sz="0" w:space="0" w:color="auto"/>
      </w:divBdr>
    </w:div>
    <w:div w:id="612518432">
      <w:bodyDiv w:val="1"/>
      <w:marLeft w:val="0"/>
      <w:marRight w:val="0"/>
      <w:marTop w:val="0"/>
      <w:marBottom w:val="0"/>
      <w:divBdr>
        <w:top w:val="none" w:sz="0" w:space="0" w:color="auto"/>
        <w:left w:val="none" w:sz="0" w:space="0" w:color="auto"/>
        <w:bottom w:val="none" w:sz="0" w:space="0" w:color="auto"/>
        <w:right w:val="none" w:sz="0" w:space="0" w:color="auto"/>
      </w:divBdr>
    </w:div>
    <w:div w:id="626087564">
      <w:bodyDiv w:val="1"/>
      <w:marLeft w:val="0"/>
      <w:marRight w:val="0"/>
      <w:marTop w:val="0"/>
      <w:marBottom w:val="0"/>
      <w:divBdr>
        <w:top w:val="none" w:sz="0" w:space="0" w:color="auto"/>
        <w:left w:val="none" w:sz="0" w:space="0" w:color="auto"/>
        <w:bottom w:val="none" w:sz="0" w:space="0" w:color="auto"/>
        <w:right w:val="none" w:sz="0" w:space="0" w:color="auto"/>
      </w:divBdr>
    </w:div>
    <w:div w:id="644508742">
      <w:bodyDiv w:val="1"/>
      <w:marLeft w:val="0"/>
      <w:marRight w:val="0"/>
      <w:marTop w:val="0"/>
      <w:marBottom w:val="0"/>
      <w:divBdr>
        <w:top w:val="none" w:sz="0" w:space="0" w:color="auto"/>
        <w:left w:val="none" w:sz="0" w:space="0" w:color="auto"/>
        <w:bottom w:val="none" w:sz="0" w:space="0" w:color="auto"/>
        <w:right w:val="none" w:sz="0" w:space="0" w:color="auto"/>
      </w:divBdr>
    </w:div>
    <w:div w:id="646059046">
      <w:bodyDiv w:val="1"/>
      <w:marLeft w:val="0"/>
      <w:marRight w:val="0"/>
      <w:marTop w:val="0"/>
      <w:marBottom w:val="0"/>
      <w:divBdr>
        <w:top w:val="none" w:sz="0" w:space="0" w:color="auto"/>
        <w:left w:val="none" w:sz="0" w:space="0" w:color="auto"/>
        <w:bottom w:val="none" w:sz="0" w:space="0" w:color="auto"/>
        <w:right w:val="none" w:sz="0" w:space="0" w:color="auto"/>
      </w:divBdr>
    </w:div>
    <w:div w:id="652024531">
      <w:bodyDiv w:val="1"/>
      <w:marLeft w:val="0"/>
      <w:marRight w:val="0"/>
      <w:marTop w:val="0"/>
      <w:marBottom w:val="0"/>
      <w:divBdr>
        <w:top w:val="none" w:sz="0" w:space="0" w:color="auto"/>
        <w:left w:val="none" w:sz="0" w:space="0" w:color="auto"/>
        <w:bottom w:val="none" w:sz="0" w:space="0" w:color="auto"/>
        <w:right w:val="none" w:sz="0" w:space="0" w:color="auto"/>
      </w:divBdr>
    </w:div>
    <w:div w:id="659115799">
      <w:bodyDiv w:val="1"/>
      <w:marLeft w:val="0"/>
      <w:marRight w:val="0"/>
      <w:marTop w:val="0"/>
      <w:marBottom w:val="0"/>
      <w:divBdr>
        <w:top w:val="none" w:sz="0" w:space="0" w:color="auto"/>
        <w:left w:val="none" w:sz="0" w:space="0" w:color="auto"/>
        <w:bottom w:val="none" w:sz="0" w:space="0" w:color="auto"/>
        <w:right w:val="none" w:sz="0" w:space="0" w:color="auto"/>
      </w:divBdr>
    </w:div>
    <w:div w:id="661279721">
      <w:bodyDiv w:val="1"/>
      <w:marLeft w:val="0"/>
      <w:marRight w:val="0"/>
      <w:marTop w:val="0"/>
      <w:marBottom w:val="0"/>
      <w:divBdr>
        <w:top w:val="none" w:sz="0" w:space="0" w:color="auto"/>
        <w:left w:val="none" w:sz="0" w:space="0" w:color="auto"/>
        <w:bottom w:val="none" w:sz="0" w:space="0" w:color="auto"/>
        <w:right w:val="none" w:sz="0" w:space="0" w:color="auto"/>
      </w:divBdr>
    </w:div>
    <w:div w:id="664820659">
      <w:bodyDiv w:val="1"/>
      <w:marLeft w:val="0"/>
      <w:marRight w:val="0"/>
      <w:marTop w:val="0"/>
      <w:marBottom w:val="0"/>
      <w:divBdr>
        <w:top w:val="none" w:sz="0" w:space="0" w:color="auto"/>
        <w:left w:val="none" w:sz="0" w:space="0" w:color="auto"/>
        <w:bottom w:val="none" w:sz="0" w:space="0" w:color="auto"/>
        <w:right w:val="none" w:sz="0" w:space="0" w:color="auto"/>
      </w:divBdr>
    </w:div>
    <w:div w:id="687751642">
      <w:bodyDiv w:val="1"/>
      <w:marLeft w:val="0"/>
      <w:marRight w:val="0"/>
      <w:marTop w:val="0"/>
      <w:marBottom w:val="0"/>
      <w:divBdr>
        <w:top w:val="none" w:sz="0" w:space="0" w:color="auto"/>
        <w:left w:val="none" w:sz="0" w:space="0" w:color="auto"/>
        <w:bottom w:val="none" w:sz="0" w:space="0" w:color="auto"/>
        <w:right w:val="none" w:sz="0" w:space="0" w:color="auto"/>
      </w:divBdr>
    </w:div>
    <w:div w:id="690372555">
      <w:bodyDiv w:val="1"/>
      <w:marLeft w:val="0"/>
      <w:marRight w:val="0"/>
      <w:marTop w:val="0"/>
      <w:marBottom w:val="0"/>
      <w:divBdr>
        <w:top w:val="none" w:sz="0" w:space="0" w:color="auto"/>
        <w:left w:val="none" w:sz="0" w:space="0" w:color="auto"/>
        <w:bottom w:val="none" w:sz="0" w:space="0" w:color="auto"/>
        <w:right w:val="none" w:sz="0" w:space="0" w:color="auto"/>
      </w:divBdr>
    </w:div>
    <w:div w:id="703947657">
      <w:bodyDiv w:val="1"/>
      <w:marLeft w:val="0"/>
      <w:marRight w:val="0"/>
      <w:marTop w:val="0"/>
      <w:marBottom w:val="0"/>
      <w:divBdr>
        <w:top w:val="none" w:sz="0" w:space="0" w:color="auto"/>
        <w:left w:val="none" w:sz="0" w:space="0" w:color="auto"/>
        <w:bottom w:val="none" w:sz="0" w:space="0" w:color="auto"/>
        <w:right w:val="none" w:sz="0" w:space="0" w:color="auto"/>
      </w:divBdr>
    </w:div>
    <w:div w:id="716659468">
      <w:bodyDiv w:val="1"/>
      <w:marLeft w:val="0"/>
      <w:marRight w:val="0"/>
      <w:marTop w:val="0"/>
      <w:marBottom w:val="0"/>
      <w:divBdr>
        <w:top w:val="none" w:sz="0" w:space="0" w:color="auto"/>
        <w:left w:val="none" w:sz="0" w:space="0" w:color="auto"/>
        <w:bottom w:val="none" w:sz="0" w:space="0" w:color="auto"/>
        <w:right w:val="none" w:sz="0" w:space="0" w:color="auto"/>
      </w:divBdr>
    </w:div>
    <w:div w:id="718668519">
      <w:bodyDiv w:val="1"/>
      <w:marLeft w:val="0"/>
      <w:marRight w:val="0"/>
      <w:marTop w:val="0"/>
      <w:marBottom w:val="0"/>
      <w:divBdr>
        <w:top w:val="none" w:sz="0" w:space="0" w:color="auto"/>
        <w:left w:val="none" w:sz="0" w:space="0" w:color="auto"/>
        <w:bottom w:val="none" w:sz="0" w:space="0" w:color="auto"/>
        <w:right w:val="none" w:sz="0" w:space="0" w:color="auto"/>
      </w:divBdr>
    </w:div>
    <w:div w:id="727995666">
      <w:bodyDiv w:val="1"/>
      <w:marLeft w:val="0"/>
      <w:marRight w:val="0"/>
      <w:marTop w:val="0"/>
      <w:marBottom w:val="0"/>
      <w:divBdr>
        <w:top w:val="none" w:sz="0" w:space="0" w:color="auto"/>
        <w:left w:val="none" w:sz="0" w:space="0" w:color="auto"/>
        <w:bottom w:val="none" w:sz="0" w:space="0" w:color="auto"/>
        <w:right w:val="none" w:sz="0" w:space="0" w:color="auto"/>
      </w:divBdr>
    </w:div>
    <w:div w:id="739718723">
      <w:bodyDiv w:val="1"/>
      <w:marLeft w:val="0"/>
      <w:marRight w:val="0"/>
      <w:marTop w:val="0"/>
      <w:marBottom w:val="0"/>
      <w:divBdr>
        <w:top w:val="none" w:sz="0" w:space="0" w:color="auto"/>
        <w:left w:val="none" w:sz="0" w:space="0" w:color="auto"/>
        <w:bottom w:val="none" w:sz="0" w:space="0" w:color="auto"/>
        <w:right w:val="none" w:sz="0" w:space="0" w:color="auto"/>
      </w:divBdr>
    </w:div>
    <w:div w:id="741833119">
      <w:bodyDiv w:val="1"/>
      <w:marLeft w:val="0"/>
      <w:marRight w:val="0"/>
      <w:marTop w:val="0"/>
      <w:marBottom w:val="0"/>
      <w:divBdr>
        <w:top w:val="none" w:sz="0" w:space="0" w:color="auto"/>
        <w:left w:val="none" w:sz="0" w:space="0" w:color="auto"/>
        <w:bottom w:val="none" w:sz="0" w:space="0" w:color="auto"/>
        <w:right w:val="none" w:sz="0" w:space="0" w:color="auto"/>
      </w:divBdr>
    </w:div>
    <w:div w:id="782461842">
      <w:bodyDiv w:val="1"/>
      <w:marLeft w:val="0"/>
      <w:marRight w:val="0"/>
      <w:marTop w:val="0"/>
      <w:marBottom w:val="0"/>
      <w:divBdr>
        <w:top w:val="none" w:sz="0" w:space="0" w:color="auto"/>
        <w:left w:val="none" w:sz="0" w:space="0" w:color="auto"/>
        <w:bottom w:val="none" w:sz="0" w:space="0" w:color="auto"/>
        <w:right w:val="none" w:sz="0" w:space="0" w:color="auto"/>
      </w:divBdr>
    </w:div>
    <w:div w:id="785393804">
      <w:bodyDiv w:val="1"/>
      <w:marLeft w:val="0"/>
      <w:marRight w:val="0"/>
      <w:marTop w:val="0"/>
      <w:marBottom w:val="0"/>
      <w:divBdr>
        <w:top w:val="none" w:sz="0" w:space="0" w:color="auto"/>
        <w:left w:val="none" w:sz="0" w:space="0" w:color="auto"/>
        <w:bottom w:val="none" w:sz="0" w:space="0" w:color="auto"/>
        <w:right w:val="none" w:sz="0" w:space="0" w:color="auto"/>
      </w:divBdr>
    </w:div>
    <w:div w:id="809178372">
      <w:bodyDiv w:val="1"/>
      <w:marLeft w:val="0"/>
      <w:marRight w:val="0"/>
      <w:marTop w:val="0"/>
      <w:marBottom w:val="0"/>
      <w:divBdr>
        <w:top w:val="none" w:sz="0" w:space="0" w:color="auto"/>
        <w:left w:val="none" w:sz="0" w:space="0" w:color="auto"/>
        <w:bottom w:val="none" w:sz="0" w:space="0" w:color="auto"/>
        <w:right w:val="none" w:sz="0" w:space="0" w:color="auto"/>
      </w:divBdr>
    </w:div>
    <w:div w:id="810756642">
      <w:bodyDiv w:val="1"/>
      <w:marLeft w:val="0"/>
      <w:marRight w:val="0"/>
      <w:marTop w:val="0"/>
      <w:marBottom w:val="0"/>
      <w:divBdr>
        <w:top w:val="none" w:sz="0" w:space="0" w:color="auto"/>
        <w:left w:val="none" w:sz="0" w:space="0" w:color="auto"/>
        <w:bottom w:val="none" w:sz="0" w:space="0" w:color="auto"/>
        <w:right w:val="none" w:sz="0" w:space="0" w:color="auto"/>
      </w:divBdr>
    </w:div>
    <w:div w:id="816998861">
      <w:bodyDiv w:val="1"/>
      <w:marLeft w:val="0"/>
      <w:marRight w:val="0"/>
      <w:marTop w:val="0"/>
      <w:marBottom w:val="0"/>
      <w:divBdr>
        <w:top w:val="none" w:sz="0" w:space="0" w:color="auto"/>
        <w:left w:val="none" w:sz="0" w:space="0" w:color="auto"/>
        <w:bottom w:val="none" w:sz="0" w:space="0" w:color="auto"/>
        <w:right w:val="none" w:sz="0" w:space="0" w:color="auto"/>
      </w:divBdr>
    </w:div>
    <w:div w:id="848836552">
      <w:bodyDiv w:val="1"/>
      <w:marLeft w:val="0"/>
      <w:marRight w:val="0"/>
      <w:marTop w:val="0"/>
      <w:marBottom w:val="0"/>
      <w:divBdr>
        <w:top w:val="none" w:sz="0" w:space="0" w:color="auto"/>
        <w:left w:val="none" w:sz="0" w:space="0" w:color="auto"/>
        <w:bottom w:val="none" w:sz="0" w:space="0" w:color="auto"/>
        <w:right w:val="none" w:sz="0" w:space="0" w:color="auto"/>
      </w:divBdr>
    </w:div>
    <w:div w:id="859900595">
      <w:bodyDiv w:val="1"/>
      <w:marLeft w:val="0"/>
      <w:marRight w:val="0"/>
      <w:marTop w:val="0"/>
      <w:marBottom w:val="0"/>
      <w:divBdr>
        <w:top w:val="none" w:sz="0" w:space="0" w:color="auto"/>
        <w:left w:val="none" w:sz="0" w:space="0" w:color="auto"/>
        <w:bottom w:val="none" w:sz="0" w:space="0" w:color="auto"/>
        <w:right w:val="none" w:sz="0" w:space="0" w:color="auto"/>
      </w:divBdr>
    </w:div>
    <w:div w:id="864251304">
      <w:bodyDiv w:val="1"/>
      <w:marLeft w:val="0"/>
      <w:marRight w:val="0"/>
      <w:marTop w:val="0"/>
      <w:marBottom w:val="0"/>
      <w:divBdr>
        <w:top w:val="none" w:sz="0" w:space="0" w:color="auto"/>
        <w:left w:val="none" w:sz="0" w:space="0" w:color="auto"/>
        <w:bottom w:val="none" w:sz="0" w:space="0" w:color="auto"/>
        <w:right w:val="none" w:sz="0" w:space="0" w:color="auto"/>
      </w:divBdr>
    </w:div>
    <w:div w:id="876545026">
      <w:bodyDiv w:val="1"/>
      <w:marLeft w:val="0"/>
      <w:marRight w:val="0"/>
      <w:marTop w:val="0"/>
      <w:marBottom w:val="0"/>
      <w:divBdr>
        <w:top w:val="none" w:sz="0" w:space="0" w:color="auto"/>
        <w:left w:val="none" w:sz="0" w:space="0" w:color="auto"/>
        <w:bottom w:val="none" w:sz="0" w:space="0" w:color="auto"/>
        <w:right w:val="none" w:sz="0" w:space="0" w:color="auto"/>
      </w:divBdr>
    </w:div>
    <w:div w:id="880246222">
      <w:bodyDiv w:val="1"/>
      <w:marLeft w:val="0"/>
      <w:marRight w:val="0"/>
      <w:marTop w:val="0"/>
      <w:marBottom w:val="0"/>
      <w:divBdr>
        <w:top w:val="none" w:sz="0" w:space="0" w:color="auto"/>
        <w:left w:val="none" w:sz="0" w:space="0" w:color="auto"/>
        <w:bottom w:val="none" w:sz="0" w:space="0" w:color="auto"/>
        <w:right w:val="none" w:sz="0" w:space="0" w:color="auto"/>
      </w:divBdr>
    </w:div>
    <w:div w:id="893926626">
      <w:bodyDiv w:val="1"/>
      <w:marLeft w:val="0"/>
      <w:marRight w:val="0"/>
      <w:marTop w:val="0"/>
      <w:marBottom w:val="0"/>
      <w:divBdr>
        <w:top w:val="none" w:sz="0" w:space="0" w:color="auto"/>
        <w:left w:val="none" w:sz="0" w:space="0" w:color="auto"/>
        <w:bottom w:val="none" w:sz="0" w:space="0" w:color="auto"/>
        <w:right w:val="none" w:sz="0" w:space="0" w:color="auto"/>
      </w:divBdr>
    </w:div>
    <w:div w:id="897208213">
      <w:bodyDiv w:val="1"/>
      <w:marLeft w:val="0"/>
      <w:marRight w:val="0"/>
      <w:marTop w:val="0"/>
      <w:marBottom w:val="0"/>
      <w:divBdr>
        <w:top w:val="none" w:sz="0" w:space="0" w:color="auto"/>
        <w:left w:val="none" w:sz="0" w:space="0" w:color="auto"/>
        <w:bottom w:val="none" w:sz="0" w:space="0" w:color="auto"/>
        <w:right w:val="none" w:sz="0" w:space="0" w:color="auto"/>
      </w:divBdr>
    </w:div>
    <w:div w:id="903249510">
      <w:bodyDiv w:val="1"/>
      <w:marLeft w:val="0"/>
      <w:marRight w:val="0"/>
      <w:marTop w:val="0"/>
      <w:marBottom w:val="0"/>
      <w:divBdr>
        <w:top w:val="none" w:sz="0" w:space="0" w:color="auto"/>
        <w:left w:val="none" w:sz="0" w:space="0" w:color="auto"/>
        <w:bottom w:val="none" w:sz="0" w:space="0" w:color="auto"/>
        <w:right w:val="none" w:sz="0" w:space="0" w:color="auto"/>
      </w:divBdr>
    </w:div>
    <w:div w:id="908657220">
      <w:bodyDiv w:val="1"/>
      <w:marLeft w:val="0"/>
      <w:marRight w:val="0"/>
      <w:marTop w:val="0"/>
      <w:marBottom w:val="0"/>
      <w:divBdr>
        <w:top w:val="none" w:sz="0" w:space="0" w:color="auto"/>
        <w:left w:val="none" w:sz="0" w:space="0" w:color="auto"/>
        <w:bottom w:val="none" w:sz="0" w:space="0" w:color="auto"/>
        <w:right w:val="none" w:sz="0" w:space="0" w:color="auto"/>
      </w:divBdr>
    </w:div>
    <w:div w:id="925650899">
      <w:bodyDiv w:val="1"/>
      <w:marLeft w:val="0"/>
      <w:marRight w:val="0"/>
      <w:marTop w:val="0"/>
      <w:marBottom w:val="0"/>
      <w:divBdr>
        <w:top w:val="none" w:sz="0" w:space="0" w:color="auto"/>
        <w:left w:val="none" w:sz="0" w:space="0" w:color="auto"/>
        <w:bottom w:val="none" w:sz="0" w:space="0" w:color="auto"/>
        <w:right w:val="none" w:sz="0" w:space="0" w:color="auto"/>
      </w:divBdr>
    </w:div>
    <w:div w:id="929966360">
      <w:bodyDiv w:val="1"/>
      <w:marLeft w:val="0"/>
      <w:marRight w:val="0"/>
      <w:marTop w:val="0"/>
      <w:marBottom w:val="0"/>
      <w:divBdr>
        <w:top w:val="none" w:sz="0" w:space="0" w:color="auto"/>
        <w:left w:val="none" w:sz="0" w:space="0" w:color="auto"/>
        <w:bottom w:val="none" w:sz="0" w:space="0" w:color="auto"/>
        <w:right w:val="none" w:sz="0" w:space="0" w:color="auto"/>
      </w:divBdr>
    </w:div>
    <w:div w:id="967394697">
      <w:bodyDiv w:val="1"/>
      <w:marLeft w:val="0"/>
      <w:marRight w:val="0"/>
      <w:marTop w:val="0"/>
      <w:marBottom w:val="0"/>
      <w:divBdr>
        <w:top w:val="none" w:sz="0" w:space="0" w:color="auto"/>
        <w:left w:val="none" w:sz="0" w:space="0" w:color="auto"/>
        <w:bottom w:val="none" w:sz="0" w:space="0" w:color="auto"/>
        <w:right w:val="none" w:sz="0" w:space="0" w:color="auto"/>
      </w:divBdr>
    </w:div>
    <w:div w:id="980771912">
      <w:bodyDiv w:val="1"/>
      <w:marLeft w:val="0"/>
      <w:marRight w:val="0"/>
      <w:marTop w:val="0"/>
      <w:marBottom w:val="0"/>
      <w:divBdr>
        <w:top w:val="none" w:sz="0" w:space="0" w:color="auto"/>
        <w:left w:val="none" w:sz="0" w:space="0" w:color="auto"/>
        <w:bottom w:val="none" w:sz="0" w:space="0" w:color="auto"/>
        <w:right w:val="none" w:sz="0" w:space="0" w:color="auto"/>
      </w:divBdr>
    </w:div>
    <w:div w:id="981303277">
      <w:bodyDiv w:val="1"/>
      <w:marLeft w:val="0"/>
      <w:marRight w:val="0"/>
      <w:marTop w:val="0"/>
      <w:marBottom w:val="0"/>
      <w:divBdr>
        <w:top w:val="none" w:sz="0" w:space="0" w:color="auto"/>
        <w:left w:val="none" w:sz="0" w:space="0" w:color="auto"/>
        <w:bottom w:val="none" w:sz="0" w:space="0" w:color="auto"/>
        <w:right w:val="none" w:sz="0" w:space="0" w:color="auto"/>
      </w:divBdr>
    </w:div>
    <w:div w:id="996569159">
      <w:bodyDiv w:val="1"/>
      <w:marLeft w:val="0"/>
      <w:marRight w:val="0"/>
      <w:marTop w:val="0"/>
      <w:marBottom w:val="0"/>
      <w:divBdr>
        <w:top w:val="none" w:sz="0" w:space="0" w:color="auto"/>
        <w:left w:val="none" w:sz="0" w:space="0" w:color="auto"/>
        <w:bottom w:val="none" w:sz="0" w:space="0" w:color="auto"/>
        <w:right w:val="none" w:sz="0" w:space="0" w:color="auto"/>
      </w:divBdr>
    </w:div>
    <w:div w:id="1000960174">
      <w:bodyDiv w:val="1"/>
      <w:marLeft w:val="0"/>
      <w:marRight w:val="0"/>
      <w:marTop w:val="0"/>
      <w:marBottom w:val="0"/>
      <w:divBdr>
        <w:top w:val="none" w:sz="0" w:space="0" w:color="auto"/>
        <w:left w:val="none" w:sz="0" w:space="0" w:color="auto"/>
        <w:bottom w:val="none" w:sz="0" w:space="0" w:color="auto"/>
        <w:right w:val="none" w:sz="0" w:space="0" w:color="auto"/>
      </w:divBdr>
    </w:div>
    <w:div w:id="1001934532">
      <w:bodyDiv w:val="1"/>
      <w:marLeft w:val="0"/>
      <w:marRight w:val="0"/>
      <w:marTop w:val="0"/>
      <w:marBottom w:val="0"/>
      <w:divBdr>
        <w:top w:val="none" w:sz="0" w:space="0" w:color="auto"/>
        <w:left w:val="none" w:sz="0" w:space="0" w:color="auto"/>
        <w:bottom w:val="none" w:sz="0" w:space="0" w:color="auto"/>
        <w:right w:val="none" w:sz="0" w:space="0" w:color="auto"/>
      </w:divBdr>
    </w:div>
    <w:div w:id="1027295334">
      <w:bodyDiv w:val="1"/>
      <w:marLeft w:val="0"/>
      <w:marRight w:val="0"/>
      <w:marTop w:val="0"/>
      <w:marBottom w:val="0"/>
      <w:divBdr>
        <w:top w:val="none" w:sz="0" w:space="0" w:color="auto"/>
        <w:left w:val="none" w:sz="0" w:space="0" w:color="auto"/>
        <w:bottom w:val="none" w:sz="0" w:space="0" w:color="auto"/>
        <w:right w:val="none" w:sz="0" w:space="0" w:color="auto"/>
      </w:divBdr>
    </w:div>
    <w:div w:id="1030498739">
      <w:bodyDiv w:val="1"/>
      <w:marLeft w:val="0"/>
      <w:marRight w:val="0"/>
      <w:marTop w:val="0"/>
      <w:marBottom w:val="0"/>
      <w:divBdr>
        <w:top w:val="none" w:sz="0" w:space="0" w:color="auto"/>
        <w:left w:val="none" w:sz="0" w:space="0" w:color="auto"/>
        <w:bottom w:val="none" w:sz="0" w:space="0" w:color="auto"/>
        <w:right w:val="none" w:sz="0" w:space="0" w:color="auto"/>
      </w:divBdr>
    </w:div>
    <w:div w:id="1047145422">
      <w:bodyDiv w:val="1"/>
      <w:marLeft w:val="0"/>
      <w:marRight w:val="0"/>
      <w:marTop w:val="0"/>
      <w:marBottom w:val="0"/>
      <w:divBdr>
        <w:top w:val="none" w:sz="0" w:space="0" w:color="auto"/>
        <w:left w:val="none" w:sz="0" w:space="0" w:color="auto"/>
        <w:bottom w:val="none" w:sz="0" w:space="0" w:color="auto"/>
        <w:right w:val="none" w:sz="0" w:space="0" w:color="auto"/>
      </w:divBdr>
    </w:div>
    <w:div w:id="1049257140">
      <w:bodyDiv w:val="1"/>
      <w:marLeft w:val="0"/>
      <w:marRight w:val="0"/>
      <w:marTop w:val="0"/>
      <w:marBottom w:val="0"/>
      <w:divBdr>
        <w:top w:val="none" w:sz="0" w:space="0" w:color="auto"/>
        <w:left w:val="none" w:sz="0" w:space="0" w:color="auto"/>
        <w:bottom w:val="none" w:sz="0" w:space="0" w:color="auto"/>
        <w:right w:val="none" w:sz="0" w:space="0" w:color="auto"/>
      </w:divBdr>
    </w:div>
    <w:div w:id="1064983979">
      <w:bodyDiv w:val="1"/>
      <w:marLeft w:val="0"/>
      <w:marRight w:val="0"/>
      <w:marTop w:val="0"/>
      <w:marBottom w:val="0"/>
      <w:divBdr>
        <w:top w:val="none" w:sz="0" w:space="0" w:color="auto"/>
        <w:left w:val="none" w:sz="0" w:space="0" w:color="auto"/>
        <w:bottom w:val="none" w:sz="0" w:space="0" w:color="auto"/>
        <w:right w:val="none" w:sz="0" w:space="0" w:color="auto"/>
      </w:divBdr>
    </w:div>
    <w:div w:id="1068963385">
      <w:bodyDiv w:val="1"/>
      <w:marLeft w:val="0"/>
      <w:marRight w:val="0"/>
      <w:marTop w:val="0"/>
      <w:marBottom w:val="0"/>
      <w:divBdr>
        <w:top w:val="none" w:sz="0" w:space="0" w:color="auto"/>
        <w:left w:val="none" w:sz="0" w:space="0" w:color="auto"/>
        <w:bottom w:val="none" w:sz="0" w:space="0" w:color="auto"/>
        <w:right w:val="none" w:sz="0" w:space="0" w:color="auto"/>
      </w:divBdr>
    </w:div>
    <w:div w:id="1069352026">
      <w:bodyDiv w:val="1"/>
      <w:marLeft w:val="0"/>
      <w:marRight w:val="0"/>
      <w:marTop w:val="0"/>
      <w:marBottom w:val="0"/>
      <w:divBdr>
        <w:top w:val="none" w:sz="0" w:space="0" w:color="auto"/>
        <w:left w:val="none" w:sz="0" w:space="0" w:color="auto"/>
        <w:bottom w:val="none" w:sz="0" w:space="0" w:color="auto"/>
        <w:right w:val="none" w:sz="0" w:space="0" w:color="auto"/>
      </w:divBdr>
    </w:div>
    <w:div w:id="1080103475">
      <w:bodyDiv w:val="1"/>
      <w:marLeft w:val="0"/>
      <w:marRight w:val="0"/>
      <w:marTop w:val="0"/>
      <w:marBottom w:val="0"/>
      <w:divBdr>
        <w:top w:val="none" w:sz="0" w:space="0" w:color="auto"/>
        <w:left w:val="none" w:sz="0" w:space="0" w:color="auto"/>
        <w:bottom w:val="none" w:sz="0" w:space="0" w:color="auto"/>
        <w:right w:val="none" w:sz="0" w:space="0" w:color="auto"/>
      </w:divBdr>
    </w:div>
    <w:div w:id="1093282738">
      <w:bodyDiv w:val="1"/>
      <w:marLeft w:val="0"/>
      <w:marRight w:val="0"/>
      <w:marTop w:val="0"/>
      <w:marBottom w:val="0"/>
      <w:divBdr>
        <w:top w:val="none" w:sz="0" w:space="0" w:color="auto"/>
        <w:left w:val="none" w:sz="0" w:space="0" w:color="auto"/>
        <w:bottom w:val="none" w:sz="0" w:space="0" w:color="auto"/>
        <w:right w:val="none" w:sz="0" w:space="0" w:color="auto"/>
      </w:divBdr>
    </w:div>
    <w:div w:id="1107391023">
      <w:bodyDiv w:val="1"/>
      <w:marLeft w:val="0"/>
      <w:marRight w:val="0"/>
      <w:marTop w:val="0"/>
      <w:marBottom w:val="0"/>
      <w:divBdr>
        <w:top w:val="none" w:sz="0" w:space="0" w:color="auto"/>
        <w:left w:val="none" w:sz="0" w:space="0" w:color="auto"/>
        <w:bottom w:val="none" w:sz="0" w:space="0" w:color="auto"/>
        <w:right w:val="none" w:sz="0" w:space="0" w:color="auto"/>
      </w:divBdr>
    </w:div>
    <w:div w:id="1128007367">
      <w:bodyDiv w:val="1"/>
      <w:marLeft w:val="0"/>
      <w:marRight w:val="0"/>
      <w:marTop w:val="0"/>
      <w:marBottom w:val="0"/>
      <w:divBdr>
        <w:top w:val="none" w:sz="0" w:space="0" w:color="auto"/>
        <w:left w:val="none" w:sz="0" w:space="0" w:color="auto"/>
        <w:bottom w:val="none" w:sz="0" w:space="0" w:color="auto"/>
        <w:right w:val="none" w:sz="0" w:space="0" w:color="auto"/>
      </w:divBdr>
    </w:div>
    <w:div w:id="1135876547">
      <w:bodyDiv w:val="1"/>
      <w:marLeft w:val="0"/>
      <w:marRight w:val="0"/>
      <w:marTop w:val="0"/>
      <w:marBottom w:val="0"/>
      <w:divBdr>
        <w:top w:val="none" w:sz="0" w:space="0" w:color="auto"/>
        <w:left w:val="none" w:sz="0" w:space="0" w:color="auto"/>
        <w:bottom w:val="none" w:sz="0" w:space="0" w:color="auto"/>
        <w:right w:val="none" w:sz="0" w:space="0" w:color="auto"/>
      </w:divBdr>
    </w:div>
    <w:div w:id="1140731451">
      <w:bodyDiv w:val="1"/>
      <w:marLeft w:val="0"/>
      <w:marRight w:val="0"/>
      <w:marTop w:val="0"/>
      <w:marBottom w:val="0"/>
      <w:divBdr>
        <w:top w:val="none" w:sz="0" w:space="0" w:color="auto"/>
        <w:left w:val="none" w:sz="0" w:space="0" w:color="auto"/>
        <w:bottom w:val="none" w:sz="0" w:space="0" w:color="auto"/>
        <w:right w:val="none" w:sz="0" w:space="0" w:color="auto"/>
      </w:divBdr>
    </w:div>
    <w:div w:id="1142504301">
      <w:bodyDiv w:val="1"/>
      <w:marLeft w:val="0"/>
      <w:marRight w:val="0"/>
      <w:marTop w:val="0"/>
      <w:marBottom w:val="0"/>
      <w:divBdr>
        <w:top w:val="none" w:sz="0" w:space="0" w:color="auto"/>
        <w:left w:val="none" w:sz="0" w:space="0" w:color="auto"/>
        <w:bottom w:val="none" w:sz="0" w:space="0" w:color="auto"/>
        <w:right w:val="none" w:sz="0" w:space="0" w:color="auto"/>
      </w:divBdr>
    </w:div>
    <w:div w:id="1147625142">
      <w:bodyDiv w:val="1"/>
      <w:marLeft w:val="0"/>
      <w:marRight w:val="0"/>
      <w:marTop w:val="0"/>
      <w:marBottom w:val="0"/>
      <w:divBdr>
        <w:top w:val="none" w:sz="0" w:space="0" w:color="auto"/>
        <w:left w:val="none" w:sz="0" w:space="0" w:color="auto"/>
        <w:bottom w:val="none" w:sz="0" w:space="0" w:color="auto"/>
        <w:right w:val="none" w:sz="0" w:space="0" w:color="auto"/>
      </w:divBdr>
    </w:div>
    <w:div w:id="1157378917">
      <w:bodyDiv w:val="1"/>
      <w:marLeft w:val="0"/>
      <w:marRight w:val="0"/>
      <w:marTop w:val="0"/>
      <w:marBottom w:val="0"/>
      <w:divBdr>
        <w:top w:val="none" w:sz="0" w:space="0" w:color="auto"/>
        <w:left w:val="none" w:sz="0" w:space="0" w:color="auto"/>
        <w:bottom w:val="none" w:sz="0" w:space="0" w:color="auto"/>
        <w:right w:val="none" w:sz="0" w:space="0" w:color="auto"/>
      </w:divBdr>
    </w:div>
    <w:div w:id="1160846132">
      <w:bodyDiv w:val="1"/>
      <w:marLeft w:val="0"/>
      <w:marRight w:val="0"/>
      <w:marTop w:val="0"/>
      <w:marBottom w:val="0"/>
      <w:divBdr>
        <w:top w:val="none" w:sz="0" w:space="0" w:color="auto"/>
        <w:left w:val="none" w:sz="0" w:space="0" w:color="auto"/>
        <w:bottom w:val="none" w:sz="0" w:space="0" w:color="auto"/>
        <w:right w:val="none" w:sz="0" w:space="0" w:color="auto"/>
      </w:divBdr>
    </w:div>
    <w:div w:id="1190754856">
      <w:bodyDiv w:val="1"/>
      <w:marLeft w:val="0"/>
      <w:marRight w:val="0"/>
      <w:marTop w:val="0"/>
      <w:marBottom w:val="0"/>
      <w:divBdr>
        <w:top w:val="none" w:sz="0" w:space="0" w:color="auto"/>
        <w:left w:val="none" w:sz="0" w:space="0" w:color="auto"/>
        <w:bottom w:val="none" w:sz="0" w:space="0" w:color="auto"/>
        <w:right w:val="none" w:sz="0" w:space="0" w:color="auto"/>
      </w:divBdr>
    </w:div>
    <w:div w:id="1195269281">
      <w:bodyDiv w:val="1"/>
      <w:marLeft w:val="0"/>
      <w:marRight w:val="0"/>
      <w:marTop w:val="0"/>
      <w:marBottom w:val="0"/>
      <w:divBdr>
        <w:top w:val="none" w:sz="0" w:space="0" w:color="auto"/>
        <w:left w:val="none" w:sz="0" w:space="0" w:color="auto"/>
        <w:bottom w:val="none" w:sz="0" w:space="0" w:color="auto"/>
        <w:right w:val="none" w:sz="0" w:space="0" w:color="auto"/>
      </w:divBdr>
    </w:div>
    <w:div w:id="1211725500">
      <w:bodyDiv w:val="1"/>
      <w:marLeft w:val="0"/>
      <w:marRight w:val="0"/>
      <w:marTop w:val="0"/>
      <w:marBottom w:val="0"/>
      <w:divBdr>
        <w:top w:val="none" w:sz="0" w:space="0" w:color="auto"/>
        <w:left w:val="none" w:sz="0" w:space="0" w:color="auto"/>
        <w:bottom w:val="none" w:sz="0" w:space="0" w:color="auto"/>
        <w:right w:val="none" w:sz="0" w:space="0" w:color="auto"/>
      </w:divBdr>
    </w:div>
    <w:div w:id="1215779053">
      <w:bodyDiv w:val="1"/>
      <w:marLeft w:val="0"/>
      <w:marRight w:val="0"/>
      <w:marTop w:val="0"/>
      <w:marBottom w:val="0"/>
      <w:divBdr>
        <w:top w:val="none" w:sz="0" w:space="0" w:color="auto"/>
        <w:left w:val="none" w:sz="0" w:space="0" w:color="auto"/>
        <w:bottom w:val="none" w:sz="0" w:space="0" w:color="auto"/>
        <w:right w:val="none" w:sz="0" w:space="0" w:color="auto"/>
      </w:divBdr>
    </w:div>
    <w:div w:id="1240556046">
      <w:bodyDiv w:val="1"/>
      <w:marLeft w:val="0"/>
      <w:marRight w:val="0"/>
      <w:marTop w:val="0"/>
      <w:marBottom w:val="0"/>
      <w:divBdr>
        <w:top w:val="none" w:sz="0" w:space="0" w:color="auto"/>
        <w:left w:val="none" w:sz="0" w:space="0" w:color="auto"/>
        <w:bottom w:val="none" w:sz="0" w:space="0" w:color="auto"/>
        <w:right w:val="none" w:sz="0" w:space="0" w:color="auto"/>
      </w:divBdr>
    </w:div>
    <w:div w:id="1260865934">
      <w:bodyDiv w:val="1"/>
      <w:marLeft w:val="0"/>
      <w:marRight w:val="0"/>
      <w:marTop w:val="0"/>
      <w:marBottom w:val="0"/>
      <w:divBdr>
        <w:top w:val="none" w:sz="0" w:space="0" w:color="auto"/>
        <w:left w:val="none" w:sz="0" w:space="0" w:color="auto"/>
        <w:bottom w:val="none" w:sz="0" w:space="0" w:color="auto"/>
        <w:right w:val="none" w:sz="0" w:space="0" w:color="auto"/>
      </w:divBdr>
    </w:div>
    <w:div w:id="1308706932">
      <w:bodyDiv w:val="1"/>
      <w:marLeft w:val="0"/>
      <w:marRight w:val="0"/>
      <w:marTop w:val="0"/>
      <w:marBottom w:val="0"/>
      <w:divBdr>
        <w:top w:val="none" w:sz="0" w:space="0" w:color="auto"/>
        <w:left w:val="none" w:sz="0" w:space="0" w:color="auto"/>
        <w:bottom w:val="none" w:sz="0" w:space="0" w:color="auto"/>
        <w:right w:val="none" w:sz="0" w:space="0" w:color="auto"/>
      </w:divBdr>
    </w:div>
    <w:div w:id="1311399183">
      <w:bodyDiv w:val="1"/>
      <w:marLeft w:val="0"/>
      <w:marRight w:val="0"/>
      <w:marTop w:val="0"/>
      <w:marBottom w:val="0"/>
      <w:divBdr>
        <w:top w:val="none" w:sz="0" w:space="0" w:color="auto"/>
        <w:left w:val="none" w:sz="0" w:space="0" w:color="auto"/>
        <w:bottom w:val="none" w:sz="0" w:space="0" w:color="auto"/>
        <w:right w:val="none" w:sz="0" w:space="0" w:color="auto"/>
      </w:divBdr>
    </w:div>
    <w:div w:id="1313754353">
      <w:bodyDiv w:val="1"/>
      <w:marLeft w:val="0"/>
      <w:marRight w:val="0"/>
      <w:marTop w:val="0"/>
      <w:marBottom w:val="0"/>
      <w:divBdr>
        <w:top w:val="none" w:sz="0" w:space="0" w:color="auto"/>
        <w:left w:val="none" w:sz="0" w:space="0" w:color="auto"/>
        <w:bottom w:val="none" w:sz="0" w:space="0" w:color="auto"/>
        <w:right w:val="none" w:sz="0" w:space="0" w:color="auto"/>
      </w:divBdr>
    </w:div>
    <w:div w:id="1319722968">
      <w:bodyDiv w:val="1"/>
      <w:marLeft w:val="0"/>
      <w:marRight w:val="0"/>
      <w:marTop w:val="0"/>
      <w:marBottom w:val="0"/>
      <w:divBdr>
        <w:top w:val="none" w:sz="0" w:space="0" w:color="auto"/>
        <w:left w:val="none" w:sz="0" w:space="0" w:color="auto"/>
        <w:bottom w:val="none" w:sz="0" w:space="0" w:color="auto"/>
        <w:right w:val="none" w:sz="0" w:space="0" w:color="auto"/>
      </w:divBdr>
    </w:div>
    <w:div w:id="1324580341">
      <w:bodyDiv w:val="1"/>
      <w:marLeft w:val="0"/>
      <w:marRight w:val="0"/>
      <w:marTop w:val="0"/>
      <w:marBottom w:val="0"/>
      <w:divBdr>
        <w:top w:val="none" w:sz="0" w:space="0" w:color="auto"/>
        <w:left w:val="none" w:sz="0" w:space="0" w:color="auto"/>
        <w:bottom w:val="none" w:sz="0" w:space="0" w:color="auto"/>
        <w:right w:val="none" w:sz="0" w:space="0" w:color="auto"/>
      </w:divBdr>
    </w:div>
    <w:div w:id="1328244101">
      <w:bodyDiv w:val="1"/>
      <w:marLeft w:val="0"/>
      <w:marRight w:val="0"/>
      <w:marTop w:val="0"/>
      <w:marBottom w:val="0"/>
      <w:divBdr>
        <w:top w:val="none" w:sz="0" w:space="0" w:color="auto"/>
        <w:left w:val="none" w:sz="0" w:space="0" w:color="auto"/>
        <w:bottom w:val="none" w:sz="0" w:space="0" w:color="auto"/>
        <w:right w:val="none" w:sz="0" w:space="0" w:color="auto"/>
      </w:divBdr>
    </w:div>
    <w:div w:id="1332299112">
      <w:bodyDiv w:val="1"/>
      <w:marLeft w:val="0"/>
      <w:marRight w:val="0"/>
      <w:marTop w:val="0"/>
      <w:marBottom w:val="0"/>
      <w:divBdr>
        <w:top w:val="none" w:sz="0" w:space="0" w:color="auto"/>
        <w:left w:val="none" w:sz="0" w:space="0" w:color="auto"/>
        <w:bottom w:val="none" w:sz="0" w:space="0" w:color="auto"/>
        <w:right w:val="none" w:sz="0" w:space="0" w:color="auto"/>
      </w:divBdr>
    </w:div>
    <w:div w:id="1337228145">
      <w:bodyDiv w:val="1"/>
      <w:marLeft w:val="0"/>
      <w:marRight w:val="0"/>
      <w:marTop w:val="0"/>
      <w:marBottom w:val="0"/>
      <w:divBdr>
        <w:top w:val="none" w:sz="0" w:space="0" w:color="auto"/>
        <w:left w:val="none" w:sz="0" w:space="0" w:color="auto"/>
        <w:bottom w:val="none" w:sz="0" w:space="0" w:color="auto"/>
        <w:right w:val="none" w:sz="0" w:space="0" w:color="auto"/>
      </w:divBdr>
    </w:div>
    <w:div w:id="1343972460">
      <w:bodyDiv w:val="1"/>
      <w:marLeft w:val="0"/>
      <w:marRight w:val="0"/>
      <w:marTop w:val="0"/>
      <w:marBottom w:val="0"/>
      <w:divBdr>
        <w:top w:val="none" w:sz="0" w:space="0" w:color="auto"/>
        <w:left w:val="none" w:sz="0" w:space="0" w:color="auto"/>
        <w:bottom w:val="none" w:sz="0" w:space="0" w:color="auto"/>
        <w:right w:val="none" w:sz="0" w:space="0" w:color="auto"/>
      </w:divBdr>
    </w:div>
    <w:div w:id="1358850680">
      <w:bodyDiv w:val="1"/>
      <w:marLeft w:val="0"/>
      <w:marRight w:val="0"/>
      <w:marTop w:val="0"/>
      <w:marBottom w:val="0"/>
      <w:divBdr>
        <w:top w:val="none" w:sz="0" w:space="0" w:color="auto"/>
        <w:left w:val="none" w:sz="0" w:space="0" w:color="auto"/>
        <w:bottom w:val="none" w:sz="0" w:space="0" w:color="auto"/>
        <w:right w:val="none" w:sz="0" w:space="0" w:color="auto"/>
      </w:divBdr>
    </w:div>
    <w:div w:id="1360544212">
      <w:bodyDiv w:val="1"/>
      <w:marLeft w:val="0"/>
      <w:marRight w:val="0"/>
      <w:marTop w:val="0"/>
      <w:marBottom w:val="0"/>
      <w:divBdr>
        <w:top w:val="none" w:sz="0" w:space="0" w:color="auto"/>
        <w:left w:val="none" w:sz="0" w:space="0" w:color="auto"/>
        <w:bottom w:val="none" w:sz="0" w:space="0" w:color="auto"/>
        <w:right w:val="none" w:sz="0" w:space="0" w:color="auto"/>
      </w:divBdr>
    </w:div>
    <w:div w:id="1366368181">
      <w:bodyDiv w:val="1"/>
      <w:marLeft w:val="0"/>
      <w:marRight w:val="0"/>
      <w:marTop w:val="0"/>
      <w:marBottom w:val="0"/>
      <w:divBdr>
        <w:top w:val="none" w:sz="0" w:space="0" w:color="auto"/>
        <w:left w:val="none" w:sz="0" w:space="0" w:color="auto"/>
        <w:bottom w:val="none" w:sz="0" w:space="0" w:color="auto"/>
        <w:right w:val="none" w:sz="0" w:space="0" w:color="auto"/>
      </w:divBdr>
    </w:div>
    <w:div w:id="1366515603">
      <w:bodyDiv w:val="1"/>
      <w:marLeft w:val="0"/>
      <w:marRight w:val="0"/>
      <w:marTop w:val="0"/>
      <w:marBottom w:val="0"/>
      <w:divBdr>
        <w:top w:val="none" w:sz="0" w:space="0" w:color="auto"/>
        <w:left w:val="none" w:sz="0" w:space="0" w:color="auto"/>
        <w:bottom w:val="none" w:sz="0" w:space="0" w:color="auto"/>
        <w:right w:val="none" w:sz="0" w:space="0" w:color="auto"/>
      </w:divBdr>
    </w:div>
    <w:div w:id="1374960962">
      <w:bodyDiv w:val="1"/>
      <w:marLeft w:val="0"/>
      <w:marRight w:val="0"/>
      <w:marTop w:val="0"/>
      <w:marBottom w:val="0"/>
      <w:divBdr>
        <w:top w:val="none" w:sz="0" w:space="0" w:color="auto"/>
        <w:left w:val="none" w:sz="0" w:space="0" w:color="auto"/>
        <w:bottom w:val="none" w:sz="0" w:space="0" w:color="auto"/>
        <w:right w:val="none" w:sz="0" w:space="0" w:color="auto"/>
      </w:divBdr>
    </w:div>
    <w:div w:id="1388843398">
      <w:bodyDiv w:val="1"/>
      <w:marLeft w:val="0"/>
      <w:marRight w:val="0"/>
      <w:marTop w:val="0"/>
      <w:marBottom w:val="0"/>
      <w:divBdr>
        <w:top w:val="none" w:sz="0" w:space="0" w:color="auto"/>
        <w:left w:val="none" w:sz="0" w:space="0" w:color="auto"/>
        <w:bottom w:val="none" w:sz="0" w:space="0" w:color="auto"/>
        <w:right w:val="none" w:sz="0" w:space="0" w:color="auto"/>
      </w:divBdr>
    </w:div>
    <w:div w:id="1394425479">
      <w:bodyDiv w:val="1"/>
      <w:marLeft w:val="0"/>
      <w:marRight w:val="0"/>
      <w:marTop w:val="0"/>
      <w:marBottom w:val="0"/>
      <w:divBdr>
        <w:top w:val="none" w:sz="0" w:space="0" w:color="auto"/>
        <w:left w:val="none" w:sz="0" w:space="0" w:color="auto"/>
        <w:bottom w:val="none" w:sz="0" w:space="0" w:color="auto"/>
        <w:right w:val="none" w:sz="0" w:space="0" w:color="auto"/>
      </w:divBdr>
    </w:div>
    <w:div w:id="1394694682">
      <w:bodyDiv w:val="1"/>
      <w:marLeft w:val="0"/>
      <w:marRight w:val="0"/>
      <w:marTop w:val="0"/>
      <w:marBottom w:val="0"/>
      <w:divBdr>
        <w:top w:val="none" w:sz="0" w:space="0" w:color="auto"/>
        <w:left w:val="none" w:sz="0" w:space="0" w:color="auto"/>
        <w:bottom w:val="none" w:sz="0" w:space="0" w:color="auto"/>
        <w:right w:val="none" w:sz="0" w:space="0" w:color="auto"/>
      </w:divBdr>
    </w:div>
    <w:div w:id="1402873135">
      <w:bodyDiv w:val="1"/>
      <w:marLeft w:val="0"/>
      <w:marRight w:val="0"/>
      <w:marTop w:val="0"/>
      <w:marBottom w:val="0"/>
      <w:divBdr>
        <w:top w:val="none" w:sz="0" w:space="0" w:color="auto"/>
        <w:left w:val="none" w:sz="0" w:space="0" w:color="auto"/>
        <w:bottom w:val="none" w:sz="0" w:space="0" w:color="auto"/>
        <w:right w:val="none" w:sz="0" w:space="0" w:color="auto"/>
      </w:divBdr>
    </w:div>
    <w:div w:id="1432437426">
      <w:bodyDiv w:val="1"/>
      <w:marLeft w:val="0"/>
      <w:marRight w:val="0"/>
      <w:marTop w:val="0"/>
      <w:marBottom w:val="0"/>
      <w:divBdr>
        <w:top w:val="none" w:sz="0" w:space="0" w:color="auto"/>
        <w:left w:val="none" w:sz="0" w:space="0" w:color="auto"/>
        <w:bottom w:val="none" w:sz="0" w:space="0" w:color="auto"/>
        <w:right w:val="none" w:sz="0" w:space="0" w:color="auto"/>
      </w:divBdr>
    </w:div>
    <w:div w:id="1442722551">
      <w:bodyDiv w:val="1"/>
      <w:marLeft w:val="0"/>
      <w:marRight w:val="0"/>
      <w:marTop w:val="0"/>
      <w:marBottom w:val="0"/>
      <w:divBdr>
        <w:top w:val="none" w:sz="0" w:space="0" w:color="auto"/>
        <w:left w:val="none" w:sz="0" w:space="0" w:color="auto"/>
        <w:bottom w:val="none" w:sz="0" w:space="0" w:color="auto"/>
        <w:right w:val="none" w:sz="0" w:space="0" w:color="auto"/>
      </w:divBdr>
    </w:div>
    <w:div w:id="1443918262">
      <w:bodyDiv w:val="1"/>
      <w:marLeft w:val="0"/>
      <w:marRight w:val="0"/>
      <w:marTop w:val="0"/>
      <w:marBottom w:val="0"/>
      <w:divBdr>
        <w:top w:val="none" w:sz="0" w:space="0" w:color="auto"/>
        <w:left w:val="none" w:sz="0" w:space="0" w:color="auto"/>
        <w:bottom w:val="none" w:sz="0" w:space="0" w:color="auto"/>
        <w:right w:val="none" w:sz="0" w:space="0" w:color="auto"/>
      </w:divBdr>
    </w:div>
    <w:div w:id="1446389222">
      <w:bodyDiv w:val="1"/>
      <w:marLeft w:val="0"/>
      <w:marRight w:val="0"/>
      <w:marTop w:val="0"/>
      <w:marBottom w:val="0"/>
      <w:divBdr>
        <w:top w:val="none" w:sz="0" w:space="0" w:color="auto"/>
        <w:left w:val="none" w:sz="0" w:space="0" w:color="auto"/>
        <w:bottom w:val="none" w:sz="0" w:space="0" w:color="auto"/>
        <w:right w:val="none" w:sz="0" w:space="0" w:color="auto"/>
      </w:divBdr>
    </w:div>
    <w:div w:id="1453549450">
      <w:bodyDiv w:val="1"/>
      <w:marLeft w:val="0"/>
      <w:marRight w:val="0"/>
      <w:marTop w:val="0"/>
      <w:marBottom w:val="0"/>
      <w:divBdr>
        <w:top w:val="none" w:sz="0" w:space="0" w:color="auto"/>
        <w:left w:val="none" w:sz="0" w:space="0" w:color="auto"/>
        <w:bottom w:val="none" w:sz="0" w:space="0" w:color="auto"/>
        <w:right w:val="none" w:sz="0" w:space="0" w:color="auto"/>
      </w:divBdr>
    </w:div>
    <w:div w:id="1455783838">
      <w:bodyDiv w:val="1"/>
      <w:marLeft w:val="0"/>
      <w:marRight w:val="0"/>
      <w:marTop w:val="0"/>
      <w:marBottom w:val="0"/>
      <w:divBdr>
        <w:top w:val="none" w:sz="0" w:space="0" w:color="auto"/>
        <w:left w:val="none" w:sz="0" w:space="0" w:color="auto"/>
        <w:bottom w:val="none" w:sz="0" w:space="0" w:color="auto"/>
        <w:right w:val="none" w:sz="0" w:space="0" w:color="auto"/>
      </w:divBdr>
    </w:div>
    <w:div w:id="1458255759">
      <w:bodyDiv w:val="1"/>
      <w:marLeft w:val="0"/>
      <w:marRight w:val="0"/>
      <w:marTop w:val="0"/>
      <w:marBottom w:val="0"/>
      <w:divBdr>
        <w:top w:val="none" w:sz="0" w:space="0" w:color="auto"/>
        <w:left w:val="none" w:sz="0" w:space="0" w:color="auto"/>
        <w:bottom w:val="none" w:sz="0" w:space="0" w:color="auto"/>
        <w:right w:val="none" w:sz="0" w:space="0" w:color="auto"/>
      </w:divBdr>
    </w:div>
    <w:div w:id="1472360599">
      <w:bodyDiv w:val="1"/>
      <w:marLeft w:val="0"/>
      <w:marRight w:val="0"/>
      <w:marTop w:val="0"/>
      <w:marBottom w:val="0"/>
      <w:divBdr>
        <w:top w:val="none" w:sz="0" w:space="0" w:color="auto"/>
        <w:left w:val="none" w:sz="0" w:space="0" w:color="auto"/>
        <w:bottom w:val="none" w:sz="0" w:space="0" w:color="auto"/>
        <w:right w:val="none" w:sz="0" w:space="0" w:color="auto"/>
      </w:divBdr>
    </w:div>
    <w:div w:id="1478912405">
      <w:bodyDiv w:val="1"/>
      <w:marLeft w:val="0"/>
      <w:marRight w:val="0"/>
      <w:marTop w:val="0"/>
      <w:marBottom w:val="0"/>
      <w:divBdr>
        <w:top w:val="none" w:sz="0" w:space="0" w:color="auto"/>
        <w:left w:val="none" w:sz="0" w:space="0" w:color="auto"/>
        <w:bottom w:val="none" w:sz="0" w:space="0" w:color="auto"/>
        <w:right w:val="none" w:sz="0" w:space="0" w:color="auto"/>
      </w:divBdr>
    </w:div>
    <w:div w:id="1482964928">
      <w:bodyDiv w:val="1"/>
      <w:marLeft w:val="0"/>
      <w:marRight w:val="0"/>
      <w:marTop w:val="0"/>
      <w:marBottom w:val="0"/>
      <w:divBdr>
        <w:top w:val="none" w:sz="0" w:space="0" w:color="auto"/>
        <w:left w:val="none" w:sz="0" w:space="0" w:color="auto"/>
        <w:bottom w:val="none" w:sz="0" w:space="0" w:color="auto"/>
        <w:right w:val="none" w:sz="0" w:space="0" w:color="auto"/>
      </w:divBdr>
    </w:div>
    <w:div w:id="1491940592">
      <w:bodyDiv w:val="1"/>
      <w:marLeft w:val="0"/>
      <w:marRight w:val="0"/>
      <w:marTop w:val="0"/>
      <w:marBottom w:val="0"/>
      <w:divBdr>
        <w:top w:val="none" w:sz="0" w:space="0" w:color="auto"/>
        <w:left w:val="none" w:sz="0" w:space="0" w:color="auto"/>
        <w:bottom w:val="none" w:sz="0" w:space="0" w:color="auto"/>
        <w:right w:val="none" w:sz="0" w:space="0" w:color="auto"/>
      </w:divBdr>
    </w:div>
    <w:div w:id="1503008277">
      <w:bodyDiv w:val="1"/>
      <w:marLeft w:val="0"/>
      <w:marRight w:val="0"/>
      <w:marTop w:val="0"/>
      <w:marBottom w:val="0"/>
      <w:divBdr>
        <w:top w:val="none" w:sz="0" w:space="0" w:color="auto"/>
        <w:left w:val="none" w:sz="0" w:space="0" w:color="auto"/>
        <w:bottom w:val="none" w:sz="0" w:space="0" w:color="auto"/>
        <w:right w:val="none" w:sz="0" w:space="0" w:color="auto"/>
      </w:divBdr>
    </w:div>
    <w:div w:id="1505894853">
      <w:bodyDiv w:val="1"/>
      <w:marLeft w:val="0"/>
      <w:marRight w:val="0"/>
      <w:marTop w:val="0"/>
      <w:marBottom w:val="0"/>
      <w:divBdr>
        <w:top w:val="none" w:sz="0" w:space="0" w:color="auto"/>
        <w:left w:val="none" w:sz="0" w:space="0" w:color="auto"/>
        <w:bottom w:val="none" w:sz="0" w:space="0" w:color="auto"/>
        <w:right w:val="none" w:sz="0" w:space="0" w:color="auto"/>
      </w:divBdr>
    </w:div>
    <w:div w:id="1513300081">
      <w:bodyDiv w:val="1"/>
      <w:marLeft w:val="0"/>
      <w:marRight w:val="0"/>
      <w:marTop w:val="0"/>
      <w:marBottom w:val="0"/>
      <w:divBdr>
        <w:top w:val="none" w:sz="0" w:space="0" w:color="auto"/>
        <w:left w:val="none" w:sz="0" w:space="0" w:color="auto"/>
        <w:bottom w:val="none" w:sz="0" w:space="0" w:color="auto"/>
        <w:right w:val="none" w:sz="0" w:space="0" w:color="auto"/>
      </w:divBdr>
    </w:div>
    <w:div w:id="1541746306">
      <w:bodyDiv w:val="1"/>
      <w:marLeft w:val="0"/>
      <w:marRight w:val="0"/>
      <w:marTop w:val="0"/>
      <w:marBottom w:val="0"/>
      <w:divBdr>
        <w:top w:val="none" w:sz="0" w:space="0" w:color="auto"/>
        <w:left w:val="none" w:sz="0" w:space="0" w:color="auto"/>
        <w:bottom w:val="none" w:sz="0" w:space="0" w:color="auto"/>
        <w:right w:val="none" w:sz="0" w:space="0" w:color="auto"/>
      </w:divBdr>
    </w:div>
    <w:div w:id="1559248659">
      <w:bodyDiv w:val="1"/>
      <w:marLeft w:val="0"/>
      <w:marRight w:val="0"/>
      <w:marTop w:val="0"/>
      <w:marBottom w:val="0"/>
      <w:divBdr>
        <w:top w:val="none" w:sz="0" w:space="0" w:color="auto"/>
        <w:left w:val="none" w:sz="0" w:space="0" w:color="auto"/>
        <w:bottom w:val="none" w:sz="0" w:space="0" w:color="auto"/>
        <w:right w:val="none" w:sz="0" w:space="0" w:color="auto"/>
      </w:divBdr>
    </w:div>
    <w:div w:id="1570574677">
      <w:bodyDiv w:val="1"/>
      <w:marLeft w:val="0"/>
      <w:marRight w:val="0"/>
      <w:marTop w:val="0"/>
      <w:marBottom w:val="0"/>
      <w:divBdr>
        <w:top w:val="none" w:sz="0" w:space="0" w:color="auto"/>
        <w:left w:val="none" w:sz="0" w:space="0" w:color="auto"/>
        <w:bottom w:val="none" w:sz="0" w:space="0" w:color="auto"/>
        <w:right w:val="none" w:sz="0" w:space="0" w:color="auto"/>
      </w:divBdr>
    </w:div>
    <w:div w:id="1589461369">
      <w:bodyDiv w:val="1"/>
      <w:marLeft w:val="0"/>
      <w:marRight w:val="0"/>
      <w:marTop w:val="0"/>
      <w:marBottom w:val="0"/>
      <w:divBdr>
        <w:top w:val="none" w:sz="0" w:space="0" w:color="auto"/>
        <w:left w:val="none" w:sz="0" w:space="0" w:color="auto"/>
        <w:bottom w:val="none" w:sz="0" w:space="0" w:color="auto"/>
        <w:right w:val="none" w:sz="0" w:space="0" w:color="auto"/>
      </w:divBdr>
    </w:div>
    <w:div w:id="1596092006">
      <w:bodyDiv w:val="1"/>
      <w:marLeft w:val="0"/>
      <w:marRight w:val="0"/>
      <w:marTop w:val="0"/>
      <w:marBottom w:val="0"/>
      <w:divBdr>
        <w:top w:val="none" w:sz="0" w:space="0" w:color="auto"/>
        <w:left w:val="none" w:sz="0" w:space="0" w:color="auto"/>
        <w:bottom w:val="none" w:sz="0" w:space="0" w:color="auto"/>
        <w:right w:val="none" w:sz="0" w:space="0" w:color="auto"/>
      </w:divBdr>
    </w:div>
    <w:div w:id="1611818902">
      <w:bodyDiv w:val="1"/>
      <w:marLeft w:val="0"/>
      <w:marRight w:val="0"/>
      <w:marTop w:val="0"/>
      <w:marBottom w:val="0"/>
      <w:divBdr>
        <w:top w:val="none" w:sz="0" w:space="0" w:color="auto"/>
        <w:left w:val="none" w:sz="0" w:space="0" w:color="auto"/>
        <w:bottom w:val="none" w:sz="0" w:space="0" w:color="auto"/>
        <w:right w:val="none" w:sz="0" w:space="0" w:color="auto"/>
      </w:divBdr>
    </w:div>
    <w:div w:id="1613825779">
      <w:bodyDiv w:val="1"/>
      <w:marLeft w:val="0"/>
      <w:marRight w:val="0"/>
      <w:marTop w:val="0"/>
      <w:marBottom w:val="0"/>
      <w:divBdr>
        <w:top w:val="none" w:sz="0" w:space="0" w:color="auto"/>
        <w:left w:val="none" w:sz="0" w:space="0" w:color="auto"/>
        <w:bottom w:val="none" w:sz="0" w:space="0" w:color="auto"/>
        <w:right w:val="none" w:sz="0" w:space="0" w:color="auto"/>
      </w:divBdr>
    </w:div>
    <w:div w:id="1613974938">
      <w:bodyDiv w:val="1"/>
      <w:marLeft w:val="0"/>
      <w:marRight w:val="0"/>
      <w:marTop w:val="0"/>
      <w:marBottom w:val="0"/>
      <w:divBdr>
        <w:top w:val="none" w:sz="0" w:space="0" w:color="auto"/>
        <w:left w:val="none" w:sz="0" w:space="0" w:color="auto"/>
        <w:bottom w:val="none" w:sz="0" w:space="0" w:color="auto"/>
        <w:right w:val="none" w:sz="0" w:space="0" w:color="auto"/>
      </w:divBdr>
    </w:div>
    <w:div w:id="1620405367">
      <w:bodyDiv w:val="1"/>
      <w:marLeft w:val="0"/>
      <w:marRight w:val="0"/>
      <w:marTop w:val="0"/>
      <w:marBottom w:val="0"/>
      <w:divBdr>
        <w:top w:val="none" w:sz="0" w:space="0" w:color="auto"/>
        <w:left w:val="none" w:sz="0" w:space="0" w:color="auto"/>
        <w:bottom w:val="none" w:sz="0" w:space="0" w:color="auto"/>
        <w:right w:val="none" w:sz="0" w:space="0" w:color="auto"/>
      </w:divBdr>
    </w:div>
    <w:div w:id="1621494649">
      <w:bodyDiv w:val="1"/>
      <w:marLeft w:val="0"/>
      <w:marRight w:val="0"/>
      <w:marTop w:val="0"/>
      <w:marBottom w:val="0"/>
      <w:divBdr>
        <w:top w:val="none" w:sz="0" w:space="0" w:color="auto"/>
        <w:left w:val="none" w:sz="0" w:space="0" w:color="auto"/>
        <w:bottom w:val="none" w:sz="0" w:space="0" w:color="auto"/>
        <w:right w:val="none" w:sz="0" w:space="0" w:color="auto"/>
      </w:divBdr>
    </w:div>
    <w:div w:id="1628663146">
      <w:bodyDiv w:val="1"/>
      <w:marLeft w:val="0"/>
      <w:marRight w:val="0"/>
      <w:marTop w:val="0"/>
      <w:marBottom w:val="0"/>
      <w:divBdr>
        <w:top w:val="none" w:sz="0" w:space="0" w:color="auto"/>
        <w:left w:val="none" w:sz="0" w:space="0" w:color="auto"/>
        <w:bottom w:val="none" w:sz="0" w:space="0" w:color="auto"/>
        <w:right w:val="none" w:sz="0" w:space="0" w:color="auto"/>
      </w:divBdr>
    </w:div>
    <w:div w:id="1659726760">
      <w:bodyDiv w:val="1"/>
      <w:marLeft w:val="0"/>
      <w:marRight w:val="0"/>
      <w:marTop w:val="0"/>
      <w:marBottom w:val="0"/>
      <w:divBdr>
        <w:top w:val="none" w:sz="0" w:space="0" w:color="auto"/>
        <w:left w:val="none" w:sz="0" w:space="0" w:color="auto"/>
        <w:bottom w:val="none" w:sz="0" w:space="0" w:color="auto"/>
        <w:right w:val="none" w:sz="0" w:space="0" w:color="auto"/>
      </w:divBdr>
    </w:div>
    <w:div w:id="1673099096">
      <w:bodyDiv w:val="1"/>
      <w:marLeft w:val="0"/>
      <w:marRight w:val="0"/>
      <w:marTop w:val="0"/>
      <w:marBottom w:val="0"/>
      <w:divBdr>
        <w:top w:val="none" w:sz="0" w:space="0" w:color="auto"/>
        <w:left w:val="none" w:sz="0" w:space="0" w:color="auto"/>
        <w:bottom w:val="none" w:sz="0" w:space="0" w:color="auto"/>
        <w:right w:val="none" w:sz="0" w:space="0" w:color="auto"/>
      </w:divBdr>
    </w:div>
    <w:div w:id="1673338672">
      <w:bodyDiv w:val="1"/>
      <w:marLeft w:val="0"/>
      <w:marRight w:val="0"/>
      <w:marTop w:val="0"/>
      <w:marBottom w:val="0"/>
      <w:divBdr>
        <w:top w:val="none" w:sz="0" w:space="0" w:color="auto"/>
        <w:left w:val="none" w:sz="0" w:space="0" w:color="auto"/>
        <w:bottom w:val="none" w:sz="0" w:space="0" w:color="auto"/>
        <w:right w:val="none" w:sz="0" w:space="0" w:color="auto"/>
      </w:divBdr>
    </w:div>
    <w:div w:id="1735010729">
      <w:bodyDiv w:val="1"/>
      <w:marLeft w:val="0"/>
      <w:marRight w:val="0"/>
      <w:marTop w:val="0"/>
      <w:marBottom w:val="0"/>
      <w:divBdr>
        <w:top w:val="none" w:sz="0" w:space="0" w:color="auto"/>
        <w:left w:val="none" w:sz="0" w:space="0" w:color="auto"/>
        <w:bottom w:val="none" w:sz="0" w:space="0" w:color="auto"/>
        <w:right w:val="none" w:sz="0" w:space="0" w:color="auto"/>
      </w:divBdr>
    </w:div>
    <w:div w:id="1742681606">
      <w:bodyDiv w:val="1"/>
      <w:marLeft w:val="0"/>
      <w:marRight w:val="0"/>
      <w:marTop w:val="0"/>
      <w:marBottom w:val="0"/>
      <w:divBdr>
        <w:top w:val="none" w:sz="0" w:space="0" w:color="auto"/>
        <w:left w:val="none" w:sz="0" w:space="0" w:color="auto"/>
        <w:bottom w:val="none" w:sz="0" w:space="0" w:color="auto"/>
        <w:right w:val="none" w:sz="0" w:space="0" w:color="auto"/>
      </w:divBdr>
    </w:div>
    <w:div w:id="1742943837">
      <w:bodyDiv w:val="1"/>
      <w:marLeft w:val="0"/>
      <w:marRight w:val="0"/>
      <w:marTop w:val="0"/>
      <w:marBottom w:val="0"/>
      <w:divBdr>
        <w:top w:val="none" w:sz="0" w:space="0" w:color="auto"/>
        <w:left w:val="none" w:sz="0" w:space="0" w:color="auto"/>
        <w:bottom w:val="none" w:sz="0" w:space="0" w:color="auto"/>
        <w:right w:val="none" w:sz="0" w:space="0" w:color="auto"/>
      </w:divBdr>
    </w:div>
    <w:div w:id="1747607717">
      <w:bodyDiv w:val="1"/>
      <w:marLeft w:val="0"/>
      <w:marRight w:val="0"/>
      <w:marTop w:val="0"/>
      <w:marBottom w:val="0"/>
      <w:divBdr>
        <w:top w:val="none" w:sz="0" w:space="0" w:color="auto"/>
        <w:left w:val="none" w:sz="0" w:space="0" w:color="auto"/>
        <w:bottom w:val="none" w:sz="0" w:space="0" w:color="auto"/>
        <w:right w:val="none" w:sz="0" w:space="0" w:color="auto"/>
      </w:divBdr>
    </w:div>
    <w:div w:id="1749107274">
      <w:bodyDiv w:val="1"/>
      <w:marLeft w:val="0"/>
      <w:marRight w:val="0"/>
      <w:marTop w:val="0"/>
      <w:marBottom w:val="0"/>
      <w:divBdr>
        <w:top w:val="none" w:sz="0" w:space="0" w:color="auto"/>
        <w:left w:val="none" w:sz="0" w:space="0" w:color="auto"/>
        <w:bottom w:val="none" w:sz="0" w:space="0" w:color="auto"/>
        <w:right w:val="none" w:sz="0" w:space="0" w:color="auto"/>
      </w:divBdr>
    </w:div>
    <w:div w:id="1772552324">
      <w:bodyDiv w:val="1"/>
      <w:marLeft w:val="0"/>
      <w:marRight w:val="0"/>
      <w:marTop w:val="0"/>
      <w:marBottom w:val="0"/>
      <w:divBdr>
        <w:top w:val="none" w:sz="0" w:space="0" w:color="auto"/>
        <w:left w:val="none" w:sz="0" w:space="0" w:color="auto"/>
        <w:bottom w:val="none" w:sz="0" w:space="0" w:color="auto"/>
        <w:right w:val="none" w:sz="0" w:space="0" w:color="auto"/>
      </w:divBdr>
    </w:div>
    <w:div w:id="1814786158">
      <w:bodyDiv w:val="1"/>
      <w:marLeft w:val="0"/>
      <w:marRight w:val="0"/>
      <w:marTop w:val="0"/>
      <w:marBottom w:val="0"/>
      <w:divBdr>
        <w:top w:val="none" w:sz="0" w:space="0" w:color="auto"/>
        <w:left w:val="none" w:sz="0" w:space="0" w:color="auto"/>
        <w:bottom w:val="none" w:sz="0" w:space="0" w:color="auto"/>
        <w:right w:val="none" w:sz="0" w:space="0" w:color="auto"/>
      </w:divBdr>
    </w:div>
    <w:div w:id="1843272812">
      <w:bodyDiv w:val="1"/>
      <w:marLeft w:val="0"/>
      <w:marRight w:val="0"/>
      <w:marTop w:val="0"/>
      <w:marBottom w:val="0"/>
      <w:divBdr>
        <w:top w:val="none" w:sz="0" w:space="0" w:color="auto"/>
        <w:left w:val="none" w:sz="0" w:space="0" w:color="auto"/>
        <w:bottom w:val="none" w:sz="0" w:space="0" w:color="auto"/>
        <w:right w:val="none" w:sz="0" w:space="0" w:color="auto"/>
      </w:divBdr>
    </w:div>
    <w:div w:id="1860317701">
      <w:bodyDiv w:val="1"/>
      <w:marLeft w:val="0"/>
      <w:marRight w:val="0"/>
      <w:marTop w:val="0"/>
      <w:marBottom w:val="0"/>
      <w:divBdr>
        <w:top w:val="none" w:sz="0" w:space="0" w:color="auto"/>
        <w:left w:val="none" w:sz="0" w:space="0" w:color="auto"/>
        <w:bottom w:val="none" w:sz="0" w:space="0" w:color="auto"/>
        <w:right w:val="none" w:sz="0" w:space="0" w:color="auto"/>
      </w:divBdr>
    </w:div>
    <w:div w:id="1865753735">
      <w:bodyDiv w:val="1"/>
      <w:marLeft w:val="0"/>
      <w:marRight w:val="0"/>
      <w:marTop w:val="0"/>
      <w:marBottom w:val="0"/>
      <w:divBdr>
        <w:top w:val="none" w:sz="0" w:space="0" w:color="auto"/>
        <w:left w:val="none" w:sz="0" w:space="0" w:color="auto"/>
        <w:bottom w:val="none" w:sz="0" w:space="0" w:color="auto"/>
        <w:right w:val="none" w:sz="0" w:space="0" w:color="auto"/>
      </w:divBdr>
    </w:div>
    <w:div w:id="1899391249">
      <w:bodyDiv w:val="1"/>
      <w:marLeft w:val="0"/>
      <w:marRight w:val="0"/>
      <w:marTop w:val="0"/>
      <w:marBottom w:val="0"/>
      <w:divBdr>
        <w:top w:val="none" w:sz="0" w:space="0" w:color="auto"/>
        <w:left w:val="none" w:sz="0" w:space="0" w:color="auto"/>
        <w:bottom w:val="none" w:sz="0" w:space="0" w:color="auto"/>
        <w:right w:val="none" w:sz="0" w:space="0" w:color="auto"/>
      </w:divBdr>
    </w:div>
    <w:div w:id="1905213244">
      <w:bodyDiv w:val="1"/>
      <w:marLeft w:val="0"/>
      <w:marRight w:val="0"/>
      <w:marTop w:val="0"/>
      <w:marBottom w:val="0"/>
      <w:divBdr>
        <w:top w:val="none" w:sz="0" w:space="0" w:color="auto"/>
        <w:left w:val="none" w:sz="0" w:space="0" w:color="auto"/>
        <w:bottom w:val="none" w:sz="0" w:space="0" w:color="auto"/>
        <w:right w:val="none" w:sz="0" w:space="0" w:color="auto"/>
      </w:divBdr>
    </w:div>
    <w:div w:id="1914657962">
      <w:bodyDiv w:val="1"/>
      <w:marLeft w:val="0"/>
      <w:marRight w:val="0"/>
      <w:marTop w:val="0"/>
      <w:marBottom w:val="0"/>
      <w:divBdr>
        <w:top w:val="none" w:sz="0" w:space="0" w:color="auto"/>
        <w:left w:val="none" w:sz="0" w:space="0" w:color="auto"/>
        <w:bottom w:val="none" w:sz="0" w:space="0" w:color="auto"/>
        <w:right w:val="none" w:sz="0" w:space="0" w:color="auto"/>
      </w:divBdr>
    </w:div>
    <w:div w:id="1941332805">
      <w:bodyDiv w:val="1"/>
      <w:marLeft w:val="0"/>
      <w:marRight w:val="0"/>
      <w:marTop w:val="0"/>
      <w:marBottom w:val="0"/>
      <w:divBdr>
        <w:top w:val="none" w:sz="0" w:space="0" w:color="auto"/>
        <w:left w:val="none" w:sz="0" w:space="0" w:color="auto"/>
        <w:bottom w:val="none" w:sz="0" w:space="0" w:color="auto"/>
        <w:right w:val="none" w:sz="0" w:space="0" w:color="auto"/>
      </w:divBdr>
    </w:div>
    <w:div w:id="1961764970">
      <w:bodyDiv w:val="1"/>
      <w:marLeft w:val="0"/>
      <w:marRight w:val="0"/>
      <w:marTop w:val="0"/>
      <w:marBottom w:val="0"/>
      <w:divBdr>
        <w:top w:val="none" w:sz="0" w:space="0" w:color="auto"/>
        <w:left w:val="none" w:sz="0" w:space="0" w:color="auto"/>
        <w:bottom w:val="none" w:sz="0" w:space="0" w:color="auto"/>
        <w:right w:val="none" w:sz="0" w:space="0" w:color="auto"/>
      </w:divBdr>
    </w:div>
    <w:div w:id="1965228112">
      <w:bodyDiv w:val="1"/>
      <w:marLeft w:val="0"/>
      <w:marRight w:val="0"/>
      <w:marTop w:val="0"/>
      <w:marBottom w:val="0"/>
      <w:divBdr>
        <w:top w:val="none" w:sz="0" w:space="0" w:color="auto"/>
        <w:left w:val="none" w:sz="0" w:space="0" w:color="auto"/>
        <w:bottom w:val="none" w:sz="0" w:space="0" w:color="auto"/>
        <w:right w:val="none" w:sz="0" w:space="0" w:color="auto"/>
      </w:divBdr>
    </w:div>
    <w:div w:id="1982036023">
      <w:bodyDiv w:val="1"/>
      <w:marLeft w:val="0"/>
      <w:marRight w:val="0"/>
      <w:marTop w:val="0"/>
      <w:marBottom w:val="0"/>
      <w:divBdr>
        <w:top w:val="none" w:sz="0" w:space="0" w:color="auto"/>
        <w:left w:val="none" w:sz="0" w:space="0" w:color="auto"/>
        <w:bottom w:val="none" w:sz="0" w:space="0" w:color="auto"/>
        <w:right w:val="none" w:sz="0" w:space="0" w:color="auto"/>
      </w:divBdr>
    </w:div>
    <w:div w:id="1991447409">
      <w:bodyDiv w:val="1"/>
      <w:marLeft w:val="0"/>
      <w:marRight w:val="0"/>
      <w:marTop w:val="0"/>
      <w:marBottom w:val="0"/>
      <w:divBdr>
        <w:top w:val="none" w:sz="0" w:space="0" w:color="auto"/>
        <w:left w:val="none" w:sz="0" w:space="0" w:color="auto"/>
        <w:bottom w:val="none" w:sz="0" w:space="0" w:color="auto"/>
        <w:right w:val="none" w:sz="0" w:space="0" w:color="auto"/>
      </w:divBdr>
    </w:div>
    <w:div w:id="2009863566">
      <w:bodyDiv w:val="1"/>
      <w:marLeft w:val="0"/>
      <w:marRight w:val="0"/>
      <w:marTop w:val="0"/>
      <w:marBottom w:val="0"/>
      <w:divBdr>
        <w:top w:val="none" w:sz="0" w:space="0" w:color="auto"/>
        <w:left w:val="none" w:sz="0" w:space="0" w:color="auto"/>
        <w:bottom w:val="none" w:sz="0" w:space="0" w:color="auto"/>
        <w:right w:val="none" w:sz="0" w:space="0" w:color="auto"/>
      </w:divBdr>
    </w:div>
    <w:div w:id="2009868427">
      <w:bodyDiv w:val="1"/>
      <w:marLeft w:val="0"/>
      <w:marRight w:val="0"/>
      <w:marTop w:val="0"/>
      <w:marBottom w:val="0"/>
      <w:divBdr>
        <w:top w:val="none" w:sz="0" w:space="0" w:color="auto"/>
        <w:left w:val="none" w:sz="0" w:space="0" w:color="auto"/>
        <w:bottom w:val="none" w:sz="0" w:space="0" w:color="auto"/>
        <w:right w:val="none" w:sz="0" w:space="0" w:color="auto"/>
      </w:divBdr>
    </w:div>
    <w:div w:id="2014333649">
      <w:bodyDiv w:val="1"/>
      <w:marLeft w:val="0"/>
      <w:marRight w:val="0"/>
      <w:marTop w:val="0"/>
      <w:marBottom w:val="0"/>
      <w:divBdr>
        <w:top w:val="none" w:sz="0" w:space="0" w:color="auto"/>
        <w:left w:val="none" w:sz="0" w:space="0" w:color="auto"/>
        <w:bottom w:val="none" w:sz="0" w:space="0" w:color="auto"/>
        <w:right w:val="none" w:sz="0" w:space="0" w:color="auto"/>
      </w:divBdr>
    </w:div>
    <w:div w:id="2016181051">
      <w:bodyDiv w:val="1"/>
      <w:marLeft w:val="0"/>
      <w:marRight w:val="0"/>
      <w:marTop w:val="0"/>
      <w:marBottom w:val="0"/>
      <w:divBdr>
        <w:top w:val="none" w:sz="0" w:space="0" w:color="auto"/>
        <w:left w:val="none" w:sz="0" w:space="0" w:color="auto"/>
        <w:bottom w:val="none" w:sz="0" w:space="0" w:color="auto"/>
        <w:right w:val="none" w:sz="0" w:space="0" w:color="auto"/>
      </w:divBdr>
    </w:div>
    <w:div w:id="2023824253">
      <w:bodyDiv w:val="1"/>
      <w:marLeft w:val="0"/>
      <w:marRight w:val="0"/>
      <w:marTop w:val="0"/>
      <w:marBottom w:val="0"/>
      <w:divBdr>
        <w:top w:val="none" w:sz="0" w:space="0" w:color="auto"/>
        <w:left w:val="none" w:sz="0" w:space="0" w:color="auto"/>
        <w:bottom w:val="none" w:sz="0" w:space="0" w:color="auto"/>
        <w:right w:val="none" w:sz="0" w:space="0" w:color="auto"/>
      </w:divBdr>
    </w:div>
    <w:div w:id="2030983443">
      <w:bodyDiv w:val="1"/>
      <w:marLeft w:val="0"/>
      <w:marRight w:val="0"/>
      <w:marTop w:val="0"/>
      <w:marBottom w:val="0"/>
      <w:divBdr>
        <w:top w:val="none" w:sz="0" w:space="0" w:color="auto"/>
        <w:left w:val="none" w:sz="0" w:space="0" w:color="auto"/>
        <w:bottom w:val="none" w:sz="0" w:space="0" w:color="auto"/>
        <w:right w:val="none" w:sz="0" w:space="0" w:color="auto"/>
      </w:divBdr>
    </w:div>
    <w:div w:id="2052922597">
      <w:bodyDiv w:val="1"/>
      <w:marLeft w:val="0"/>
      <w:marRight w:val="0"/>
      <w:marTop w:val="0"/>
      <w:marBottom w:val="0"/>
      <w:divBdr>
        <w:top w:val="none" w:sz="0" w:space="0" w:color="auto"/>
        <w:left w:val="none" w:sz="0" w:space="0" w:color="auto"/>
        <w:bottom w:val="none" w:sz="0" w:space="0" w:color="auto"/>
        <w:right w:val="none" w:sz="0" w:space="0" w:color="auto"/>
      </w:divBdr>
    </w:div>
    <w:div w:id="2053731229">
      <w:bodyDiv w:val="1"/>
      <w:marLeft w:val="0"/>
      <w:marRight w:val="0"/>
      <w:marTop w:val="0"/>
      <w:marBottom w:val="0"/>
      <w:divBdr>
        <w:top w:val="none" w:sz="0" w:space="0" w:color="auto"/>
        <w:left w:val="none" w:sz="0" w:space="0" w:color="auto"/>
        <w:bottom w:val="none" w:sz="0" w:space="0" w:color="auto"/>
        <w:right w:val="none" w:sz="0" w:space="0" w:color="auto"/>
      </w:divBdr>
    </w:div>
    <w:div w:id="2058820563">
      <w:bodyDiv w:val="1"/>
      <w:marLeft w:val="0"/>
      <w:marRight w:val="0"/>
      <w:marTop w:val="0"/>
      <w:marBottom w:val="0"/>
      <w:divBdr>
        <w:top w:val="none" w:sz="0" w:space="0" w:color="auto"/>
        <w:left w:val="none" w:sz="0" w:space="0" w:color="auto"/>
        <w:bottom w:val="none" w:sz="0" w:space="0" w:color="auto"/>
        <w:right w:val="none" w:sz="0" w:space="0" w:color="auto"/>
      </w:divBdr>
    </w:div>
    <w:div w:id="2065136599">
      <w:bodyDiv w:val="1"/>
      <w:marLeft w:val="0"/>
      <w:marRight w:val="0"/>
      <w:marTop w:val="0"/>
      <w:marBottom w:val="0"/>
      <w:divBdr>
        <w:top w:val="none" w:sz="0" w:space="0" w:color="auto"/>
        <w:left w:val="none" w:sz="0" w:space="0" w:color="auto"/>
        <w:bottom w:val="none" w:sz="0" w:space="0" w:color="auto"/>
        <w:right w:val="none" w:sz="0" w:space="0" w:color="auto"/>
      </w:divBdr>
    </w:div>
    <w:div w:id="2075547627">
      <w:bodyDiv w:val="1"/>
      <w:marLeft w:val="0"/>
      <w:marRight w:val="0"/>
      <w:marTop w:val="0"/>
      <w:marBottom w:val="0"/>
      <w:divBdr>
        <w:top w:val="none" w:sz="0" w:space="0" w:color="auto"/>
        <w:left w:val="none" w:sz="0" w:space="0" w:color="auto"/>
        <w:bottom w:val="none" w:sz="0" w:space="0" w:color="auto"/>
        <w:right w:val="none" w:sz="0" w:space="0" w:color="auto"/>
      </w:divBdr>
    </w:div>
    <w:div w:id="2087190643">
      <w:bodyDiv w:val="1"/>
      <w:marLeft w:val="0"/>
      <w:marRight w:val="0"/>
      <w:marTop w:val="0"/>
      <w:marBottom w:val="0"/>
      <w:divBdr>
        <w:top w:val="none" w:sz="0" w:space="0" w:color="auto"/>
        <w:left w:val="none" w:sz="0" w:space="0" w:color="auto"/>
        <w:bottom w:val="none" w:sz="0" w:space="0" w:color="auto"/>
        <w:right w:val="none" w:sz="0" w:space="0" w:color="auto"/>
      </w:divBdr>
    </w:div>
    <w:div w:id="2087458241">
      <w:bodyDiv w:val="1"/>
      <w:marLeft w:val="0"/>
      <w:marRight w:val="0"/>
      <w:marTop w:val="0"/>
      <w:marBottom w:val="0"/>
      <w:divBdr>
        <w:top w:val="none" w:sz="0" w:space="0" w:color="auto"/>
        <w:left w:val="none" w:sz="0" w:space="0" w:color="auto"/>
        <w:bottom w:val="none" w:sz="0" w:space="0" w:color="auto"/>
        <w:right w:val="none" w:sz="0" w:space="0" w:color="auto"/>
      </w:divBdr>
    </w:div>
    <w:div w:id="2093309120">
      <w:bodyDiv w:val="1"/>
      <w:marLeft w:val="0"/>
      <w:marRight w:val="0"/>
      <w:marTop w:val="0"/>
      <w:marBottom w:val="0"/>
      <w:divBdr>
        <w:top w:val="none" w:sz="0" w:space="0" w:color="auto"/>
        <w:left w:val="none" w:sz="0" w:space="0" w:color="auto"/>
        <w:bottom w:val="none" w:sz="0" w:space="0" w:color="auto"/>
        <w:right w:val="none" w:sz="0" w:space="0" w:color="auto"/>
      </w:divBdr>
    </w:div>
    <w:div w:id="2094159294">
      <w:bodyDiv w:val="1"/>
      <w:marLeft w:val="0"/>
      <w:marRight w:val="0"/>
      <w:marTop w:val="0"/>
      <w:marBottom w:val="0"/>
      <w:divBdr>
        <w:top w:val="none" w:sz="0" w:space="0" w:color="auto"/>
        <w:left w:val="none" w:sz="0" w:space="0" w:color="auto"/>
        <w:bottom w:val="none" w:sz="0" w:space="0" w:color="auto"/>
        <w:right w:val="none" w:sz="0" w:space="0" w:color="auto"/>
      </w:divBdr>
    </w:div>
    <w:div w:id="2100327834">
      <w:bodyDiv w:val="1"/>
      <w:marLeft w:val="0"/>
      <w:marRight w:val="0"/>
      <w:marTop w:val="0"/>
      <w:marBottom w:val="0"/>
      <w:divBdr>
        <w:top w:val="none" w:sz="0" w:space="0" w:color="auto"/>
        <w:left w:val="none" w:sz="0" w:space="0" w:color="auto"/>
        <w:bottom w:val="none" w:sz="0" w:space="0" w:color="auto"/>
        <w:right w:val="none" w:sz="0" w:space="0" w:color="auto"/>
      </w:divBdr>
    </w:div>
    <w:div w:id="2127842413">
      <w:bodyDiv w:val="1"/>
      <w:marLeft w:val="0"/>
      <w:marRight w:val="0"/>
      <w:marTop w:val="0"/>
      <w:marBottom w:val="0"/>
      <w:divBdr>
        <w:top w:val="none" w:sz="0" w:space="0" w:color="auto"/>
        <w:left w:val="none" w:sz="0" w:space="0" w:color="auto"/>
        <w:bottom w:val="none" w:sz="0" w:space="0" w:color="auto"/>
        <w:right w:val="none" w:sz="0" w:space="0" w:color="auto"/>
      </w:divBdr>
    </w:div>
    <w:div w:id="2136097093">
      <w:bodyDiv w:val="1"/>
      <w:marLeft w:val="0"/>
      <w:marRight w:val="0"/>
      <w:marTop w:val="0"/>
      <w:marBottom w:val="0"/>
      <w:divBdr>
        <w:top w:val="none" w:sz="0" w:space="0" w:color="auto"/>
        <w:left w:val="none" w:sz="0" w:space="0" w:color="auto"/>
        <w:bottom w:val="none" w:sz="0" w:space="0" w:color="auto"/>
        <w:right w:val="none" w:sz="0" w:space="0" w:color="auto"/>
      </w:divBdr>
    </w:div>
    <w:div w:id="2143843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emf"/><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emf"/><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20D6B3AC8A5446A8A3501C7E3CDC91C"/>
        <w:category>
          <w:name w:val="General"/>
          <w:gallery w:val="placeholder"/>
        </w:category>
        <w:types>
          <w:type w:val="bbPlcHdr"/>
        </w:types>
        <w:behaviors>
          <w:behavior w:val="content"/>
        </w:behaviors>
        <w:guid w:val="{E0F3A0B1-72F4-41C1-81B9-9348C55216CA}"/>
      </w:docPartPr>
      <w:docPartBody>
        <w:p w:rsidR="00000000" w:rsidRDefault="00006ACA" w:rsidP="00006ACA">
          <w:pPr>
            <w:pStyle w:val="320D6B3AC8A5446A8A3501C7E3CDC91C"/>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6ACA"/>
    <w:rsid w:val="00006ACA"/>
    <w:rsid w:val="00520B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20D6B3AC8A5446A8A3501C7E3CDC91C">
    <w:name w:val="320D6B3AC8A5446A8A3501C7E3CDC91C"/>
    <w:rsid w:val="00006AC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2026-01-12T00:00:00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Kra06</b:Tag>
    <b:SourceType>Book</b:SourceType>
    <b:Guid>{D4781991-7D25-4E38-B5AF-88B651F9E7F4}</b:Guid>
    <b:Author>
      <b:Author>
        <b:NameList>
          <b:Person>
            <b:Last>Atrill</b:Last>
            <b:First>P</b:First>
          </b:Person>
        </b:NameList>
      </b:Author>
    </b:Author>
    <b:Title>Financial Management for Decision Makers</b:Title>
    <b:Year>2019</b:Year>
    <b:City>Harlow</b:City>
    <b:Publisher>Pearson</b:Publisher>
    <b:Edition>9</b:Edition>
    <b:RefOrder>38</b:RefOrder>
  </b:Source>
  <b:Source>
    <b:Tag>Bhi22</b:Tag>
    <b:SourceType>Book</b:SourceType>
    <b:Guid>{EA249AA4-B1B1-47B8-A84A-5436AFEC3545}</b:Guid>
    <b:Author>
      <b:Author>
        <b:NameList>
          <b:Person>
            <b:Last>Bhimani</b:Last>
            <b:First>A.</b:First>
          </b:Person>
        </b:NameList>
      </b:Author>
    </b:Author>
    <b:Title>Financial Management for Technology Start-ups: A Handbook for Growth</b:Title>
    <b:Year>2022</b:Year>
    <b:City>London</b:City>
    <b:Publisher>Kogan Page</b:Publisher>
    <b:Edition>2</b:Edition>
    <b:RefOrder>7</b:RefOrder>
  </b:Source>
  <b:Source>
    <b:Tag>Dru20</b:Tag>
    <b:SourceType>Book</b:SourceType>
    <b:Guid>{516836AD-C0E3-4488-8019-FBE22DBC830C}</b:Guid>
    <b:Author>
      <b:Author>
        <b:NameList>
          <b:Person>
            <b:Last>Drury</b:Last>
            <b:First>C.</b:First>
          </b:Person>
        </b:NameList>
      </b:Author>
    </b:Author>
    <b:Title>Management and Cost Accounting</b:Title>
    <b:Year>2020</b:Year>
    <b:City>Boston</b:City>
    <b:Publisher>Cengage Learning</b:Publisher>
    <b:Edition>11</b:Edition>
    <b:RefOrder>5</b:RefOrder>
  </b:Source>
  <b:Source>
    <b:Tag>Atr06</b:Tag>
    <b:SourceType>Book</b:SourceType>
    <b:Guid>{957DABCB-AB83-4918-A0BA-565E24C99405}</b:Guid>
    <b:Author>
      <b:Author>
        <b:NameList>
          <b:Person>
            <b:Last>Atrill</b:Last>
            <b:First>P.</b:First>
          </b:Person>
          <b:Person>
            <b:Last>McLaney</b:Last>
            <b:First>E.</b:First>
          </b:Person>
        </b:NameList>
      </b:Author>
    </b:Author>
    <b:Title>Accounting and Finance for Non-Specialists</b:Title>
    <b:Year>2006</b:Year>
    <b:City>Harlow</b:City>
    <b:Publisher>Pearson Education Limited</b:Publisher>
    <b:Edition>5</b:Edition>
    <b:RefOrder>6</b:RefOrder>
  </b:Source>
  <b:Source>
    <b:Tag>Atr16</b:Tag>
    <b:SourceType>Book</b:SourceType>
    <b:Guid>{8A970898-1AAD-46C3-9B81-375F87046565}</b:Guid>
    <b:Author>
      <b:Author>
        <b:NameList>
          <b:Person>
            <b:Last>Atrill</b:Last>
            <b:First>P.</b:First>
          </b:Person>
          <b:Person>
            <b:Last>McLaney</b:Last>
            <b:First>E.</b:First>
          </b:Person>
        </b:NameList>
      </b:Author>
    </b:Author>
    <b:Title>Financial Accounting for Decision-makers</b:Title>
    <b:Year>2016</b:Year>
    <b:City>Harlow</b:City>
    <b:Publisher>Pearson Education Limited</b:Publisher>
    <b:Edition>8</b:Edition>
    <b:RefOrder>13</b:RefOrder>
  </b:Source>
  <b:Source>
    <b:Tag>Ale17</b:Tag>
    <b:SourceType>Book</b:SourceType>
    <b:Guid>{ED9C88E9-FB69-4534-9F8F-8C98DE92FE9D}</b:Guid>
    <b:Author>
      <b:Author>
        <b:NameList>
          <b:Person>
            <b:Last>Alexander</b:Last>
            <b:First>D.</b:First>
          </b:Person>
          <b:Person>
            <b:Last>Britton</b:Last>
            <b:First>A</b:First>
          </b:Person>
        </b:NameList>
      </b:Author>
    </b:Author>
    <b:Title>International Financial Reporting and Analysis</b:Title>
    <b:Year>2017</b:Year>
    <b:City>London</b:City>
    <b:Publisher>Cengage Learning</b:Publisher>
    <b:Edition>7</b:Edition>
    <b:RefOrder>4</b:RefOrder>
  </b:Source>
  <b:Source>
    <b:Tag>Bes13</b:Tag>
    <b:SourceType>Book</b:SourceType>
    <b:Guid>{687D31A4-7F15-43EC-9A9C-1F3FBF540827}</b:Guid>
    <b:Author>
      <b:Author>
        <b:NameList>
          <b:Person>
            <b:Last>Best</b:Last>
            <b:First>R.</b:First>
          </b:Person>
        </b:NameList>
      </b:Author>
    </b:Author>
    <b:Title>Market-based Management: Strategies for Growing Customer Value and Profitability</b:Title>
    <b:Year>2013</b:Year>
    <b:City>Upper Saddle River, NJ</b:City>
    <b:Publisher>Pearson Education</b:Publisher>
    <b:RefOrder>3</b:RefOrder>
  </b:Source>
  <b:Source>
    <b:Tag>Bra18</b:Tag>
    <b:SourceType>Book</b:SourceType>
    <b:Guid>{14B81F8B-76DE-4057-85A2-B929DBF065B6}</b:Guid>
    <b:Author>
      <b:Author>
        <b:NameList>
          <b:Person>
            <b:Last>Bragg</b:Last>
            <b:First>S.M.</b:First>
          </b:Person>
        </b:NameList>
      </b:Author>
    </b:Author>
    <b:Title>Business Ratios and Formulas: A Comprehensive Guide</b:Title>
    <b:Year>2018</b:Year>
    <b:City>Hoboken, NJ</b:City>
    <b:Publisher>Wiley</b:Publisher>
    <b:RefOrder>9</b:RefOrder>
  </b:Source>
  <b:Source>
    <b:Tag>Cam21</b:Tag>
    <b:SourceType>Book</b:SourceType>
    <b:Guid>{CB54B5C6-FBDF-4579-B43B-6C3984CACC3A}</b:Guid>
    <b:Author>
      <b:Author>
        <b:NameList>
          <b:Person>
            <b:Last>Campbell</b:Last>
            <b:First>D.</b:First>
          </b:Person>
        </b:NameList>
      </b:Author>
    </b:Author>
    <b:Title>Business Strategy</b:Title>
    <b:Year>2021</b:Year>
    <b:City>London</b:City>
    <b:Publisher>Pearson</b:Publisher>
    <b:Edition>5</b:Edition>
    <b:RefOrder>25</b:RefOrder>
  </b:Source>
  <b:Source>
    <b:Tag>Cho21</b:Tag>
    <b:SourceType>Book</b:SourceType>
    <b:Guid>{553DE218-0AFC-4C5D-8DCB-E990A7D171F9}</b:Guid>
    <b:Author>
      <b:Author>
        <b:NameList>
          <b:Person>
            <b:Last>Chopra</b:Last>
            <b:First>S.</b:First>
          </b:Person>
        </b:NameList>
      </b:Author>
    </b:Author>
    <b:Title>Supply Chain Management: Strategy, Planning and Operation</b:Title>
    <b:Year>2021</b:Year>
    <b:City>New York</b:City>
    <b:Publisher>Pearson Education</b:Publisher>
    <b:Edition>7</b:Edition>
    <b:RefOrder>28</b:RefOrder>
  </b:Source>
  <b:Source>
    <b:Tag>Cho15</b:Tag>
    <b:SourceType>Book</b:SourceType>
    <b:Guid>{1A1CC901-87C2-4EDE-868D-B1F5E979D2D3}</b:Guid>
    <b:Author>
      <b:Author>
        <b:NameList>
          <b:Person>
            <b:Last>Chorafas</b:Last>
            <b:First>D.N.</b:First>
          </b:Person>
        </b:NameList>
      </b:Author>
    </b:Author>
    <b:Title>Business Efficiency and Ethics: Values and Strategic Decision-making</b:Title>
    <b:Year>2015</b:Year>
    <b:City>New York</b:City>
    <b:Publisher>Palgrave Macmillan</b:Publisher>
    <b:RefOrder>32</b:RefOrder>
  </b:Source>
  <b:Source>
    <b:Tag>Cla12</b:Tag>
    <b:SourceType>Book</b:SourceType>
    <b:Guid>{D535812D-07BC-4C04-A9E5-A021720B2FDC}</b:Guid>
    <b:Author>
      <b:Author>
        <b:NameList>
          <b:Person>
            <b:Last>Clayman</b:Last>
            <b:First>M.R.</b:First>
          </b:Person>
          <b:Person>
            <b:Last>Fridson</b:Last>
            <b:First>M.S.</b:First>
          </b:Person>
          <b:Person>
            <b:Last>Troughton</b:Last>
            <b:First>G.H</b:First>
          </b:Person>
        </b:NameList>
      </b:Author>
    </b:Author>
    <b:Title>Corporate Finance</b:Title>
    <b:Year>2012</b:Year>
    <b:City>Hoboken, NJ</b:City>
    <b:Publisher>John Wiley &amp; Sons</b:Publisher>
    <b:RefOrder>17</b:RefOrder>
  </b:Source>
  <b:Source>
    <b:Tag>Con07</b:Tag>
    <b:SourceType>Book</b:SourceType>
    <b:Guid>{0049C366-07B6-4C7E-B130-B8A7928924CE}</b:Guid>
    <b:Author>
      <b:Author>
        <b:NameList>
          <b:Person>
            <b:Last>Connolly</b:Last>
            <b:First>M.B.</b:First>
          </b:Person>
        </b:NameList>
      </b:Author>
    </b:Author>
    <b:Title>International Business Finance</b:Title>
    <b:Year>2007</b:Year>
    <b:City>New York</b:City>
    <b:Publisher>Routledge</b:Publisher>
    <b:RefOrder>22</b:RefOrder>
  </b:Source>
  <b:Source>
    <b:Tag>Ell17</b:Tag>
    <b:SourceType>Book</b:SourceType>
    <b:Guid>{DDEB0051-7723-43CE-80B0-533DDCE96CFA}</b:Guid>
    <b:Author>
      <b:Author>
        <b:NameList>
          <b:Person>
            <b:Last>Elliott</b:Last>
            <b:First>B.</b:First>
          </b:Person>
          <b:Person>
            <b:Last>Elliott</b:Last>
            <b:First>J.</b:First>
          </b:Person>
        </b:NameList>
      </b:Author>
    </b:Author>
    <b:Title>Financial Accounting and Reporting</b:Title>
    <b:Year>2017</b:Year>
    <b:City>Harlow</b:City>
    <b:Publisher>Pearson</b:Publisher>
    <b:Edition>18</b:Edition>
    <b:RefOrder>52</b:RefOrder>
  </b:Source>
  <b:Source>
    <b:Tag>Rel15</b:Tag>
    <b:SourceType>Book</b:SourceType>
    <b:Guid>{5F2372E8-9382-4162-ABAA-0220E7719903}</b:Guid>
    <b:Author>
      <b:Author>
        <b:NameList>
          <b:Person>
            <b:Last>Relph</b:Last>
            <b:First>G.</b:First>
          </b:Person>
        </b:NameList>
      </b:Author>
    </b:Author>
    <b:Title>Inventory Management: Advanced Methods for Managing Inventory within Business Systems</b:Title>
    <b:Year>2015</b:Year>
    <b:City>London</b:City>
    <b:Publisher>Kogan Page</b:Publisher>
    <b:RefOrder>26</b:RefOrder>
  </b:Source>
  <b:Source>
    <b:Tag>Mül17</b:Tag>
    <b:SourceType>Book</b:SourceType>
    <b:Guid>{D6466B39-349D-473B-91E3-23DAC6574C16}</b:Guid>
    <b:Author>
      <b:Author>
        <b:NameList>
          <b:Person>
            <b:Last>Müller-Fürstenberger</b:Last>
            <b:First>G.</b:First>
          </b:Person>
        </b:NameList>
      </b:Author>
    </b:Author>
    <b:Title>The Payback Period Rule: Its Impact on Innovation and Economic Growth</b:Title>
    <b:Year>2017</b:Year>
    <b:City>Bern</b:City>
    <b:Publisher>Universität Bern</b:Publisher>
    <b:RefOrder>41</b:RefOrder>
  </b:Source>
  <b:Source>
    <b:Tag>Bak14</b:Tag>
    <b:SourceType>Book</b:SourceType>
    <b:Guid>{2FA8165C-EE7A-4E86-8E68-45E693CEC6AC}</b:Guid>
    <b:Author>
      <b:Author>
        <b:NameList>
          <b:Person>
            <b:Last>Baker</b:Last>
            <b:First>H.K.</b:First>
          </b:Person>
          <b:Person>
            <b:Last>Ricciardi</b:Last>
            <b:First>V.</b:First>
          </b:Person>
        </b:NameList>
      </b:Author>
    </b:Author>
    <b:Title>Investor Behavior</b:Title>
    <b:Year>2014</b:Year>
    <b:City>Hoboken</b:City>
    <b:Publisher>John Wiley &amp; Sons</b:Publisher>
    <b:RefOrder>35</b:RefOrder>
  </b:Source>
  <b:Source>
    <b:Tag>Van06</b:Tag>
    <b:SourceType>Book</b:SourceType>
    <b:Guid>{E13E1BB1-A730-4674-B1B1-D3AE3C58E700}</b:Guid>
    <b:Author>
      <b:Author>
        <b:NameList>
          <b:Person>
            <b:Last>Van Greuning</b:Last>
            <b:First>H.</b:First>
          </b:Person>
        </b:NameList>
      </b:Author>
    </b:Author>
    <b:Title>International Financial Reporting Standards: A Practical Guide</b:Title>
    <b:Year>2006</b:Year>
    <b:City>Washington, DC</b:City>
    <b:Publisher>World Bank</b:Publisher>
    <b:Edition>4</b:Edition>
    <b:RefOrder>10</b:RefOrder>
  </b:Source>
  <b:Source>
    <b:Tag>Oak20</b:Tag>
    <b:SourceType>Book</b:SourceType>
    <b:Guid>{F484EA4D-56E9-4524-AE31-1EACEE065C32}</b:Guid>
    <b:Author>
      <b:Author>
        <b:NameList>
          <b:Person>
            <b:Last>Oakshott</b:Last>
            <b:First>L.</b:First>
          </b:Person>
        </b:NameList>
      </b:Author>
    </b:Author>
    <b:Title>Essential Quantitative Methods: for Business, Management and Finance</b:Title>
    <b:Year>2020</b:Year>
    <b:City>London</b:City>
    <b:Publisher>Macmillan International</b:Publisher>
    <b:RefOrder>8</b:RefOrder>
  </b:Source>
  <b:Source>
    <b:Tag>Pal20</b:Tag>
    <b:SourceType>Book</b:SourceType>
    <b:Guid>{F11B850A-8FB7-4FEF-9C70-67F5BEB95078}</b:Guid>
    <b:Author>
      <b:Author>
        <b:NameList>
          <b:Person>
            <b:Last>Palepu</b:Last>
            <b:First>K.G.</b:First>
          </b:Person>
          <b:Person>
            <b:Last>Healy</b:Last>
            <b:First>P.M.</b:First>
          </b:Person>
        </b:NameList>
      </b:Author>
    </b:Author>
    <b:Title>Business Analysis &amp; Valuation: Using Financial Statements</b:Title>
    <b:Year>2020</b:Year>
    <b:City>Mason, OH</b:City>
    <b:Publisher>South-Western</b:Publisher>
    <b:RefOrder>2</b:RefOrder>
  </b:Source>
  <b:Source>
    <b:Tag>Pal18</b:Tag>
    <b:SourceType>Book</b:SourceType>
    <b:Guid>{3E815B3D-8B19-4B25-8AD9-2574F00219C7}</b:Guid>
    <b:Author>
      <b:Author>
        <b:NameList>
          <b:Person>
            <b:Last>Palmer</b:Last>
            <b:First>J.E.</b:First>
          </b:Person>
        </b:NameList>
      </b:Author>
    </b:Author>
    <b:Title>Financial Ratio Analysis</b:Title>
    <b:Year>2018</b:Year>
    <b:City>New York</b:City>
    <b:Publisher>American Institute of Certified Public Accountants</b:Publisher>
    <b:RefOrder>14</b:RefOrder>
  </b:Source>
  <b:Source>
    <b:Tag>San05</b:Tag>
    <b:SourceType>Book</b:SourceType>
    <b:Guid>{923163DD-F488-4158-B7E4-7BACB6E68455}</b:Guid>
    <b:Author>
      <b:Author>
        <b:NameList>
          <b:Person>
            <b:Last>Sanzo</b:Last>
            <b:First>R</b:First>
          </b:Person>
        </b:NameList>
      </b:Author>
    </b:Author>
    <b:Title>Ratio Analysis for Small Business</b:Title>
    <b:Year>2005</b:Year>
    <b:City>New York</b:City>
    <b:Publisher>Books for Busines</b:Publisher>
    <b:RefOrder>36</b:RefOrder>
  </b:Source>
  <b:Source>
    <b:Tag>Spr18</b:Tag>
    <b:SourceType>Book</b:SourceType>
    <b:Guid>{EE93AEED-2E53-417F-870B-226C4E11A157}</b:Guid>
    <b:Author>
      <b:Author>
        <b:NameList>
          <b:Person>
            <b:Last>Spring</b:Last>
            <b:First>D.</b:First>
          </b:Person>
        </b:NameList>
      </b:Author>
    </b:Author>
    <b:Title>An Examination of NPV Regulation</b:Title>
    <b:Year>2018</b:Year>
    <b:City>London</b:City>
    <b:Publisher>Chartered Institute of Public Finance &amp; Accountancy</b:Publisher>
    <b:RefOrder>37</b:RefOrder>
  </b:Source>
  <b:Source>
    <b:Tag>Sur22</b:Tag>
    <b:SourceType>Book</b:SourceType>
    <b:Guid>{214CE695-29BF-4427-BA80-D4903EF62C87}</b:Guid>
    <b:Author>
      <b:Author>
        <b:NameList>
          <b:Person>
            <b:Last>Surridge</b:Last>
            <b:First>M.</b:First>
          </b:Person>
        </b:NameList>
      </b:Author>
    </b:Author>
    <b:Title>The Business Environment</b:Title>
    <b:Year>2022</b:Year>
    <b:City>London</b:City>
    <b:Publisher>Collins Educational</b:Publisher>
    <b:RefOrder>57</b:RefOrder>
  </b:Source>
  <b:Source>
    <b:Tag>Wri20</b:Tag>
    <b:SourceType>Book</b:SourceType>
    <b:Guid>{50BCEDD5-9623-4AEB-8D37-3EA25BBBDAD0}</b:Guid>
    <b:Author>
      <b:Author>
        <b:NameList>
          <b:Person>
            <b:Last>Wright</b:Last>
            <b:First>D.</b:First>
          </b:Person>
          <b:Person>
            <b:Last>Slaybaugh</b:Last>
            <b:First>C.J.</b:First>
          </b:Person>
        </b:NameList>
      </b:Author>
    </b:Author>
    <b:Title>Inventory Management</b:Title>
    <b:Year>2020</b:Year>
    <b:City>Wellington</b:City>
    <b:Publisher>New Zealand Society of Accountants</b:Publisher>
    <b:RefOrder>29</b:RefOrder>
  </b:Source>
  <b:Source>
    <b:Tag>Placeholder1</b:Tag>
    <b:SourceType>InternetSite</b:SourceType>
    <b:Guid>{0D25D34B-280B-4EF4-A54B-9BD663057138}</b:Guid>
    <b:RefOrder>63</b:RefOrder>
  </b:Source>
  <b:Source>
    <b:Tag>Hal16</b:Tag>
    <b:SourceType>JournalArticle</b:SourceType>
    <b:Guid>{B507EC49-224A-459F-AB0D-5ACFF260ECF9}</b:Guid>
    <b:Author>
      <b:Author>
        <b:NameList>
          <b:Person>
            <b:Last>Hall</b:Last>
            <b:First>J.</b:First>
          </b:Person>
          <b:Person>
            <b:Last>Sibanda</b:Last>
            <b:First>T.</b:First>
          </b:Person>
        </b:NameList>
      </b:Author>
    </b:Author>
    <b:Title>Capital budgeting practices: An empirical study of listed small and medium enterprises</b:Title>
    <b:JournalName>Corporate Ownership and Control</b:JournalName>
    <b:Year>2016</b:Year>
    <b:Pages>199–208</b:Pages>
    <b:Volume>13</b:Volume>
    <b:RefOrder>43</b:RefOrder>
  </b:Source>
  <b:Source>
    <b:Tag>Adl10</b:Tag>
    <b:SourceType>JournalArticle</b:SourceType>
    <b:Guid>{96FC744E-7145-478D-8614-E310ECD98D87}</b:Guid>
    <b:Author>
      <b:Author>
        <b:NameList>
          <b:Person>
            <b:Last>Adler</b:Last>
            <b:First>R.</b:First>
          </b:Person>
        </b:NameList>
      </b:Author>
    </b:Author>
    <b:Title>Enhancing business success: The role of performance management</b:Title>
    <b:JournalName>Business Horizons</b:JournalName>
    <b:Year>2010</b:Year>
    <b:Pages>331–333</b:Pages>
    <b:Volume>53</b:Volume>
    <b:Issue>4</b:Issue>
    <b:RefOrder>49</b:RefOrder>
  </b:Source>
  <b:Source>
    <b:Tag>All21</b:Tag>
    <b:SourceType>JournalArticle</b:SourceType>
    <b:Guid>{D1BFC111-650E-4CED-8ACC-CAE3788DEBA6}</b:Guid>
    <b:Author>
      <b:Author>
        <b:NameList>
          <b:Person>
            <b:Last>Allen</b:Last>
            <b:First>D.E.</b:First>
          </b:Person>
        </b:NameList>
      </b:Author>
    </b:Author>
    <b:Title>Risk and managerial finance</b:Title>
    <b:JournalName>Managerial Finance</b:JournalName>
    <b:Year>2021</b:Year>
    <b:Pages>3–14</b:Pages>
    <b:Volume>21</b:Volume>
    <b:Issue>1</b:Issue>
    <b:RefOrder>59</b:RefOrder>
  </b:Source>
  <b:Source>
    <b:Tag>Arj17</b:Tag>
    <b:SourceType>JournalArticle</b:SourceType>
    <b:Guid>{7FD1576D-C7FF-4516-8DCF-0D4D02A0C519}</b:Guid>
    <b:Author>
      <b:Author>
        <b:NameList>
          <b:Person>
            <b:Last>Arjunan</b:Last>
            <b:First>K.C.</b:First>
          </b:Person>
        </b:NameList>
      </b:Author>
    </b:Author>
    <b:Title>IRR Performs Better than NPV: A Critical Analysis of Cases of Multiple IRR and Mutually Exclusive and Independent Investment Projects</b:Title>
    <b:JournalName>SSRN Electronic Journal</b:JournalName>
    <b:Year>2017</b:Year>
    <b:Volume>1</b:Volume>
    <b:Issue>1</b:Issue>
    <b:RefOrder>53</b:RefOrder>
  </b:Source>
  <b:Source>
    <b:Tag>Ayd19</b:Tag>
    <b:SourceType>JournalArticle</b:SourceType>
    <b:Guid>{48A699F3-89F7-4866-82CB-9E0B5F360858}</b:Guid>
    <b:Author>
      <b:Author>
        <b:NameList>
          <b:Person>
            <b:Last>Aydiner</b:Last>
            <b:First>A.S.</b:First>
          </b:Person>
          <b:Person>
            <b:Last>Tatoglu</b:Last>
            <b:First>E.</b:First>
          </b:Person>
          <b:Person>
            <b:Last>Bayraktar</b:Last>
            <b:First>E.</b:First>
          </b:Person>
          <b:Person>
            <b:Last>Zaim</b:Last>
            <b:First>S.</b:First>
          </b:Person>
          <b:Person>
            <b:Last>Delen</b:Last>
            <b:First>D.</b:First>
          </b:Person>
        </b:NameList>
      </b:Author>
    </b:Author>
    <b:Title>Business analytics and firm performance: The mediating role of business process performance</b:Title>
    <b:JournalName>Journal of Business Research</b:JournalName>
    <b:Year>2019</b:Year>
    <b:Pages>228–237</b:Pages>
    <b:Volume>96</b:Volume>
    <b:RefOrder>61</b:RefOrder>
  </b:Source>
  <b:Source>
    <b:Tag>Aza14</b:Tag>
    <b:SourceType>JournalArticle</b:SourceType>
    <b:Guid>{C6702754-B613-4A52-B132-0B3E00B58205}</b:Guid>
    <b:Author>
      <b:Author>
        <b:NameList>
          <b:Person>
            <b:Last>Azar</b:Last>
            <b:First>S.A.</b:First>
          </b:Person>
          <b:Person>
            <b:Last>Noueihed</b:Last>
            <b:First>N</b:First>
          </b:Person>
        </b:NameList>
      </b:Author>
    </b:Author>
    <b:Title>A Probabilistic Internal Rate of Return: Theory and Illustration</b:Title>
    <b:JournalName>International Journal of Business and Managemen</b:JournalName>
    <b:Year>2014</b:Year>
    <b:Volume>9</b:Volume>
    <b:Issue>4</b:Issue>
    <b:RefOrder>47</b:RefOrder>
  </b:Source>
  <b:Source>
    <b:Tag>Che10</b:Tag>
    <b:SourceType>JournalArticle</b:SourceType>
    <b:Guid>{7C82187A-964B-4C6C-B351-53D1485AC669}</b:Guid>
    <b:Author>
      <b:Author>
        <b:NameList>
          <b:Person>
            <b:Last>Chen</b:Last>
            <b:First>W.-P.</b:First>
          </b:Person>
          <b:Person>
            <b:Last>Chung</b:Last>
            <b:First>H.</b:First>
          </b:Person>
          <b:Person>
            <b:Last>Hsu</b:Last>
            <b:First>T.-L.</b:First>
          </b:Person>
          <b:Person>
            <b:Last>Wu</b:Last>
            <b:First>S.</b:First>
          </b:Person>
        </b:NameList>
      </b:Author>
    </b:Author>
    <b:Title>External Financing Needs, Corporate Governance, and Firm Value</b:Title>
    <b:JournalName>Corporate Governance: An International Review</b:JournalName>
    <b:Year>2010</b:Year>
    <b:Pages>234–249</b:Pages>
    <b:Volume>18</b:Volume>
    <b:Issue>3</b:Issue>
    <b:RefOrder>27</b:RefOrder>
  </b:Source>
  <b:Source>
    <b:Tag>deJ11</b:Tag>
    <b:SourceType>JournalArticle</b:SourceType>
    <b:Guid>{8D20B307-66D8-4CC8-8D66-D36838D3F436}</b:Guid>
    <b:Author>
      <b:Author>
        <b:NameList>
          <b:Person>
            <b:Last>de Jongh</b:Last>
            <b:First>M</b:First>
          </b:Person>
        </b:NameList>
      </b:Author>
    </b:Author>
    <b:Title>Shareholders’ Duties to the Company and Fellow Shareholder</b:Title>
    <b:JournalName>SSRN Electronic Journal</b:JournalName>
    <b:Year>2011</b:Year>
    <b:RefOrder>42</b:RefOrder>
  </b:Source>
  <b:Source>
    <b:Tag>Fly21</b:Tag>
    <b:SourceType>JournalArticle</b:SourceType>
    <b:Guid>{92FD9B01-C6B4-4180-B71D-62BB3798807B}</b:Guid>
    <b:Author>
      <b:Author>
        <b:NameList>
          <b:Person>
            <b:Last>Flynn</b:Last>
            <b:First>B.B.</b:First>
          </b:Person>
        </b:NameList>
      </b:Author>
    </b:Author>
    <b:Title>On Theory in Supply Chain Uncertainty and its Implications for Supply Chain Integration</b:Title>
    <b:JournalName>Journal of Supply Chain Management</b:JournalName>
    <b:Year>2021</b:Year>
    <b:Pages>3–27</b:Pages>
    <b:Volume>52</b:Volume>
    <b:Issue>3</b:Issue>
    <b:RefOrder>18</b:RefOrder>
  </b:Source>
  <b:Source>
    <b:Tag>Gia15</b:Tag>
    <b:SourceType>JournalArticle</b:SourceType>
    <b:Guid>{4321F172-8032-4A3B-A07A-3D213E8C0430}</b:Guid>
    <b:Author>
      <b:Author>
        <b:NameList>
          <b:Person>
            <b:Last>Gianfrate</b:Last>
            <b:First>G.</b:First>
          </b:Person>
          <b:Person>
            <b:Last>Loewenthal</b:Last>
            <b:First>S.</b:First>
          </b:Person>
        </b:NameList>
      </b:Author>
    </b:Author>
    <b:Title>Private Equity throughout the Financial Crisis</b:Title>
    <b:JournalName>The Journal of Private Equity</b:JournalName>
    <b:Year>2015</b:Year>
    <b:RefOrder>20</b:RefOrder>
  </b:Source>
  <b:Source>
    <b:Tag>Gli20</b:Tag>
    <b:SourceType>JournalArticle</b:SourceType>
    <b:Guid>{648D2AF1-DE68-4C25-B516-0F38515478AE}</b:Guid>
    <b:Author>
      <b:Author>
        <b:NameList>
          <b:Person>
            <b:Last>Gligor</b:Last>
            <b:First>D.M.</b:First>
          </b:Person>
        </b:NameList>
      </b:Author>
    </b:Author>
    <b:Title>The Role of Supply Chain Agility in Achieving Supply Chain Fit</b:Title>
    <b:JournalName>Decision Sciences</b:JournalName>
    <b:Year>2020</b:Year>
    <b:Pages>524–553</b:Pages>
    <b:Volume>47</b:Volume>
    <b:Issue>3</b:Issue>
    <b:RefOrder>62</b:RefOrder>
  </b:Source>
  <b:Source>
    <b:Tag>Gor20</b:Tag>
    <b:SourceType>JournalArticle</b:SourceType>
    <b:Guid>{F9631613-C546-4A6C-B552-0E9259B5B59B}</b:Guid>
    <b:Author>
      <b:Author>
        <b:NameList>
          <b:Person>
            <b:Last>Gordon</b:Last>
            <b:First>L.A.</b:First>
          </b:Person>
        </b:NameList>
      </b:Author>
    </b:Author>
    <b:Title>Accounting Rate of Return vs. Economic Rate of Return</b:Title>
    <b:JournalName>Journal of Business Finance &amp; Accounting</b:JournalName>
    <b:Year>2020</b:Year>
    <b:Pages>343–356</b:Pages>
    <b:Volume>1</b:Volume>
    <b:Issue>3</b:Issue>
    <b:RefOrder>50</b:RefOrder>
  </b:Source>
  <b:Source>
    <b:Tag>Joh21</b:Tag>
    <b:SourceType>JournalArticle</b:SourceType>
    <b:Guid>{26BB0339-C94F-49F5-AE73-7A5DC16ED9E1}</b:Guid>
    <b:Author>
      <b:Author>
        <b:NameList>
          <b:Person>
            <b:Last>Johannesson</b:Last>
            <b:First>J.</b:First>
          </b:Person>
        </b:NameList>
      </b:Author>
    </b:Author>
    <b:Title>Business growth in a tough economy</b:Title>
    <b:JournalName>International Journal of Business Competition and Growth</b:JournalName>
    <b:Year>2021</b:Year>
    <b:Pages>231</b:Pages>
    <b:Volume>1</b:Volume>
    <b:Issue>3</b:Issue>
    <b:RefOrder>58</b:RefOrder>
  </b:Source>
  <b:Source>
    <b:Tag>Ker17</b:Tag>
    <b:SourceType>JournalArticle</b:SourceType>
    <b:Guid>{08491E7D-DF3B-45FD-AF8E-93BD622E5AB1}</b:Guid>
    <b:Author>
      <b:Author>
        <b:NameList>
          <b:Person>
            <b:Last>Kersten</b:Last>
            <b:First>R.</b:First>
          </b:Person>
          <b:Person>
            <b:Last>Harms</b:Last>
            <b:First>J.</b:First>
          </b:Person>
          <b:Person>
            <b:Last>Liket</b:Last>
            <b:First>K.</b:First>
          </b:Person>
          <b:Person>
            <b:Last>Maas</b:Last>
            <b:First>K.</b:First>
          </b:Person>
        </b:NameList>
      </b:Author>
    </b:Author>
    <b:Title>Small Firms, Large Impact? A Systematic Review of the SME Finance Literature</b:Title>
    <b:JournalName>World Development</b:JournalName>
    <b:Year>2017</b:Year>
    <b:Pages>330–348</b:Pages>
    <b:Volume>97</b:Volume>
    <b:RefOrder>11</b:RefOrder>
  </b:Source>
  <b:Source>
    <b:Tag>Kot19</b:Tag>
    <b:SourceType>JournalArticle</b:SourceType>
    <b:Guid>{FCC32D39-1B7E-4C01-ACD8-40DF4FA17DCE}</b:Guid>
    <b:Author>
      <b:Author>
        <b:NameList>
          <b:Person>
            <b:Last>Kotey</b:Last>
            <b:First>B.</b:First>
          </b:Person>
        </b:NameList>
      </b:Author>
    </b:Author>
    <b:Title>Debt Financing and Factors Internal to the Business</b:Title>
    <b:JournalName>International Small Business Journal</b:JournalName>
    <b:Year>2019</b:Year>
    <b:Pages>11–29</b:Pages>
    <b:Volume>17</b:Volume>
    <b:Issue>3</b:Issue>
    <b:RefOrder>23</b:RefOrder>
  </b:Source>
  <b:Source>
    <b:Tag>Lic07</b:Tag>
    <b:SourceType>JournalArticle</b:SourceType>
    <b:Guid>{B042A180-A7B3-4ABB-A7E5-B203F6EC6C46}</b:Guid>
    <b:Author>
      <b:Author>
        <b:NameList>
          <b:Person>
            <b:Last>Lichtenstein</b:Last>
            <b:First>S.</b:First>
          </b:Person>
          <b:Person>
            <b:Last>Dade</b:Last>
            <b:First>P.</b:First>
          </b:Person>
        </b:NameList>
      </b:Author>
    </b:Author>
    <b:Title>The Shareholder Value Chain: Values, Vision and Shareholder Value Creation</b:Title>
    <b:JournalName>Journal of General Management</b:JournalName>
    <b:Year>2007</b:Year>
    <b:Pages>15–31</b:Pages>
    <b:Volume>33</b:Volume>
    <b:Issue>1</b:Issue>
    <b:RefOrder>34</b:RefOrder>
  </b:Source>
  <b:Source>
    <b:Tag>Lin19</b:Tag>
    <b:SourceType>JournalArticle</b:SourceType>
    <b:Guid>{05F9F913-C75A-4A24-91A0-732E42B6BCB5}</b:Guid>
    <b:Author>
      <b:Author>
        <b:NameList>
          <b:Person>
            <b:Last>Lin</b:Last>
            <b:First>H.-J.</b:First>
          </b:Person>
        </b:NameList>
      </b:Author>
    </b:Author>
    <b:Title>Why Should Managers Like Payback Period?</b:Title>
    <b:JournalName>SSRN Electronic Journal</b:JournalName>
    <b:Year>2019</b:Year>
    <b:Volume>1</b:Volume>
    <b:Issue>1</b:Issue>
    <b:RefOrder>40</b:RefOrder>
  </b:Source>
  <b:Source>
    <b:Tag>Han23</b:Tag>
    <b:SourceType>JournalArticle</b:SourceType>
    <b:Guid>{BD739176-2B0C-4D94-8789-FF2C8EB68C5E}</b:Guid>
    <b:Author>
      <b:Author>
        <b:NameList>
          <b:Person>
            <b:Last>Hanantijo</b:Last>
            <b:First>G.M.D.</b:First>
          </b:Person>
        </b:NameList>
      </b:Author>
    </b:Author>
    <b:Title>Capital Structures Mediating Role in Profitability, Liquidity, and Firm Value</b:Title>
    <b:JournalName>International Journal of Science and Research (IJSR)</b:JournalName>
    <b:Year>2023</b:Year>
    <b:Pages>1163–1166</b:Pages>
    <b:Volume>12</b:Volume>
    <b:Issue>7</b:Issue>
    <b:RefOrder>30</b:RefOrder>
  </b:Source>
  <b:Source>
    <b:Tag>Nen20</b:Tag>
    <b:SourceType>JournalArticle</b:SourceType>
    <b:Guid>{44398020-82A9-430E-B241-F75CF8B3FADB}</b:Guid>
    <b:Author>
      <b:Author>
        <b:NameList>
          <b:Person>
            <b:Last>Neneh</b:Last>
            <b:First>B.N.</b:First>
          </b:Person>
        </b:NameList>
      </b:Author>
    </b:Author>
    <b:Title>Market orientation and performance: the contingency role of external environment</b:Title>
    <b:JournalName>Environmental Economics</b:JournalName>
    <b:Year>2020</b:Year>
    <b:Pages>130–137</b:Pages>
    <b:Volume>7</b:Volume>
    <b:Issue>2</b:Issue>
    <b:RefOrder>60</b:RefOrder>
  </b:Source>
  <b:Source>
    <b:Tag>Bra181</b:Tag>
    <b:SourceType>InternetSite</b:SourceType>
    <b:Guid>{3E589C9A-55C4-47D8-91E6-441F8A216C7B}</b:Guid>
    <b:Title>Factors influencing investment decisions</b:Title>
    <b:Year>2018</b:Year>
    <b:Author>
      <b:Author>
        <b:NameList>
          <b:Person>
            <b:Last>Brainkart</b:Last>
          </b:Person>
        </b:NameList>
      </b:Author>
    </b:Author>
    <b:YearAccessed>2023</b:YearAccessed>
    <b:MonthAccessed>March</b:MonthAccessed>
    <b:DayAccessed>07</b:DayAccessed>
    <b:URL>http://marts.brainkart.com/article/factors-influencing-investment-decisions---capital-budgeting-----a-conceptual-framework-1009/</b:URL>
    <b:RefOrder>1</b:RefOrder>
  </b:Source>
  <b:Source>
    <b:Tag>Chr23</b:Tag>
    <b:SourceType>InternetSite</b:SourceType>
    <b:Guid>{B6D23BD5-8FCE-4A2E-AE19-19B45C4BD855}</b:Guid>
    <b:Author>
      <b:Author>
        <b:Corporate>Chron</b:Corporate>
      </b:Author>
    </b:Author>
    <b:Title>Why is the Internal Rate of Return important to the organization?</b:Title>
    <b:Year>2023</b:Year>
    <b:YearAccessed>2025</b:YearAccessed>
    <b:MonthAccessed>January</b:MonthAccessed>
    <b:DayAccessed>01</b:DayAccessed>
    <b:URL>https://smallbusiness.chron.com/solve-conflicts-involving-capital-rationing-35799.html</b:URL>
    <b:RefOrder>48</b:RefOrder>
  </b:Source>
  <b:Source>
    <b:Tag>Chr231</b:Tag>
    <b:SourceType>InternetSite</b:SourceType>
    <b:Guid>{9966208E-9035-4E83-85B4-C2983BBD037E}</b:Guid>
    <b:Author>
      <b:Author>
        <b:Corporate>Chron</b:Corporate>
      </b:Author>
    </b:Author>
    <b:Title>Net Present Value method vs Payback period method</b:Title>
    <b:Year>2023</b:Year>
    <b:YearAccessed>2024</b:YearAccessed>
    <b:MonthAccessed>December</b:MonthAccessed>
    <b:DayAccessed>20</b:DayAccessed>
    <b:URL>https://smallbusiness.chron.com/solve-conflicts-involving-capital-rationing-35799.html</b:URL>
    <b:RefOrder>55</b:RefOrder>
  </b:Source>
  <b:Source>
    <b:Tag>Fin22</b:Tag>
    <b:SourceType>InternetSite</b:SourceType>
    <b:Guid>{1E97ACF6-B7D1-44DC-B49B-B5E787093DE7}</b:Guid>
    <b:Author>
      <b:Author>
        <b:Corporate>Finance Management</b:Corporate>
      </b:Author>
    </b:Author>
    <b:Title>Payback Period</b:Title>
    <b:Year>2022</b:Year>
    <b:YearAccessed>2025</b:YearAccessed>
    <b:MonthAccessed>January</b:MonthAccessed>
    <b:DayAccessed>01</b:DayAccessed>
    <b:URL>https://efinancemanagement.com/investment-decisions/payback-period-pbp</b:URL>
    <b:RefOrder>44</b:RefOrder>
  </b:Source>
  <b:Source>
    <b:Tag>Inv22</b:Tag>
    <b:SourceType>InternetSite</b:SourceType>
    <b:Guid>{223BCDB2-FBE0-40B5-9CE9-803F0ECDB156}</b:Guid>
    <b:Author>
      <b:Author>
        <b:Corporate>Investopedia</b:Corporate>
      </b:Author>
    </b:Author>
    <b:Title>https://www.investopedia.com/terms/i/internal-rate-of-return-rule.asp</b:Title>
    <b:Year>2022</b:Year>
    <b:YearAccessed>2025</b:YearAccessed>
    <b:MonthAccessed>January</b:MonthAccessed>
    <b:DayAccessed>02</b:DayAccessed>
    <b:URL>https://www.investopedia.com/terms/i/internal-rate-of-return-rule.asp</b:URL>
    <b:RefOrder>46</b:RefOrder>
  </b:Source>
  <b:Source>
    <b:Tag>Inv23</b:Tag>
    <b:SourceType>InternetSite</b:SourceType>
    <b:Guid>{C90BCF17-5AF0-4437-A9BA-D08673ADB315}</b:Guid>
    <b:Author>
      <b:Author>
        <b:Corporate>Investguiding</b:Corporate>
      </b:Author>
    </b:Author>
    <b:Title>What is the best investment appraisal method?</b:Title>
    <b:Year>2023</b:Year>
    <b:YearAccessed>2024</b:YearAccessed>
    <b:MonthAccessed>December</b:MonthAccessed>
    <b:DayAccessed>25</b:DayAccessed>
    <b:URL>https://investguiding-com.ngontinh24.com/articles/what-is-the-best-investment-appraisal-method#toc-2/</b:URL>
    <b:RefOrder>54</b:RefOrder>
  </b:Source>
  <b:Source>
    <b:Tag>Blo25</b:Tag>
    <b:SourceType>InternetSite</b:SourceType>
    <b:Guid>{887ADAD2-83B1-4DA2-90DC-06AF60B0A602}</b:Guid>
    <b:Author>
      <b:Author>
        <b:NameList>
          <b:Person>
            <b:Last>Bloomenthal</b:Last>
            <b:First>A.</b:First>
          </b:Person>
        </b:NameList>
      </b:Author>
    </b:Author>
    <b:Title>Gross Profit Margin: Formula and What It Tells You</b:Title>
    <b:Year>2025</b:Year>
    <b:YearAccessed>2025</b:YearAccessed>
    <b:MonthAccessed>December</b:MonthAccessed>
    <b:DayAccessed>23</b:DayAccessed>
    <b:URL>https://www.investopedia.com/terms/g/gross_profit_margin.asp</b:URL>
    <b:RefOrder>12</b:RefOrder>
  </b:Source>
  <b:Source>
    <b:Tag>CFI20</b:Tag>
    <b:SourceType>InternetSite</b:SourceType>
    <b:Guid>{B20B2BA6-20E6-4835-AADB-8AC414B39C66}</b:Guid>
    <b:Author>
      <b:Author>
        <b:Corporate>CFI</b:Corporate>
      </b:Author>
    </b:Author>
    <b:Title>Liquidity Ratio</b:Title>
    <b:Year>2020</b:Year>
    <b:YearAccessed>2026</b:YearAccessed>
    <b:MonthAccessed>January</b:MonthAccessed>
    <b:DayAccessed>02</b:DayAccessed>
    <b:URL>https://corporatefinanceinstitute.com/resources/accounting/liquidity-ratio/</b:URL>
    <b:RefOrder>21</b:RefOrder>
  </b:Source>
  <b:Source>
    <b:Tag>CFI22</b:Tag>
    <b:SourceType>InternetSite</b:SourceType>
    <b:Guid>{0A89B7DC-6B11-4297-B101-56C23587F379}</b:Guid>
    <b:Author>
      <b:Author>
        <b:Corporate>CFI</b:Corporate>
      </b:Author>
    </b:Author>
    <b:Title>NPV vs IRR</b:Title>
    <b:Year>2022</b:Year>
    <b:YearAccessed>2025</b:YearAccessed>
    <b:MonthAccessed>December</b:MonthAccessed>
    <b:DayAccessed>26</b:DayAccessed>
    <b:URL>https://corporatefinanceinstitute.com/resources/valuation/npv-vs-irr/</b:URL>
    <b:RefOrder>39</b:RefOrder>
  </b:Source>
  <b:Source>
    <b:Tag>CFI25</b:Tag>
    <b:SourceType>InternetSite</b:SourceType>
    <b:Guid>{6EE10237-751E-48F6-A901-BF9051C66463}</b:Guid>
    <b:Author>
      <b:Author>
        <b:Corporate>CFI Team</b:Corporate>
      </b:Author>
    </b:Author>
    <b:Title>Annual Recurring Revenue (ARR)</b:Title>
    <b:YearAccessed>2025</b:YearAccessed>
    <b:MonthAccessed>December</b:MonthAccessed>
    <b:DayAccessed>29</b:DayAccessed>
    <b:URL>https://corporatefinanceinstitute.com/resources/valuation/annual-recurring-revenue-arr/</b:URL>
    <b:RefOrder>51</b:RefOrder>
  </b:Source>
  <b:Source>
    <b:Tag>CFI221</b:Tag>
    <b:SourceType>InternetSite</b:SourceType>
    <b:Guid>{DA2B2298-3DB9-4AB9-B9D7-2968FF3A6CBD}</b:Guid>
    <b:Author>
      <b:Author>
        <b:Corporate>CFI Team</b:Corporate>
      </b:Author>
    </b:Author>
    <b:Title>Days Payable Outstanding</b:Title>
    <b:Year>2022</b:Year>
    <b:YearAccessed>2026</b:YearAccessed>
    <b:MonthAccessed>January</b:MonthAccessed>
    <b:DayAccessed>03</b:DayAccessed>
    <b:URL>https://corporatefinanceinstitute.com/resources/accounting/days-payable-outstanding/</b:URL>
    <b:RefOrder>31</b:RefOrder>
  </b:Source>
  <b:Source>
    <b:Tag>Fer25</b:Tag>
    <b:SourceType>InternetSite</b:SourceType>
    <b:Guid>{FEBD6AFA-0C80-4AB3-B481-E2FB701DCC64}</b:Guid>
    <b:Author>
      <b:Author>
        <b:NameList>
          <b:Person>
            <b:Last>Fernando</b:Last>
            <b:First>J.</b:First>
          </b:Person>
        </b:NameList>
      </b:Author>
    </b:Author>
    <b:Title>Return on Equity (ROE) Calculation and What It Means</b:Title>
    <b:Year>2025</b:Year>
    <b:YearAccessed>2026</b:YearAccessed>
    <b:MonthAccessed>January</b:MonthAccessed>
    <b:DayAccessed>03</b:DayAccessed>
    <b:URL>https://www.investopedia.com/terms/r/returnonequity.asp</b:URL>
    <b:RefOrder>19</b:RefOrder>
  </b:Source>
  <b:Source>
    <b:Tag>Hay25</b:Tag>
    <b:SourceType>InternetSite</b:SourceType>
    <b:Guid>{0C5BA795-6260-4100-BBFB-1385369B85AF}</b:Guid>
    <b:Author>
      <b:Author>
        <b:NameList>
          <b:Person>
            <b:Last>Hayes</b:Last>
            <b:First>A.</b:First>
          </b:Person>
        </b:NameList>
      </b:Author>
    </b:Author>
    <b:Title>Operating Margin: What It Is and the Formula for Calculating It, With Examples</b:Title>
    <b:Year>2025</b:Year>
    <b:YearAccessed>2026</b:YearAccessed>
    <b:MonthAccessed>January</b:MonthAccessed>
    <b:DayAccessed>02</b:DayAccessed>
    <b:URL>https://www.investopedia.com/terms/o/operatingmargin.asp</b:URL>
    <b:RefOrder>15</b:RefOrder>
  </b:Source>
  <b:Source>
    <b:Tag>Ima24</b:Tag>
    <b:SourceType>InternetSite</b:SourceType>
    <b:Guid>{86A6AC29-B99C-4DF2-9CCC-366232F027F6}</b:Guid>
    <b:Author>
      <b:Author>
        <b:Corporate>Imarticus</b:Corporate>
      </b:Author>
    </b:Author>
    <b:Title>Discounting vs. Non-Discounting Methods: Which is Better for Capital Budgeting?</b:Title>
    <b:Year>2024</b:Year>
    <b:YearAccessed>2025</b:YearAccessed>
    <b:MonthAccessed>December</b:MonthAccessed>
    <b:DayAccessed>28</b:DayAccessed>
    <b:URL>https://imarticus.org/blog/capital-budgeting-methods/</b:URL>
    <b:RefOrder>56</b:RefOrder>
  </b:Source>
  <b:Source>
    <b:Tag>Kag25</b:Tag>
    <b:SourceType>InternetSite</b:SourceType>
    <b:Guid>{F86723C8-E85B-4BFB-9979-0B9848DE691D}</b:Guid>
    <b:Author>
      <b:Author>
        <b:NameList>
          <b:Person>
            <b:Last>Kagan</b:Last>
            <b:First>J.</b:First>
          </b:Person>
        </b:NameList>
      </b:Author>
    </b:Author>
    <b:Title>Payback period: Definition, formula, and calculation</b:Title>
    <b:Year>2025</b:Year>
    <b:YearAccessed>2026</b:YearAccessed>
    <b:MonthAccessed>January </b:MonthAccessed>
    <b:DayAccessed>02</b:DayAccessed>
    <b:URL>https://www.investopedia.com/terms/p/paybackperiod.asp</b:URL>
    <b:RefOrder>45</b:RefOrder>
  </b:Source>
  <b:Source>
    <b:Tag>Ken24</b:Tag>
    <b:SourceType>InternetSite</b:SourceType>
    <b:Guid>{A00F11C8-796C-4019-B6E6-8ABD337EA135}</b:Guid>
    <b:Author>
      <b:Author>
        <b:NameList>
          <b:Person>
            <b:Last>Kenton</b:Last>
            <b:First>W</b:First>
          </b:Person>
        </b:NameList>
      </b:Author>
    </b:Author>
    <b:Title>How the Gearing Ratio Works</b:Title>
    <b:Year>2024</b:Year>
    <b:YearAccessed>2025</b:YearAccessed>
    <b:MonthAccessed>December</b:MonthAccessed>
    <b:DayAccessed>28</b:DayAccessed>
    <b:URL>https://www.investopedia.com/terms/g/gearingratio.asp</b:URL>
    <b:RefOrder>24</b:RefOrder>
  </b:Source>
  <b:Source>
    <b:Tag>Pal25</b:Tag>
    <b:SourceType>InternetSite</b:SourceType>
    <b:Guid>{95774691-3CE8-433C-BF5E-8D476CF08039}</b:Guid>
    <b:Author>
      <b:Author>
        <b:NameList>
          <b:Person>
            <b:Last>Palasciano</b:Last>
            <b:First>A.</b:First>
          </b:Person>
        </b:NameList>
      </b:Author>
    </b:Author>
    <b:Title>What is net profit margin? Formula for calculation and examples</b:Title>
    <b:Year>2025</b:Year>
    <b:YearAccessed>2026</b:YearAccessed>
    <b:MonthAccessed>January</b:MonthAccessed>
    <b:DayAccessed>04</b:DayAccessed>
    <b:URL>https://www.investopedia.com/terms/n/net_margin.asp</b:URL>
    <b:RefOrder>16</b:RefOrder>
  </b:Source>
  <b:Source>
    <b:Tag>Sch22</b:Tag>
    <b:SourceType>InternetSite</b:SourceType>
    <b:Guid>{E24AB1EB-F547-4F56-9E00-5B79DF7E3C28}</b:Guid>
    <b:Author>
      <b:Author>
        <b:NameList>
          <b:Person>
            <b:Last>Schmidt</b:Last>
            <b:First>J.</b:First>
          </b:Person>
        </b:NameList>
      </b:Author>
    </b:Author>
    <b:Title>Earnings Per Share Formula (EPS)</b:Title>
    <b:Year>2022</b:Year>
    <b:YearAccessed>2025</b:YearAccessed>
    <b:MonthAccessed>December</b:MonthAccessed>
    <b:DayAccessed>29</b:DayAccessed>
    <b:URL>https://corporatefinanceinstitute.com/resources/valuation/earnings-per-share-eps-formula/</b:URL>
    <b:RefOrder>33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0F8BC9E-E6D8-410B-89A1-CA24C5D5A8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376</TotalTime>
  <Pages>38</Pages>
  <Words>9008</Words>
  <Characters>51351</Characters>
  <Application>Microsoft Office Word</Application>
  <DocSecurity>0</DocSecurity>
  <Lines>427</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westword Plc</dc:title>
  <dc:subject>ASSIGNMENT</dc:subject>
  <dc:creator>Lutfor Rahman</dc:creator>
  <cp:keywords/>
  <dc:description/>
  <cp:lastModifiedBy>ontor podder</cp:lastModifiedBy>
  <cp:revision>35</cp:revision>
  <dcterms:created xsi:type="dcterms:W3CDTF">2026-01-10T17:31:00Z</dcterms:created>
  <dcterms:modified xsi:type="dcterms:W3CDTF">2026-01-11T00:46:00Z</dcterms:modified>
</cp:coreProperties>
</file>