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679E" w:rsidRPr="00606045" w:rsidRDefault="000A679E" w:rsidP="000A679E">
      <w:pPr>
        <w:pStyle w:val="Heading1"/>
        <w:spacing w:line="240" w:lineRule="auto"/>
        <w:jc w:val="both"/>
        <w:rPr>
          <w:rFonts w:ascii="Arial" w:eastAsia="Times New Roman" w:hAnsi="Arial" w:cs="Arial"/>
          <w:lang w:eastAsia="en-GB"/>
        </w:rPr>
      </w:pPr>
      <w:bookmarkStart w:id="0" w:name="_Toc513881207"/>
      <w:r w:rsidRPr="00606045">
        <w:rPr>
          <w:rFonts w:ascii="Arial" w:eastAsia="Times New Roman" w:hAnsi="Arial" w:cs="Arial"/>
          <w:lang w:eastAsia="en-GB"/>
        </w:rPr>
        <w:t>Chapter 1 - Introduction</w:t>
      </w:r>
      <w:bookmarkEnd w:id="0"/>
    </w:p>
    <w:p w:rsidR="000A679E" w:rsidRPr="00D358EC" w:rsidRDefault="000A679E" w:rsidP="000A679E">
      <w:pPr>
        <w:spacing w:before="100" w:beforeAutospacing="1" w:after="100" w:afterAutospacing="1"/>
        <w:jc w:val="both"/>
        <w:rPr>
          <w:rFonts w:ascii="Arial" w:eastAsia="Times New Roman" w:hAnsi="Arial" w:cs="Arial"/>
          <w:color w:val="000000"/>
          <w:sz w:val="24"/>
          <w:szCs w:val="24"/>
          <w:lang w:eastAsia="en-GB"/>
        </w:rPr>
      </w:pPr>
      <w:r w:rsidRPr="00D358EC">
        <w:rPr>
          <w:rFonts w:ascii="Arial" w:eastAsia="Times New Roman" w:hAnsi="Arial" w:cs="Arial"/>
          <w:color w:val="000000"/>
          <w:sz w:val="24"/>
          <w:szCs w:val="24"/>
          <w:lang w:eastAsia="en-GB"/>
        </w:rPr>
        <w:t>At the turn of the millennium, Labour politicians in the UK offered a solution to the economic and social problems that existed within the struggling local community</w:t>
      </w:r>
      <w:sdt>
        <w:sdtPr>
          <w:rPr>
            <w:rFonts w:ascii="Arial" w:eastAsia="Times New Roman" w:hAnsi="Arial" w:cs="Arial"/>
            <w:color w:val="000000"/>
            <w:sz w:val="24"/>
            <w:szCs w:val="24"/>
            <w:lang w:eastAsia="en-GB"/>
          </w:rPr>
          <w:id w:val="842882516"/>
          <w:citation/>
        </w:sdtPr>
        <w:sdtContent>
          <w:r w:rsidRPr="00D358EC">
            <w:rPr>
              <w:rFonts w:ascii="Arial" w:eastAsia="Times New Roman" w:hAnsi="Arial" w:cs="Arial"/>
              <w:color w:val="000000"/>
              <w:sz w:val="24"/>
              <w:szCs w:val="24"/>
              <w:lang w:eastAsia="en-GB"/>
            </w:rPr>
            <w:fldChar w:fldCharType="begin"/>
          </w:r>
          <w:r w:rsidRPr="00D358EC">
            <w:rPr>
              <w:rFonts w:ascii="Arial" w:eastAsia="Times New Roman" w:hAnsi="Arial" w:cs="Arial"/>
              <w:color w:val="000000"/>
              <w:sz w:val="24"/>
              <w:szCs w:val="24"/>
              <w:lang w:eastAsia="en-GB"/>
            </w:rPr>
            <w:instrText xml:space="preserve"> CITATION Joh17 \l 2057 </w:instrText>
          </w:r>
          <w:r w:rsidRPr="00D358EC">
            <w:rPr>
              <w:rFonts w:ascii="Arial" w:eastAsia="Times New Roman" w:hAnsi="Arial" w:cs="Arial"/>
              <w:color w:val="000000"/>
              <w:sz w:val="24"/>
              <w:szCs w:val="24"/>
              <w:lang w:eastAsia="en-GB"/>
            </w:rPr>
            <w:fldChar w:fldCharType="separate"/>
          </w:r>
          <w:r w:rsidRPr="00D358EC">
            <w:rPr>
              <w:rFonts w:ascii="Arial" w:eastAsia="Times New Roman" w:hAnsi="Arial" w:cs="Arial"/>
              <w:noProof/>
              <w:color w:val="000000"/>
              <w:sz w:val="24"/>
              <w:szCs w:val="24"/>
              <w:lang w:eastAsia="en-GB"/>
            </w:rPr>
            <w:t xml:space="preserve"> (John, Holloway, Davies, May, Buhociu, &amp; Roderique-Davies, 2017)</w:t>
          </w:r>
          <w:r w:rsidRPr="00D358EC">
            <w:rPr>
              <w:rFonts w:ascii="Arial" w:eastAsia="Times New Roman" w:hAnsi="Arial" w:cs="Arial"/>
              <w:color w:val="000000"/>
              <w:sz w:val="24"/>
              <w:szCs w:val="24"/>
              <w:lang w:eastAsia="en-GB"/>
            </w:rPr>
            <w:fldChar w:fldCharType="end"/>
          </w:r>
        </w:sdtContent>
      </w:sdt>
      <w:r w:rsidRPr="00D358EC">
        <w:rPr>
          <w:rFonts w:ascii="Arial" w:eastAsia="Times New Roman" w:hAnsi="Arial" w:cs="Arial"/>
          <w:color w:val="000000"/>
          <w:sz w:val="24"/>
          <w:szCs w:val="24"/>
          <w:lang w:eastAsia="en-GB"/>
        </w:rPr>
        <w:t>. That solution was gambling. Initially classified by the department of culture, media and sport as a safe bet for economic and job creation within communities, this cultural shift was viewed as a way for gambling to contribute to society</w:t>
      </w:r>
      <w:sdt>
        <w:sdtPr>
          <w:rPr>
            <w:rFonts w:ascii="Arial" w:eastAsia="Times New Roman" w:hAnsi="Arial" w:cs="Arial"/>
            <w:color w:val="000000"/>
            <w:sz w:val="24"/>
            <w:szCs w:val="24"/>
            <w:lang w:eastAsia="en-GB"/>
          </w:rPr>
          <w:id w:val="842882517"/>
          <w:citation/>
        </w:sdtPr>
        <w:sdtContent>
          <w:r w:rsidRPr="00D358EC">
            <w:rPr>
              <w:rFonts w:ascii="Arial" w:eastAsia="Times New Roman" w:hAnsi="Arial" w:cs="Arial"/>
              <w:color w:val="000000"/>
              <w:sz w:val="24"/>
              <w:szCs w:val="24"/>
              <w:lang w:eastAsia="en-GB"/>
            </w:rPr>
            <w:fldChar w:fldCharType="begin"/>
          </w:r>
          <w:r w:rsidRPr="00D358EC">
            <w:rPr>
              <w:rFonts w:ascii="Arial" w:eastAsia="Times New Roman" w:hAnsi="Arial" w:cs="Arial"/>
              <w:color w:val="000000"/>
              <w:sz w:val="24"/>
              <w:szCs w:val="24"/>
              <w:lang w:eastAsia="en-GB"/>
            </w:rPr>
            <w:instrText xml:space="preserve"> CITATION Bna17 \l 2057 </w:instrText>
          </w:r>
          <w:r w:rsidRPr="00D358EC">
            <w:rPr>
              <w:rFonts w:ascii="Arial" w:eastAsia="Times New Roman" w:hAnsi="Arial" w:cs="Arial"/>
              <w:color w:val="000000"/>
              <w:sz w:val="24"/>
              <w:szCs w:val="24"/>
              <w:lang w:eastAsia="en-GB"/>
            </w:rPr>
            <w:fldChar w:fldCharType="separate"/>
          </w:r>
          <w:r w:rsidRPr="00D358EC">
            <w:rPr>
              <w:rFonts w:ascii="Arial" w:eastAsia="Times New Roman" w:hAnsi="Arial" w:cs="Arial"/>
              <w:noProof/>
              <w:color w:val="000000"/>
              <w:sz w:val="24"/>
              <w:szCs w:val="24"/>
              <w:lang w:eastAsia="en-GB"/>
            </w:rPr>
            <w:t xml:space="preserve"> (Banks, 2017)</w:t>
          </w:r>
          <w:r w:rsidRPr="00D358EC">
            <w:rPr>
              <w:rFonts w:ascii="Arial" w:eastAsia="Times New Roman" w:hAnsi="Arial" w:cs="Arial"/>
              <w:color w:val="000000"/>
              <w:sz w:val="24"/>
              <w:szCs w:val="24"/>
              <w:lang w:eastAsia="en-GB"/>
            </w:rPr>
            <w:fldChar w:fldCharType="end"/>
          </w:r>
        </w:sdtContent>
      </w:sdt>
      <w:r w:rsidRPr="00D358EC">
        <w:rPr>
          <w:rFonts w:ascii="Arial" w:eastAsia="Times New Roman" w:hAnsi="Arial" w:cs="Arial"/>
          <w:color w:val="000000"/>
          <w:sz w:val="24"/>
          <w:szCs w:val="24"/>
          <w:lang w:eastAsia="en-GB"/>
        </w:rPr>
        <w:t xml:space="preserve">. The 2005 Gambling Act further added to the liberalisation of gambling and the primary argument from Labour politicians is that, much like any other industry, there should be fundamental opportunities for growth. </w:t>
      </w:r>
    </w:p>
    <w:p w:rsidR="000A679E" w:rsidRPr="00D358EC" w:rsidRDefault="000A679E" w:rsidP="000A679E">
      <w:pPr>
        <w:spacing w:before="100" w:beforeAutospacing="1" w:after="100" w:afterAutospacing="1"/>
        <w:jc w:val="both"/>
        <w:rPr>
          <w:rFonts w:ascii="Arial" w:eastAsia="Times New Roman" w:hAnsi="Arial" w:cs="Arial"/>
          <w:color w:val="000000"/>
          <w:sz w:val="24"/>
          <w:szCs w:val="24"/>
          <w:lang w:eastAsia="en-GB"/>
        </w:rPr>
      </w:pPr>
      <w:r w:rsidRPr="00D358EC">
        <w:rPr>
          <w:rFonts w:ascii="Arial" w:eastAsia="Times New Roman" w:hAnsi="Arial" w:cs="Arial"/>
          <w:color w:val="000000"/>
          <w:sz w:val="24"/>
          <w:szCs w:val="24"/>
          <w:lang w:eastAsia="en-GB"/>
        </w:rPr>
        <w:t>Within betting shops across the UK exists fixed odds betting terminals, commonly known as FOBT’s. FOBT’s are classified by the government as a category B2, meaning they can only exist in betting shops and casinos</w:t>
      </w:r>
      <w:sdt>
        <w:sdtPr>
          <w:rPr>
            <w:rFonts w:ascii="Arial" w:eastAsia="Times New Roman" w:hAnsi="Arial" w:cs="Arial"/>
            <w:color w:val="000000"/>
            <w:sz w:val="24"/>
            <w:szCs w:val="24"/>
            <w:lang w:eastAsia="en-GB"/>
          </w:rPr>
          <w:id w:val="842882518"/>
          <w:citation/>
        </w:sdtPr>
        <w:sdtContent>
          <w:r w:rsidRPr="00D358EC">
            <w:rPr>
              <w:rFonts w:ascii="Arial" w:eastAsia="Times New Roman" w:hAnsi="Arial" w:cs="Arial"/>
              <w:color w:val="000000"/>
              <w:sz w:val="24"/>
              <w:szCs w:val="24"/>
              <w:lang w:eastAsia="en-GB"/>
            </w:rPr>
            <w:fldChar w:fldCharType="begin"/>
          </w:r>
          <w:r w:rsidRPr="00D358EC">
            <w:rPr>
              <w:rFonts w:ascii="Arial" w:eastAsia="Times New Roman" w:hAnsi="Arial" w:cs="Arial"/>
              <w:color w:val="000000"/>
              <w:sz w:val="24"/>
              <w:szCs w:val="24"/>
              <w:lang w:eastAsia="en-GB"/>
            </w:rPr>
            <w:instrText xml:space="preserve"> CITATION Gam18 \t  \l 2057  </w:instrText>
          </w:r>
          <w:r w:rsidRPr="00D358EC">
            <w:rPr>
              <w:rFonts w:ascii="Arial" w:eastAsia="Times New Roman" w:hAnsi="Arial" w:cs="Arial"/>
              <w:color w:val="000000"/>
              <w:sz w:val="24"/>
              <w:szCs w:val="24"/>
              <w:lang w:eastAsia="en-GB"/>
            </w:rPr>
            <w:fldChar w:fldCharType="separate"/>
          </w:r>
          <w:r w:rsidRPr="00D358EC">
            <w:rPr>
              <w:rFonts w:ascii="Arial" w:eastAsia="Times New Roman" w:hAnsi="Arial" w:cs="Arial"/>
              <w:noProof/>
              <w:color w:val="000000"/>
              <w:sz w:val="24"/>
              <w:szCs w:val="24"/>
              <w:lang w:eastAsia="en-GB"/>
            </w:rPr>
            <w:t xml:space="preserve"> (Gambling Commission, 2018)</w:t>
          </w:r>
          <w:r w:rsidRPr="00D358EC">
            <w:rPr>
              <w:rFonts w:ascii="Arial" w:eastAsia="Times New Roman" w:hAnsi="Arial" w:cs="Arial"/>
              <w:color w:val="000000"/>
              <w:sz w:val="24"/>
              <w:szCs w:val="24"/>
              <w:lang w:eastAsia="en-GB"/>
            </w:rPr>
            <w:fldChar w:fldCharType="end"/>
          </w:r>
        </w:sdtContent>
      </w:sdt>
      <w:r w:rsidRPr="00D358EC">
        <w:rPr>
          <w:rFonts w:ascii="Arial" w:eastAsia="Times New Roman" w:hAnsi="Arial" w:cs="Arial"/>
          <w:color w:val="000000"/>
          <w:sz w:val="24"/>
          <w:szCs w:val="24"/>
          <w:lang w:eastAsia="en-GB"/>
        </w:rPr>
        <w:t xml:space="preserve"> and are random. These FOBT machines have a maximum pay out of £500 per turn and allow for stakes ranging from 5p to £100 with a maximum of 4 FOBT’s allowed within a betting shop.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FOBT’s were introduced into betting shops in 2001 and allowed customers to play a </w:t>
      </w:r>
      <w:r w:rsidRPr="00D358EC">
        <w:rPr>
          <w:rFonts w:ascii="Arial" w:hAnsi="Arial" w:cs="Arial"/>
          <w:i/>
          <w:sz w:val="24"/>
          <w:szCs w:val="24"/>
        </w:rPr>
        <w:t>‘small number of high margin games’</w:t>
      </w:r>
      <w:sdt>
        <w:sdtPr>
          <w:rPr>
            <w:rFonts w:ascii="Arial" w:hAnsi="Arial" w:cs="Arial"/>
            <w:sz w:val="24"/>
            <w:szCs w:val="24"/>
          </w:rPr>
          <w:id w:val="84288250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Woo17 \p 4 \l 2057  </w:instrText>
          </w:r>
          <w:r w:rsidRPr="00D358EC">
            <w:rPr>
              <w:rFonts w:ascii="Arial" w:hAnsi="Arial" w:cs="Arial"/>
              <w:sz w:val="24"/>
              <w:szCs w:val="24"/>
            </w:rPr>
            <w:fldChar w:fldCharType="separate"/>
          </w:r>
          <w:r w:rsidRPr="00D358EC">
            <w:rPr>
              <w:rFonts w:ascii="Arial" w:hAnsi="Arial" w:cs="Arial"/>
              <w:noProof/>
              <w:sz w:val="24"/>
              <w:szCs w:val="24"/>
            </w:rPr>
            <w:t xml:space="preserve"> (Woodhouse, 2017, p. 4)</w:t>
          </w:r>
          <w:r w:rsidRPr="00D358EC">
            <w:rPr>
              <w:rFonts w:ascii="Arial" w:hAnsi="Arial" w:cs="Arial"/>
              <w:sz w:val="24"/>
              <w:szCs w:val="24"/>
            </w:rPr>
            <w:fldChar w:fldCharType="end"/>
          </w:r>
        </w:sdtContent>
      </w:sdt>
      <w:r w:rsidRPr="00D358EC">
        <w:rPr>
          <w:rFonts w:ascii="Arial" w:hAnsi="Arial" w:cs="Arial"/>
          <w:sz w:val="24"/>
          <w:szCs w:val="24"/>
        </w:rPr>
        <w:t xml:space="preserve"> .Bookmakers have lobbied the decision and retort that </w:t>
      </w:r>
      <w:r w:rsidRPr="00D358EC">
        <w:rPr>
          <w:rFonts w:ascii="Arial" w:hAnsi="Arial" w:cs="Arial"/>
          <w:i/>
          <w:sz w:val="24"/>
          <w:szCs w:val="24"/>
        </w:rPr>
        <w:t>‘£2 would cost 20,000 jobs and £1.1bn in tax revenue by 2020’</w:t>
      </w:r>
      <w:sdt>
        <w:sdtPr>
          <w:rPr>
            <w:rFonts w:ascii="Arial" w:hAnsi="Arial" w:cs="Arial"/>
            <w:i/>
            <w:sz w:val="24"/>
            <w:szCs w:val="24"/>
          </w:rPr>
          <w:id w:val="84288250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Zoe17 \l 2057 </w:instrText>
          </w:r>
          <w:r w:rsidRPr="00D358EC">
            <w:rPr>
              <w:rFonts w:ascii="Arial" w:hAnsi="Arial" w:cs="Arial"/>
              <w:sz w:val="24"/>
              <w:szCs w:val="24"/>
            </w:rPr>
            <w:fldChar w:fldCharType="separate"/>
          </w:r>
          <w:r w:rsidRPr="00D358EC">
            <w:rPr>
              <w:rFonts w:ascii="Arial" w:hAnsi="Arial" w:cs="Arial"/>
              <w:noProof/>
              <w:sz w:val="24"/>
              <w:szCs w:val="24"/>
            </w:rPr>
            <w:t xml:space="preserve"> (Drewett, 2017)</w:t>
          </w:r>
          <w:r w:rsidRPr="00D358EC">
            <w:rPr>
              <w:rFonts w:ascii="Arial" w:hAnsi="Arial" w:cs="Arial"/>
              <w:sz w:val="24"/>
              <w:szCs w:val="24"/>
            </w:rPr>
            <w:fldChar w:fldCharType="end"/>
          </w:r>
        </w:sdtContent>
      </w:sdt>
      <w:r w:rsidRPr="00D358EC">
        <w:rPr>
          <w:rFonts w:ascii="Arial" w:hAnsi="Arial" w:cs="Arial"/>
          <w:i/>
          <w:sz w:val="24"/>
          <w:szCs w:val="24"/>
        </w:rPr>
        <w:t>.</w:t>
      </w:r>
      <w:r w:rsidRPr="00D358EC">
        <w:rPr>
          <w:rFonts w:ascii="Arial" w:hAnsi="Arial" w:cs="Arial"/>
          <w:sz w:val="24"/>
          <w:szCs w:val="24"/>
        </w:rPr>
        <w:t xml:space="preserve">FOBT’s have been described as </w:t>
      </w:r>
      <w:r w:rsidRPr="00D358EC">
        <w:rPr>
          <w:rFonts w:ascii="Arial" w:hAnsi="Arial" w:cs="Arial"/>
          <w:i/>
          <w:sz w:val="24"/>
          <w:szCs w:val="24"/>
        </w:rPr>
        <w:t>‘sucking money out of the pockets of families’</w:t>
      </w:r>
      <w:sdt>
        <w:sdtPr>
          <w:rPr>
            <w:rFonts w:ascii="Arial" w:hAnsi="Arial" w:cs="Arial"/>
            <w:i/>
            <w:sz w:val="24"/>
            <w:szCs w:val="24"/>
          </w:rPr>
          <w:id w:val="84288250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Har17 \p 1 \l 2057  </w:instrText>
          </w:r>
          <w:r w:rsidRPr="00D358EC">
            <w:rPr>
              <w:rFonts w:ascii="Arial" w:hAnsi="Arial" w:cs="Arial"/>
              <w:sz w:val="24"/>
              <w:szCs w:val="24"/>
            </w:rPr>
            <w:fldChar w:fldCharType="separate"/>
          </w:r>
          <w:r w:rsidRPr="00D358EC">
            <w:rPr>
              <w:rFonts w:ascii="Arial" w:hAnsi="Arial" w:cs="Arial"/>
              <w:noProof/>
              <w:sz w:val="24"/>
              <w:szCs w:val="24"/>
            </w:rPr>
            <w:t xml:space="preserve"> (Harris, 2017, p. 1)</w:t>
          </w:r>
          <w:r w:rsidRPr="00D358EC">
            <w:rPr>
              <w:rFonts w:ascii="Arial" w:hAnsi="Arial" w:cs="Arial"/>
              <w:sz w:val="24"/>
              <w:szCs w:val="24"/>
            </w:rPr>
            <w:fldChar w:fldCharType="end"/>
          </w:r>
        </w:sdtContent>
      </w:sdt>
      <w:r w:rsidRPr="00D358EC">
        <w:rPr>
          <w:rFonts w:ascii="Arial" w:hAnsi="Arial" w:cs="Arial"/>
          <w:sz w:val="24"/>
          <w:szCs w:val="24"/>
        </w:rPr>
        <w:t xml:space="preserve"> and as a product that </w:t>
      </w:r>
      <w:r w:rsidRPr="00D358EC">
        <w:rPr>
          <w:rFonts w:ascii="Arial" w:hAnsi="Arial" w:cs="Arial"/>
          <w:i/>
          <w:sz w:val="24"/>
          <w:szCs w:val="24"/>
        </w:rPr>
        <w:t>‘can cause real harm to individuals... and communities’</w:t>
      </w:r>
      <w:sdt>
        <w:sdtPr>
          <w:rPr>
            <w:rFonts w:ascii="Arial" w:hAnsi="Arial" w:cs="Arial"/>
            <w:i/>
            <w:sz w:val="24"/>
            <w:szCs w:val="24"/>
          </w:rPr>
          <w:id w:val="842882510"/>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Tom17 \p 6 \l 2057 </w:instrText>
          </w:r>
          <w:r w:rsidRPr="00D358EC">
            <w:rPr>
              <w:rFonts w:ascii="Arial" w:hAnsi="Arial" w:cs="Arial"/>
              <w:sz w:val="24"/>
              <w:szCs w:val="24"/>
            </w:rPr>
            <w:fldChar w:fldCharType="separate"/>
          </w:r>
          <w:r w:rsidRPr="00D358EC">
            <w:rPr>
              <w:rFonts w:ascii="Arial" w:hAnsi="Arial" w:cs="Arial"/>
              <w:noProof/>
              <w:sz w:val="24"/>
              <w:szCs w:val="24"/>
            </w:rPr>
            <w:t xml:space="preserve"> (Watson, 2017, p. 6)</w:t>
          </w:r>
          <w:r w:rsidRPr="00D358EC">
            <w:rPr>
              <w:rFonts w:ascii="Arial" w:hAnsi="Arial" w:cs="Arial"/>
              <w:noProof/>
              <w:sz w:val="24"/>
              <w:szCs w:val="24"/>
            </w:rPr>
            <w:fldChar w:fldCharType="end"/>
          </w:r>
        </w:sdtContent>
      </w:sdt>
      <w:r w:rsidRPr="00D358EC">
        <w:rPr>
          <w:rFonts w:ascii="Arial" w:hAnsi="Arial" w:cs="Arial"/>
          <w:sz w:val="24"/>
          <w:szCs w:val="24"/>
        </w:rPr>
        <w:t>.Snowdon notes that in recent years there has been a notable increase in fixed odds betting terminals</w:t>
      </w:r>
      <w:sdt>
        <w:sdtPr>
          <w:rPr>
            <w:rFonts w:ascii="Arial" w:hAnsi="Arial" w:cs="Arial"/>
            <w:sz w:val="24"/>
            <w:szCs w:val="24"/>
          </w:rPr>
          <w:id w:val="842882511"/>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Sno16 \n  \l 2057 </w:instrText>
          </w:r>
          <w:r w:rsidRPr="00D358EC">
            <w:rPr>
              <w:rFonts w:ascii="Arial" w:hAnsi="Arial" w:cs="Arial"/>
              <w:sz w:val="24"/>
              <w:szCs w:val="24"/>
            </w:rPr>
            <w:fldChar w:fldCharType="separate"/>
          </w:r>
          <w:r w:rsidRPr="00D358EC">
            <w:rPr>
              <w:rFonts w:ascii="Arial" w:hAnsi="Arial" w:cs="Arial"/>
              <w:noProof/>
              <w:sz w:val="24"/>
              <w:szCs w:val="24"/>
            </w:rPr>
            <w:t xml:space="preserve"> (Fixed-odds betting terminals, 2016)</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pStyle w:val="Heading2"/>
        <w:jc w:val="both"/>
        <w:rPr>
          <w:rFonts w:ascii="Arial" w:hAnsi="Arial" w:cs="Arial"/>
          <w:sz w:val="24"/>
          <w:szCs w:val="24"/>
        </w:rPr>
      </w:pPr>
      <w:bookmarkStart w:id="1" w:name="_Toc513204064"/>
      <w:bookmarkStart w:id="2" w:name="_Toc513881208"/>
      <w:r w:rsidRPr="00D358EC">
        <w:rPr>
          <w:rFonts w:ascii="Arial" w:hAnsi="Arial" w:cs="Arial"/>
          <w:sz w:val="24"/>
          <w:szCs w:val="24"/>
        </w:rPr>
        <w:t>1.1 Objectives</w:t>
      </w:r>
      <w:bookmarkEnd w:id="1"/>
      <w:bookmarkEnd w:id="2"/>
    </w:p>
    <w:p w:rsidR="000A679E" w:rsidRPr="00D358EC" w:rsidRDefault="000A679E" w:rsidP="000A679E">
      <w:pPr>
        <w:jc w:val="both"/>
        <w:rPr>
          <w:rFonts w:ascii="Arial" w:hAnsi="Arial" w:cs="Arial"/>
          <w:sz w:val="24"/>
          <w:szCs w:val="24"/>
          <w:u w:val="single"/>
        </w:rPr>
      </w:pPr>
      <w:proofErr w:type="gramStart"/>
      <w:r w:rsidRPr="00D358EC">
        <w:rPr>
          <w:rFonts w:ascii="Arial" w:hAnsi="Arial" w:cs="Arial"/>
          <w:sz w:val="24"/>
          <w:szCs w:val="24"/>
          <w:u w:val="single"/>
        </w:rPr>
        <w:t>To review existing literature on gambling, FOBT’s and their impact in the community.</w:t>
      </w:r>
      <w:proofErr w:type="gramEnd"/>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This will be done to gain an up to date knowledge on a topic that is prominent in society at present. It will look at the theories behind gambling motivation and triggers in order to see what has been done in this field. </w:t>
      </w:r>
    </w:p>
    <w:p w:rsidR="000A679E" w:rsidRPr="00D358EC" w:rsidRDefault="000A679E" w:rsidP="000A679E">
      <w:pPr>
        <w:jc w:val="both"/>
        <w:rPr>
          <w:rFonts w:ascii="Arial" w:hAnsi="Arial" w:cs="Arial"/>
          <w:sz w:val="24"/>
          <w:szCs w:val="24"/>
          <w:u w:val="single"/>
        </w:rPr>
      </w:pPr>
      <w:r w:rsidRPr="00D358EC">
        <w:rPr>
          <w:rFonts w:ascii="Arial" w:hAnsi="Arial" w:cs="Arial"/>
          <w:sz w:val="24"/>
          <w:szCs w:val="24"/>
          <w:u w:val="single"/>
        </w:rPr>
        <w:t xml:space="preserve">To critically evaluate whether reducing the FOBT maximum stake threshold would be beneficial to both consumer and the betting industry. </w:t>
      </w:r>
    </w:p>
    <w:p w:rsidR="000A679E" w:rsidRPr="00D358EC" w:rsidRDefault="000A679E" w:rsidP="000A679E">
      <w:pPr>
        <w:jc w:val="both"/>
        <w:rPr>
          <w:rFonts w:ascii="Arial" w:hAnsi="Arial" w:cs="Arial"/>
          <w:sz w:val="24"/>
          <w:szCs w:val="24"/>
        </w:rPr>
      </w:pPr>
      <w:r w:rsidRPr="00D358EC">
        <w:rPr>
          <w:rFonts w:ascii="Arial" w:hAnsi="Arial" w:cs="Arial"/>
          <w:sz w:val="24"/>
          <w:szCs w:val="24"/>
        </w:rPr>
        <w:t>This will be achieved by researching and analysing the available data the 12 week consultation period and by interviewing both gamblers and staff within the betting industry to gauge a variety of responses to the chosen topic.</w:t>
      </w:r>
    </w:p>
    <w:p w:rsidR="000A679E" w:rsidRPr="00D358EC" w:rsidRDefault="000A679E" w:rsidP="000A679E">
      <w:pPr>
        <w:jc w:val="both"/>
        <w:rPr>
          <w:rFonts w:ascii="Arial" w:hAnsi="Arial" w:cs="Arial"/>
          <w:sz w:val="24"/>
          <w:szCs w:val="24"/>
          <w:u w:val="single"/>
        </w:rPr>
      </w:pPr>
      <w:r w:rsidRPr="00D358EC">
        <w:rPr>
          <w:rFonts w:ascii="Arial" w:hAnsi="Arial" w:cs="Arial"/>
          <w:sz w:val="24"/>
          <w:szCs w:val="24"/>
          <w:u w:val="single"/>
        </w:rPr>
        <w:t>To investigate any external influences that affect the decision making process of a gambler</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This will critically evaluate any cultural or societal impact that can affect the decision making process of a gambler. The information will be gathered through qualitative interviews and quantitative surveys and will be backed up secondary observations.</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3" w:name="_Toc513204065"/>
      <w:bookmarkStart w:id="4" w:name="_Toc513881209"/>
      <w:r w:rsidRPr="00D358EC">
        <w:rPr>
          <w:rFonts w:ascii="Arial" w:hAnsi="Arial" w:cs="Arial"/>
          <w:sz w:val="24"/>
          <w:szCs w:val="24"/>
        </w:rPr>
        <w:t>1.2 Rationale</w:t>
      </w:r>
      <w:bookmarkEnd w:id="3"/>
      <w:bookmarkEnd w:id="4"/>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On the 31st October 2017, the UK Government announced that the Department for Culture, Media and Sport (DCMS) was to undergo a 12 week consultation where it will evaluate whether to reduce the maximum allowed stake on Fixed Odds Betting Terminals (FOBT’s) from its current threshold of £100 to between £2 and £50 </w:t>
      </w:r>
      <w:sdt>
        <w:sdtPr>
          <w:rPr>
            <w:rFonts w:ascii="Arial" w:hAnsi="Arial" w:cs="Arial"/>
            <w:sz w:val="24"/>
            <w:szCs w:val="24"/>
          </w:rPr>
          <w:id w:val="84288250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Woo17 \l 2057 </w:instrText>
          </w:r>
          <w:r w:rsidRPr="00D358EC">
            <w:rPr>
              <w:rFonts w:ascii="Arial" w:hAnsi="Arial" w:cs="Arial"/>
              <w:sz w:val="24"/>
              <w:szCs w:val="24"/>
            </w:rPr>
            <w:fldChar w:fldCharType="separate"/>
          </w:r>
          <w:r w:rsidRPr="00D358EC">
            <w:rPr>
              <w:rFonts w:ascii="Arial" w:hAnsi="Arial" w:cs="Arial"/>
              <w:noProof/>
              <w:sz w:val="24"/>
              <w:szCs w:val="24"/>
            </w:rPr>
            <w:t>(Woodhouse, 2017)</w:t>
          </w:r>
          <w:r w:rsidRPr="00D358EC">
            <w:rPr>
              <w:rFonts w:ascii="Arial" w:hAnsi="Arial" w:cs="Arial"/>
              <w:sz w:val="24"/>
              <w:szCs w:val="24"/>
            </w:rPr>
            <w:fldChar w:fldCharType="end"/>
          </w:r>
        </w:sdtContent>
      </w:sdt>
      <w:r w:rsidRPr="00D358EC">
        <w:rPr>
          <w:rFonts w:ascii="Arial" w:hAnsi="Arial" w:cs="Arial"/>
          <w:sz w:val="24"/>
          <w:szCs w:val="24"/>
        </w:rPr>
        <w:t xml:space="preserve">. The four proposals differ in maximum stake from £50, £30, £20 and £2 </w:t>
      </w:r>
      <w:sdt>
        <w:sdtPr>
          <w:rPr>
            <w:rFonts w:ascii="Arial" w:hAnsi="Arial" w:cs="Arial"/>
            <w:sz w:val="24"/>
            <w:szCs w:val="24"/>
          </w:rPr>
          <w:id w:val="84288250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Har17 \l 2057 </w:instrText>
          </w:r>
          <w:r w:rsidRPr="00D358EC">
            <w:rPr>
              <w:rFonts w:ascii="Arial" w:hAnsi="Arial" w:cs="Arial"/>
              <w:sz w:val="24"/>
              <w:szCs w:val="24"/>
            </w:rPr>
            <w:fldChar w:fldCharType="separate"/>
          </w:r>
          <w:r w:rsidRPr="00D358EC">
            <w:rPr>
              <w:rFonts w:ascii="Arial" w:hAnsi="Arial" w:cs="Arial"/>
              <w:noProof/>
              <w:sz w:val="24"/>
              <w:szCs w:val="24"/>
            </w:rPr>
            <w:t>(Harris, 2017)</w:t>
          </w:r>
          <w:r w:rsidRPr="00D358EC">
            <w:rPr>
              <w:rFonts w:ascii="Arial" w:hAnsi="Arial" w:cs="Arial"/>
              <w:sz w:val="24"/>
              <w:szCs w:val="24"/>
            </w:rPr>
            <w:fldChar w:fldCharType="end"/>
          </w:r>
        </w:sdtContent>
      </w:sdt>
      <w:r w:rsidRPr="00D358EC">
        <w:rPr>
          <w:rFonts w:ascii="Arial" w:hAnsi="Arial" w:cs="Arial"/>
          <w:sz w:val="24"/>
          <w:szCs w:val="24"/>
        </w:rPr>
        <w:t xml:space="preserve">. Within the UK there is currently 34,388 B2 </w:t>
      </w:r>
      <w:sdt>
        <w:sdtPr>
          <w:rPr>
            <w:rFonts w:ascii="Arial" w:hAnsi="Arial" w:cs="Arial"/>
            <w:sz w:val="24"/>
            <w:szCs w:val="24"/>
          </w:rPr>
          <w:id w:val="84288250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Gam17 \l 2057  </w:instrText>
          </w:r>
          <w:r w:rsidRPr="00D358EC">
            <w:rPr>
              <w:rFonts w:ascii="Arial" w:hAnsi="Arial" w:cs="Arial"/>
              <w:sz w:val="24"/>
              <w:szCs w:val="24"/>
            </w:rPr>
            <w:fldChar w:fldCharType="separate"/>
          </w:r>
          <w:r w:rsidRPr="00D358EC">
            <w:rPr>
              <w:rFonts w:ascii="Arial" w:hAnsi="Arial" w:cs="Arial"/>
              <w:noProof/>
              <w:sz w:val="24"/>
              <w:szCs w:val="24"/>
            </w:rPr>
            <w:t>(Gambling Commission, Industry statistics, 2017)</w:t>
          </w:r>
          <w:r w:rsidRPr="00D358EC">
            <w:rPr>
              <w:rFonts w:ascii="Arial" w:hAnsi="Arial" w:cs="Arial"/>
              <w:sz w:val="24"/>
              <w:szCs w:val="24"/>
            </w:rPr>
            <w:fldChar w:fldCharType="end"/>
          </w:r>
        </w:sdtContent>
      </w:sdt>
      <w:r w:rsidRPr="00D358EC">
        <w:rPr>
          <w:rFonts w:ascii="Arial" w:hAnsi="Arial" w:cs="Arial"/>
          <w:sz w:val="24"/>
          <w:szCs w:val="24"/>
        </w:rPr>
        <w:t xml:space="preserve"> which resulted in customers spending £1.8B </w:t>
      </w:r>
      <w:sdt>
        <w:sdtPr>
          <w:rPr>
            <w:rFonts w:ascii="Arial" w:hAnsi="Arial" w:cs="Arial"/>
            <w:sz w:val="24"/>
            <w:szCs w:val="24"/>
          </w:rPr>
          <w:id w:val="84288250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Zoe17 \l 2057 </w:instrText>
          </w:r>
          <w:r w:rsidRPr="00D358EC">
            <w:rPr>
              <w:rFonts w:ascii="Arial" w:hAnsi="Arial" w:cs="Arial"/>
              <w:sz w:val="24"/>
              <w:szCs w:val="24"/>
            </w:rPr>
            <w:fldChar w:fldCharType="separate"/>
          </w:r>
          <w:r w:rsidRPr="00D358EC">
            <w:rPr>
              <w:rFonts w:ascii="Arial" w:hAnsi="Arial" w:cs="Arial"/>
              <w:noProof/>
              <w:sz w:val="24"/>
              <w:szCs w:val="24"/>
            </w:rPr>
            <w:t>(Drewett, 2017)</w:t>
          </w:r>
          <w:r w:rsidRPr="00D358EC">
            <w:rPr>
              <w:rFonts w:ascii="Arial" w:hAnsi="Arial" w:cs="Arial"/>
              <w:sz w:val="24"/>
              <w:szCs w:val="24"/>
            </w:rPr>
            <w:fldChar w:fldCharType="end"/>
          </w:r>
        </w:sdtContent>
      </w:sdt>
      <w:r w:rsidRPr="00D358EC">
        <w:rPr>
          <w:rFonts w:ascii="Arial" w:hAnsi="Arial" w:cs="Arial"/>
          <w:sz w:val="24"/>
          <w:szCs w:val="24"/>
        </w:rPr>
        <w:t xml:space="preserve">.  This dissertation is timely due to it being undertaken at a time of reviewing the FOBT regulations within the UK and looks to evaluate and rationalise the perceptions held by both bookmaker and customer to see if the proposed changes would reduce the described harmful nature of FOBT’s </w:t>
      </w:r>
      <w:sdt>
        <w:sdtPr>
          <w:rPr>
            <w:rFonts w:ascii="Arial" w:hAnsi="Arial" w:cs="Arial"/>
            <w:sz w:val="24"/>
            <w:szCs w:val="24"/>
          </w:rPr>
          <w:id w:val="84288251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Woo17 \l 2057 </w:instrText>
          </w:r>
          <w:r w:rsidRPr="00D358EC">
            <w:rPr>
              <w:rFonts w:ascii="Arial" w:hAnsi="Arial" w:cs="Arial"/>
              <w:sz w:val="24"/>
              <w:szCs w:val="24"/>
            </w:rPr>
            <w:fldChar w:fldCharType="separate"/>
          </w:r>
          <w:r w:rsidRPr="00D358EC">
            <w:rPr>
              <w:rFonts w:ascii="Arial" w:hAnsi="Arial" w:cs="Arial"/>
              <w:noProof/>
              <w:sz w:val="24"/>
              <w:szCs w:val="24"/>
            </w:rPr>
            <w:t>(Woodhouse, 2017)</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In 1980 pathological gambling was recognised as a classified psychological disorder by the American Psychological Association </w:t>
      </w:r>
      <w:sdt>
        <w:sdtPr>
          <w:rPr>
            <w:rFonts w:ascii="Arial" w:hAnsi="Arial" w:cs="Arial"/>
            <w:sz w:val="24"/>
            <w:szCs w:val="24"/>
          </w:rPr>
          <w:id w:val="84288251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BBC01 \l 2057 </w:instrText>
          </w:r>
          <w:r w:rsidRPr="00D358EC">
            <w:rPr>
              <w:rFonts w:ascii="Arial" w:hAnsi="Arial" w:cs="Arial"/>
              <w:sz w:val="24"/>
              <w:szCs w:val="24"/>
            </w:rPr>
            <w:fldChar w:fldCharType="separate"/>
          </w:r>
          <w:r w:rsidRPr="00D358EC">
            <w:rPr>
              <w:rFonts w:ascii="Arial" w:hAnsi="Arial" w:cs="Arial"/>
              <w:noProof/>
              <w:sz w:val="24"/>
              <w:szCs w:val="24"/>
            </w:rPr>
            <w:t>(BBC, 2001)</w:t>
          </w:r>
          <w:r w:rsidRPr="00D358EC">
            <w:rPr>
              <w:rFonts w:ascii="Arial" w:hAnsi="Arial" w:cs="Arial"/>
              <w:sz w:val="24"/>
              <w:szCs w:val="24"/>
            </w:rPr>
            <w:fldChar w:fldCharType="end"/>
          </w:r>
        </w:sdtContent>
      </w:sdt>
      <w:r w:rsidRPr="00D358EC">
        <w:rPr>
          <w:rFonts w:ascii="Arial" w:hAnsi="Arial" w:cs="Arial"/>
          <w:sz w:val="24"/>
          <w:szCs w:val="24"/>
        </w:rPr>
        <w:t>. This allowed problem gamblers to get assistance from the state for their problems, however, Gainsbury notes that due to its highly stigmatised nature of problem gambling</w:t>
      </w:r>
      <w:sdt>
        <w:sdtPr>
          <w:rPr>
            <w:rFonts w:ascii="Arial" w:hAnsi="Arial" w:cs="Arial"/>
            <w:sz w:val="24"/>
            <w:szCs w:val="24"/>
          </w:rPr>
          <w:id w:val="84288253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Gam16 \l 2057 </w:instrText>
          </w:r>
          <w:r w:rsidRPr="00D358EC">
            <w:rPr>
              <w:rFonts w:ascii="Arial" w:hAnsi="Arial" w:cs="Arial"/>
              <w:sz w:val="24"/>
              <w:szCs w:val="24"/>
            </w:rPr>
            <w:fldChar w:fldCharType="separate"/>
          </w:r>
          <w:r w:rsidRPr="00D358EC">
            <w:rPr>
              <w:rFonts w:ascii="Arial" w:hAnsi="Arial" w:cs="Arial"/>
              <w:noProof/>
              <w:sz w:val="24"/>
              <w:szCs w:val="24"/>
            </w:rPr>
            <w:t xml:space="preserve"> (Gainsbury, 2016)</w:t>
          </w:r>
          <w:r w:rsidRPr="00D358EC">
            <w:rPr>
              <w:rFonts w:ascii="Arial" w:hAnsi="Arial" w:cs="Arial"/>
              <w:sz w:val="24"/>
              <w:szCs w:val="24"/>
            </w:rPr>
            <w:fldChar w:fldCharType="end"/>
          </w:r>
        </w:sdtContent>
      </w:sdt>
      <w:r w:rsidRPr="00D358EC">
        <w:rPr>
          <w:rFonts w:ascii="Arial" w:hAnsi="Arial" w:cs="Arial"/>
          <w:sz w:val="24"/>
          <w:szCs w:val="24"/>
        </w:rPr>
        <w:t>, and many who suffer find it difficult to acknowledge their potential addiction. Reith infers that the gambling act of 2005 has failed since it was created to “</w:t>
      </w:r>
      <w:r w:rsidRPr="00D358EC">
        <w:rPr>
          <w:rFonts w:ascii="Arial" w:hAnsi="Arial" w:cs="Arial"/>
          <w:i/>
          <w:sz w:val="24"/>
          <w:szCs w:val="24"/>
        </w:rPr>
        <w:t>satisfy, but not stimulate existing demand’</w:t>
      </w:r>
      <w:sdt>
        <w:sdtPr>
          <w:rPr>
            <w:rFonts w:ascii="Arial" w:hAnsi="Arial" w:cs="Arial"/>
            <w:i/>
            <w:sz w:val="24"/>
            <w:szCs w:val="24"/>
          </w:rPr>
          <w:id w:val="842882536"/>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DrG06 \p 75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(Reith, 2006, p. 75)</w:t>
          </w:r>
          <w:r w:rsidRPr="00D358EC">
            <w:rPr>
              <w:rFonts w:ascii="Arial" w:hAnsi="Arial" w:cs="Arial"/>
              <w:i/>
              <w:sz w:val="24"/>
              <w:szCs w:val="24"/>
            </w:rPr>
            <w:fldChar w:fldCharType="end"/>
          </w:r>
        </w:sdtContent>
      </w:sdt>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Through looking at the definitions of gambling it becomes clear that the original ethos behind gambling has changed over time. Gambling has evolved into its current state of accessibility for all and access or ease for the user </w:t>
      </w:r>
      <w:sdt>
        <w:sdtPr>
          <w:rPr>
            <w:rFonts w:ascii="Arial" w:hAnsi="Arial" w:cs="Arial"/>
            <w:sz w:val="24"/>
            <w:szCs w:val="24"/>
          </w:rPr>
          <w:id w:val="84288253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DrG06 \l 2057 </w:instrText>
          </w:r>
          <w:r w:rsidRPr="00D358EC">
            <w:rPr>
              <w:rFonts w:ascii="Arial" w:hAnsi="Arial" w:cs="Arial"/>
              <w:sz w:val="24"/>
              <w:szCs w:val="24"/>
            </w:rPr>
            <w:fldChar w:fldCharType="separate"/>
          </w:r>
          <w:r w:rsidRPr="00D358EC">
            <w:rPr>
              <w:rFonts w:ascii="Arial" w:hAnsi="Arial" w:cs="Arial"/>
              <w:noProof/>
              <w:sz w:val="24"/>
              <w:szCs w:val="24"/>
            </w:rPr>
            <w:t>(Reith, 2006)</w:t>
          </w:r>
          <w:r w:rsidRPr="00D358EC">
            <w:rPr>
              <w:rFonts w:ascii="Arial" w:hAnsi="Arial" w:cs="Arial"/>
              <w:sz w:val="24"/>
              <w:szCs w:val="24"/>
            </w:rPr>
            <w:fldChar w:fldCharType="end"/>
          </w:r>
        </w:sdtContent>
      </w:sdt>
      <w:r w:rsidRPr="00D358EC">
        <w:rPr>
          <w:rFonts w:ascii="Arial" w:hAnsi="Arial" w:cs="Arial"/>
          <w:sz w:val="24"/>
          <w:szCs w:val="24"/>
        </w:rPr>
        <w:t>. Due to the technological advancement, gamblers are able to use their phones or tablets</w:t>
      </w:r>
      <w:sdt>
        <w:sdtPr>
          <w:rPr>
            <w:rFonts w:ascii="Arial" w:hAnsi="Arial" w:cs="Arial"/>
            <w:sz w:val="24"/>
            <w:szCs w:val="24"/>
          </w:rPr>
          <w:id w:val="84288253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Tho16 \l 2057 </w:instrText>
          </w:r>
          <w:r w:rsidRPr="00D358EC">
            <w:rPr>
              <w:rFonts w:ascii="Arial" w:hAnsi="Arial" w:cs="Arial"/>
              <w:sz w:val="24"/>
              <w:szCs w:val="24"/>
            </w:rPr>
            <w:fldChar w:fldCharType="separate"/>
          </w:r>
          <w:r w:rsidRPr="00D358EC">
            <w:rPr>
              <w:rFonts w:ascii="Arial" w:hAnsi="Arial" w:cs="Arial"/>
              <w:noProof/>
              <w:sz w:val="24"/>
              <w:szCs w:val="24"/>
            </w:rPr>
            <w:t xml:space="preserve"> (Thorley, Stirling, &amp; Huynh, 2016)</w:t>
          </w:r>
          <w:r w:rsidRPr="00D358EC">
            <w:rPr>
              <w:rFonts w:ascii="Arial" w:hAnsi="Arial" w:cs="Arial"/>
              <w:sz w:val="24"/>
              <w:szCs w:val="24"/>
            </w:rPr>
            <w:fldChar w:fldCharType="end"/>
          </w:r>
        </w:sdtContent>
      </w:sdt>
      <w:r w:rsidRPr="00D358EC">
        <w:rPr>
          <w:rFonts w:ascii="Arial" w:hAnsi="Arial" w:cs="Arial"/>
          <w:sz w:val="24"/>
          <w:szCs w:val="24"/>
        </w:rPr>
        <w:t xml:space="preserve"> in order to continue betting once an in shop experience is over and extend their usability.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Some European countries have already taken steps to minimise the societal impact of FOBT’s. In 2008, a government review in Ireland found that B2 FOBT machines would be detrimental to the Irish betting industry and were subsequently only allowed in Casino’s </w:t>
      </w:r>
      <w:sdt>
        <w:sdtPr>
          <w:rPr>
            <w:rFonts w:ascii="Arial" w:hAnsi="Arial" w:cs="Arial"/>
            <w:sz w:val="24"/>
            <w:szCs w:val="24"/>
          </w:rPr>
          <w:id w:val="30808519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Cul08 \l 2057 </w:instrText>
          </w:r>
          <w:r w:rsidRPr="00D358EC">
            <w:rPr>
              <w:rFonts w:ascii="Arial" w:hAnsi="Arial" w:cs="Arial"/>
              <w:sz w:val="24"/>
              <w:szCs w:val="24"/>
            </w:rPr>
            <w:fldChar w:fldCharType="separate"/>
          </w:r>
          <w:r w:rsidRPr="00D358EC">
            <w:rPr>
              <w:rFonts w:ascii="Arial" w:hAnsi="Arial" w:cs="Arial"/>
              <w:noProof/>
              <w:sz w:val="24"/>
              <w:szCs w:val="24"/>
            </w:rPr>
            <w:t>(Cullen, 2008)</w:t>
          </w:r>
          <w:r w:rsidRPr="00D358EC">
            <w:rPr>
              <w:rFonts w:ascii="Arial" w:hAnsi="Arial" w:cs="Arial"/>
              <w:sz w:val="24"/>
              <w:szCs w:val="24"/>
            </w:rPr>
            <w:fldChar w:fldCharType="end"/>
          </w:r>
        </w:sdtContent>
      </w:sdt>
      <w:r w:rsidRPr="00D358EC">
        <w:rPr>
          <w:rFonts w:ascii="Arial" w:hAnsi="Arial" w:cs="Arial"/>
          <w:sz w:val="24"/>
          <w:szCs w:val="24"/>
        </w:rPr>
        <w:t>. FOBT’s, also known as video lottery terminals or electronic gaming machines within North America and have been a hot topic of debate since their initial introduction in the mid 1980s. They are seen by many as detrimental to low income communities however are kept due to the massive government revenue earned from them. Within the US, casino corporation MGM engages heavily in CSR with enterprises such as ‘Inspiring our world’</w:t>
      </w:r>
      <w:sdt>
        <w:sdtPr>
          <w:rPr>
            <w:rFonts w:ascii="Arial" w:hAnsi="Arial" w:cs="Arial"/>
            <w:sz w:val="24"/>
            <w:szCs w:val="24"/>
          </w:rPr>
          <w:id w:val="30808519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Pom17 \l 2057 </w:instrText>
          </w:r>
          <w:r w:rsidRPr="00D358EC">
            <w:rPr>
              <w:rFonts w:ascii="Arial" w:hAnsi="Arial" w:cs="Arial"/>
              <w:sz w:val="24"/>
              <w:szCs w:val="24"/>
            </w:rPr>
            <w:fldChar w:fldCharType="separate"/>
          </w:r>
          <w:r w:rsidRPr="00D358EC">
            <w:rPr>
              <w:rFonts w:ascii="Arial" w:hAnsi="Arial" w:cs="Arial"/>
              <w:noProof/>
              <w:sz w:val="24"/>
              <w:szCs w:val="24"/>
            </w:rPr>
            <w:t xml:space="preserve"> (Donnalyn, 2017)</w:t>
          </w:r>
          <w:r w:rsidRPr="00D358EC">
            <w:rPr>
              <w:rFonts w:ascii="Arial" w:hAnsi="Arial" w:cs="Arial"/>
              <w:sz w:val="24"/>
              <w:szCs w:val="24"/>
            </w:rPr>
            <w:fldChar w:fldCharType="end"/>
          </w:r>
        </w:sdtContent>
      </w:sdt>
      <w:r w:rsidRPr="00D358EC">
        <w:rPr>
          <w:rFonts w:ascii="Arial" w:hAnsi="Arial" w:cs="Arial"/>
          <w:sz w:val="24"/>
          <w:szCs w:val="24"/>
        </w:rPr>
        <w:t xml:space="preserve"> and giving their employees more benefits in order to outweigh any negative publicity. However, the question can be asked, is enough CSR being done by a </w:t>
      </w:r>
      <w:r w:rsidRPr="00D358EC">
        <w:rPr>
          <w:rFonts w:ascii="Arial" w:hAnsi="Arial" w:cs="Arial"/>
          <w:sz w:val="24"/>
          <w:szCs w:val="24"/>
        </w:rPr>
        <w:lastRenderedPageBreak/>
        <w:t xml:space="preserve">bookmaker with regards to FOBT’s and a moral obligation to </w:t>
      </w:r>
      <w:r w:rsidRPr="00D358EC">
        <w:rPr>
          <w:rFonts w:ascii="Arial" w:hAnsi="Arial" w:cs="Arial"/>
          <w:i/>
          <w:sz w:val="24"/>
          <w:szCs w:val="24"/>
        </w:rPr>
        <w:t>negate the ‘growing gambling stigma’</w:t>
      </w:r>
      <w:sdt>
        <w:sdtPr>
          <w:rPr>
            <w:rFonts w:ascii="Arial" w:hAnsi="Arial" w:cs="Arial"/>
            <w:sz w:val="24"/>
            <w:szCs w:val="24"/>
          </w:rPr>
          <w:id w:val="30808520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Str15 \l 2057 </w:instrText>
          </w:r>
          <w:r w:rsidRPr="00D358EC">
            <w:rPr>
              <w:rFonts w:ascii="Arial" w:hAnsi="Arial" w:cs="Arial"/>
              <w:sz w:val="24"/>
              <w:szCs w:val="24"/>
            </w:rPr>
            <w:fldChar w:fldCharType="separate"/>
          </w:r>
          <w:r w:rsidRPr="00D358EC">
            <w:rPr>
              <w:rFonts w:ascii="Arial" w:hAnsi="Arial" w:cs="Arial"/>
              <w:noProof/>
              <w:sz w:val="24"/>
              <w:szCs w:val="24"/>
            </w:rPr>
            <w:t xml:space="preserve"> (Strauss, 2015)</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5" w:name="_Toc513881210"/>
      <w:r w:rsidRPr="00D358EC">
        <w:rPr>
          <w:rFonts w:ascii="Arial" w:hAnsi="Arial" w:cs="Arial"/>
          <w:sz w:val="24"/>
          <w:szCs w:val="24"/>
        </w:rPr>
        <w:t>1.3 Conclusion</w:t>
      </w:r>
      <w:bookmarkEnd w:id="5"/>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In an industry under current media scrutiny, it will be relevant to the researcher to remain bias free when conducting research. As the UK government stalls its decision on whether to reduce the maximum allowed stake on fixed odds betting terminals a question is proposed what could and what should be done to help with problem gambling. As a secondary aim this dissertation will look at bookmakers as an industry and whether it will be impacted by the proposed £100 FOBT maximum stake reductions in addition to the harm caused by FOBT machines. </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following chapter will provide an insight and as such, evaluating chosen key literature will allow this dissertation to be free from prejudice and will incorporate a wide range of opinions views.</w:t>
      </w:r>
    </w:p>
    <w:p w:rsidR="000A679E" w:rsidRPr="00D358EC" w:rsidRDefault="000A679E" w:rsidP="000A679E">
      <w:pPr>
        <w:jc w:val="both"/>
        <w:rPr>
          <w:rFonts w:ascii="Arial" w:eastAsiaTheme="majorEastAsia" w:hAnsi="Arial" w:cs="Arial"/>
          <w:color w:val="365F91" w:themeColor="accent1" w:themeShade="BF"/>
          <w:sz w:val="24"/>
          <w:szCs w:val="24"/>
        </w:rPr>
      </w:pPr>
      <w:r w:rsidRPr="00D358EC">
        <w:rPr>
          <w:rFonts w:ascii="Arial" w:hAnsi="Arial" w:cs="Arial"/>
          <w:sz w:val="24"/>
          <w:szCs w:val="24"/>
        </w:rPr>
        <w:br w:type="page"/>
      </w:r>
    </w:p>
    <w:p w:rsidR="000A679E" w:rsidRPr="00D358EC" w:rsidRDefault="000A679E" w:rsidP="000A679E">
      <w:pPr>
        <w:pStyle w:val="Heading1"/>
        <w:jc w:val="both"/>
        <w:rPr>
          <w:rFonts w:ascii="Arial" w:eastAsia="Times New Roman" w:hAnsi="Arial" w:cs="Arial"/>
          <w:lang w:eastAsia="en-GB"/>
        </w:rPr>
      </w:pPr>
      <w:bookmarkStart w:id="6" w:name="_Toc513204066"/>
      <w:bookmarkStart w:id="7" w:name="_Toc513881211"/>
      <w:r w:rsidRPr="00D358EC">
        <w:rPr>
          <w:rFonts w:ascii="Arial" w:eastAsia="Times New Roman" w:hAnsi="Arial" w:cs="Arial"/>
          <w:lang w:eastAsia="en-GB"/>
        </w:rPr>
        <w:lastRenderedPageBreak/>
        <w:t>Chapter 2 - Literature Review</w:t>
      </w:r>
      <w:bookmarkEnd w:id="6"/>
      <w:bookmarkEnd w:id="7"/>
    </w:p>
    <w:p w:rsidR="000A679E" w:rsidRPr="00D358EC" w:rsidRDefault="000A679E" w:rsidP="000A679E">
      <w:pPr>
        <w:pStyle w:val="Heading2"/>
        <w:jc w:val="both"/>
        <w:rPr>
          <w:rFonts w:ascii="Arial" w:hAnsi="Arial" w:cs="Arial"/>
          <w:sz w:val="24"/>
          <w:szCs w:val="24"/>
        </w:rPr>
      </w:pPr>
      <w:bookmarkStart w:id="8" w:name="_Toc513204067"/>
      <w:bookmarkStart w:id="9" w:name="_Toc513881212"/>
      <w:r w:rsidRPr="00D358EC">
        <w:rPr>
          <w:rFonts w:ascii="Arial" w:hAnsi="Arial" w:cs="Arial"/>
          <w:sz w:val="24"/>
          <w:szCs w:val="24"/>
        </w:rPr>
        <w:t>2.1 Introduction to literature review</w:t>
      </w:r>
      <w:bookmarkEnd w:id="8"/>
      <w:bookmarkEnd w:id="9"/>
    </w:p>
    <w:p w:rsidR="000A679E" w:rsidRPr="00D358EC" w:rsidRDefault="000A679E" w:rsidP="000A679E">
      <w:pPr>
        <w:spacing w:before="100" w:beforeAutospacing="1" w:after="100" w:afterAutospacing="1"/>
        <w:jc w:val="both"/>
        <w:rPr>
          <w:rFonts w:ascii="Arial" w:eastAsia="Times New Roman" w:hAnsi="Arial" w:cs="Arial"/>
          <w:sz w:val="24"/>
          <w:szCs w:val="24"/>
          <w:lang w:eastAsia="en-GB"/>
        </w:rPr>
      </w:pPr>
      <w:r w:rsidRPr="00D358EC">
        <w:rPr>
          <w:rFonts w:ascii="Arial" w:eastAsia="Times New Roman" w:hAnsi="Arial" w:cs="Arial"/>
          <w:sz w:val="24"/>
          <w:szCs w:val="24"/>
          <w:lang w:eastAsia="en-GB"/>
        </w:rPr>
        <w:t xml:space="preserve">The purpose of this chapter is to conduct a review of available literature with reference to the potential harmful effects of fixed odds betting terminals to provide a knowledge base for the research. Consideration of previous literature will also assist the researcher in designing the primary research to be undertaken. Secondary data will be gathered from a wide range of sources identified by the literature review to include internet search engines, the UWTSD Library catalogue, electronic journals and sector specific data. Broadcast media and newspapers will also be reviewed. In particular this chapter will analyse Archie Carroll’s pyramid of CSR and its adoption to the current industry FOBT’s. </w:t>
      </w:r>
    </w:p>
    <w:p w:rsidR="000A679E" w:rsidRPr="00D358EC" w:rsidRDefault="000A679E" w:rsidP="000A679E">
      <w:pPr>
        <w:spacing w:before="100" w:beforeAutospacing="1" w:after="100" w:afterAutospacing="1"/>
        <w:jc w:val="both"/>
        <w:rPr>
          <w:rFonts w:ascii="Arial" w:eastAsia="Times New Roman" w:hAnsi="Arial" w:cs="Arial"/>
          <w:sz w:val="24"/>
          <w:szCs w:val="24"/>
          <w:lang w:eastAsia="en-GB"/>
        </w:rPr>
      </w:pPr>
    </w:p>
    <w:p w:rsidR="000A679E" w:rsidRPr="00D358EC" w:rsidRDefault="000A679E" w:rsidP="000A679E">
      <w:pPr>
        <w:pStyle w:val="Heading2"/>
        <w:jc w:val="both"/>
        <w:rPr>
          <w:rFonts w:ascii="Arial" w:hAnsi="Arial" w:cs="Arial"/>
          <w:sz w:val="24"/>
          <w:szCs w:val="24"/>
        </w:rPr>
      </w:pPr>
      <w:bookmarkStart w:id="10" w:name="_Toc513204068"/>
      <w:bookmarkStart w:id="11" w:name="_Toc513881213"/>
      <w:r w:rsidRPr="00D358EC">
        <w:rPr>
          <w:rFonts w:ascii="Arial" w:hAnsi="Arial" w:cs="Arial"/>
          <w:sz w:val="24"/>
          <w:szCs w:val="24"/>
        </w:rPr>
        <w:t>2.2 Gambling Definitions</w:t>
      </w:r>
      <w:bookmarkEnd w:id="10"/>
      <w:bookmarkEnd w:id="11"/>
    </w:p>
    <w:tbl>
      <w:tblPr>
        <w:tblStyle w:val="TableGrid"/>
        <w:tblW w:w="5000" w:type="pct"/>
        <w:tblLook w:val="04A0"/>
      </w:tblPr>
      <w:tblGrid>
        <w:gridCol w:w="4625"/>
        <w:gridCol w:w="4617"/>
      </w:tblGrid>
      <w:tr w:rsidR="000A679E" w:rsidRPr="00D358EC" w:rsidTr="00811444">
        <w:trPr>
          <w:trHeight w:val="806"/>
        </w:trPr>
        <w:tc>
          <w:tcPr>
            <w:tcW w:w="2502" w:type="pct"/>
          </w:tcPr>
          <w:p w:rsidR="000A679E" w:rsidRPr="00D358EC" w:rsidRDefault="000A679E" w:rsidP="00811444">
            <w:pPr>
              <w:spacing w:line="276" w:lineRule="auto"/>
              <w:jc w:val="both"/>
              <w:rPr>
                <w:rFonts w:ascii="Arial" w:hAnsi="Arial" w:cs="Arial"/>
                <w:i/>
                <w:sz w:val="24"/>
                <w:szCs w:val="24"/>
              </w:rPr>
            </w:pPr>
            <w:r w:rsidRPr="00D358EC">
              <w:rPr>
                <w:rFonts w:ascii="Arial" w:hAnsi="Arial" w:cs="Arial"/>
                <w:i/>
                <w:sz w:val="24"/>
                <w:szCs w:val="24"/>
              </w:rPr>
              <w:t>“Wagering of money on an uncertain outcome”</w:t>
            </w:r>
          </w:p>
        </w:tc>
        <w:tc>
          <w:tcPr>
            <w:tcW w:w="2498" w:type="pct"/>
          </w:tcPr>
          <w:p w:rsidR="000A679E" w:rsidRPr="00D358EC" w:rsidRDefault="000A679E" w:rsidP="00811444">
            <w:pPr>
              <w:spacing w:line="276" w:lineRule="auto"/>
              <w:jc w:val="both"/>
              <w:rPr>
                <w:rFonts w:ascii="Arial" w:hAnsi="Arial" w:cs="Arial"/>
                <w:sz w:val="24"/>
                <w:szCs w:val="24"/>
              </w:rPr>
            </w:pPr>
            <w:sdt>
              <w:sdtPr>
                <w:rPr>
                  <w:rFonts w:ascii="Arial" w:hAnsi="Arial" w:cs="Arial"/>
                  <w:sz w:val="24"/>
                  <w:szCs w:val="24"/>
                </w:rPr>
                <w:id w:val="842882568"/>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Ros98 \p 109 \l 2057 </w:instrText>
                </w:r>
                <w:r w:rsidRPr="00D358EC">
                  <w:rPr>
                    <w:rFonts w:ascii="Arial" w:hAnsi="Arial" w:cs="Arial"/>
                    <w:sz w:val="24"/>
                    <w:szCs w:val="24"/>
                  </w:rPr>
                  <w:fldChar w:fldCharType="separate"/>
                </w:r>
                <w:r w:rsidRPr="00D358EC">
                  <w:rPr>
                    <w:rFonts w:ascii="Arial" w:hAnsi="Arial" w:cs="Arial"/>
                    <w:noProof/>
                    <w:sz w:val="24"/>
                    <w:szCs w:val="24"/>
                  </w:rPr>
                  <w:t>(Rose &amp; Loeb, 1998, p. 109)</w:t>
                </w:r>
                <w:r w:rsidRPr="00D358EC">
                  <w:rPr>
                    <w:rFonts w:ascii="Arial" w:hAnsi="Arial" w:cs="Arial"/>
                    <w:sz w:val="24"/>
                    <w:szCs w:val="24"/>
                  </w:rPr>
                  <w:fldChar w:fldCharType="end"/>
                </w:r>
              </w:sdtContent>
            </w:sdt>
          </w:p>
        </w:tc>
      </w:tr>
      <w:tr w:rsidR="000A679E" w:rsidRPr="00D358EC" w:rsidTr="00811444">
        <w:trPr>
          <w:trHeight w:val="806"/>
        </w:trPr>
        <w:tc>
          <w:tcPr>
            <w:tcW w:w="2502" w:type="pct"/>
          </w:tcPr>
          <w:p w:rsidR="000A679E" w:rsidRPr="00D358EC" w:rsidRDefault="000A679E" w:rsidP="00811444">
            <w:pPr>
              <w:spacing w:line="276" w:lineRule="auto"/>
              <w:jc w:val="both"/>
              <w:rPr>
                <w:rFonts w:ascii="Arial" w:hAnsi="Arial" w:cs="Arial"/>
                <w:i/>
                <w:sz w:val="24"/>
                <w:szCs w:val="24"/>
              </w:rPr>
            </w:pPr>
            <w:r w:rsidRPr="00D358EC">
              <w:rPr>
                <w:rFonts w:ascii="Arial" w:hAnsi="Arial" w:cs="Arial"/>
                <w:i/>
                <w:sz w:val="24"/>
                <w:szCs w:val="24"/>
              </w:rPr>
              <w:t>“Gambling is defined as betting, gaming or participating in a lottery”</w:t>
            </w:r>
          </w:p>
          <w:p w:rsidR="000A679E" w:rsidRPr="00D358EC" w:rsidRDefault="000A679E" w:rsidP="00811444">
            <w:pPr>
              <w:spacing w:line="276" w:lineRule="auto"/>
              <w:jc w:val="both"/>
              <w:rPr>
                <w:rFonts w:ascii="Arial" w:hAnsi="Arial" w:cs="Arial"/>
                <w:sz w:val="24"/>
                <w:szCs w:val="24"/>
              </w:rPr>
            </w:pPr>
          </w:p>
        </w:tc>
        <w:tc>
          <w:tcPr>
            <w:tcW w:w="2498" w:type="pct"/>
          </w:tcPr>
          <w:p w:rsidR="000A679E" w:rsidRPr="00D358EC" w:rsidRDefault="000A679E" w:rsidP="00811444">
            <w:pPr>
              <w:spacing w:line="276" w:lineRule="auto"/>
              <w:jc w:val="both"/>
              <w:rPr>
                <w:rFonts w:ascii="Arial" w:hAnsi="Arial" w:cs="Arial"/>
                <w:sz w:val="24"/>
                <w:szCs w:val="24"/>
              </w:rPr>
            </w:pPr>
            <w:sdt>
              <w:sdtPr>
                <w:rPr>
                  <w:rFonts w:ascii="Arial" w:hAnsi="Arial" w:cs="Arial"/>
                  <w:sz w:val="24"/>
                  <w:szCs w:val="24"/>
                </w:rPr>
                <w:id w:val="118828248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Gam18 \p 1 \t  \l 2057  </w:instrText>
                </w:r>
                <w:r w:rsidRPr="00D358EC">
                  <w:rPr>
                    <w:rFonts w:ascii="Arial" w:hAnsi="Arial" w:cs="Arial"/>
                    <w:sz w:val="24"/>
                    <w:szCs w:val="24"/>
                  </w:rPr>
                  <w:fldChar w:fldCharType="separate"/>
                </w:r>
                <w:r w:rsidRPr="00D358EC">
                  <w:rPr>
                    <w:rFonts w:ascii="Arial" w:hAnsi="Arial" w:cs="Arial"/>
                    <w:noProof/>
                    <w:sz w:val="24"/>
                    <w:szCs w:val="24"/>
                  </w:rPr>
                  <w:t>(Gambling Commission, 2018, p. 1)</w:t>
                </w:r>
                <w:r w:rsidRPr="00D358EC">
                  <w:rPr>
                    <w:rFonts w:ascii="Arial" w:hAnsi="Arial" w:cs="Arial"/>
                    <w:sz w:val="24"/>
                    <w:szCs w:val="24"/>
                  </w:rPr>
                  <w:fldChar w:fldCharType="end"/>
                </w:r>
              </w:sdtContent>
            </w:sdt>
          </w:p>
        </w:tc>
      </w:tr>
      <w:tr w:rsidR="000A679E" w:rsidRPr="00D358EC" w:rsidTr="00811444">
        <w:trPr>
          <w:trHeight w:val="806"/>
        </w:trPr>
        <w:tc>
          <w:tcPr>
            <w:tcW w:w="2502" w:type="pct"/>
          </w:tcPr>
          <w:p w:rsidR="000A679E" w:rsidRPr="00D358EC" w:rsidRDefault="000A679E" w:rsidP="00811444">
            <w:pPr>
              <w:spacing w:line="276" w:lineRule="auto"/>
              <w:jc w:val="both"/>
              <w:rPr>
                <w:rFonts w:ascii="Arial" w:hAnsi="Arial" w:cs="Arial"/>
                <w:i/>
                <w:sz w:val="24"/>
                <w:szCs w:val="24"/>
              </w:rPr>
            </w:pPr>
            <w:r w:rsidRPr="00D358EC">
              <w:rPr>
                <w:rFonts w:ascii="Arial" w:hAnsi="Arial" w:cs="Arial"/>
                <w:i/>
                <w:sz w:val="24"/>
                <w:szCs w:val="24"/>
              </w:rPr>
              <w:t>“The essence of gambling is economics – gambling involves money”</w:t>
            </w:r>
          </w:p>
        </w:tc>
        <w:tc>
          <w:tcPr>
            <w:tcW w:w="2498" w:type="pct"/>
          </w:tcPr>
          <w:p w:rsidR="000A679E" w:rsidRPr="00D358EC" w:rsidRDefault="000A679E" w:rsidP="00811444">
            <w:pPr>
              <w:spacing w:line="276" w:lineRule="auto"/>
              <w:jc w:val="both"/>
              <w:rPr>
                <w:rFonts w:ascii="Arial" w:hAnsi="Arial" w:cs="Arial"/>
                <w:sz w:val="24"/>
                <w:szCs w:val="24"/>
              </w:rPr>
            </w:pPr>
            <w:sdt>
              <w:sdtPr>
                <w:rPr>
                  <w:rFonts w:ascii="Arial" w:hAnsi="Arial" w:cs="Arial"/>
                  <w:sz w:val="24"/>
                  <w:szCs w:val="24"/>
                </w:rPr>
                <w:id w:val="118828249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Tho01 \p 105 \l 2057  </w:instrText>
                </w:r>
                <w:r w:rsidRPr="00D358EC">
                  <w:rPr>
                    <w:rFonts w:ascii="Arial" w:hAnsi="Arial" w:cs="Arial"/>
                    <w:sz w:val="24"/>
                    <w:szCs w:val="24"/>
                  </w:rPr>
                  <w:fldChar w:fldCharType="separate"/>
                </w:r>
                <w:r w:rsidRPr="00D358EC">
                  <w:rPr>
                    <w:rFonts w:ascii="Arial" w:hAnsi="Arial" w:cs="Arial"/>
                    <w:noProof/>
                    <w:sz w:val="24"/>
                    <w:szCs w:val="24"/>
                  </w:rPr>
                  <w:t>(Thompson, 2001, p. 105)</w:t>
                </w:r>
                <w:r w:rsidRPr="00D358EC">
                  <w:rPr>
                    <w:rFonts w:ascii="Arial" w:hAnsi="Arial" w:cs="Arial"/>
                    <w:sz w:val="24"/>
                    <w:szCs w:val="24"/>
                  </w:rPr>
                  <w:fldChar w:fldCharType="end"/>
                </w:r>
              </w:sdtContent>
            </w:sdt>
          </w:p>
        </w:tc>
      </w:tr>
      <w:tr w:rsidR="000A679E" w:rsidRPr="00D358EC" w:rsidTr="00811444">
        <w:trPr>
          <w:trHeight w:val="806"/>
        </w:trPr>
        <w:tc>
          <w:tcPr>
            <w:tcW w:w="2502" w:type="pct"/>
          </w:tcPr>
          <w:p w:rsidR="000A679E" w:rsidRPr="00D358EC" w:rsidRDefault="000A679E" w:rsidP="00811444">
            <w:pPr>
              <w:spacing w:line="276" w:lineRule="auto"/>
              <w:jc w:val="both"/>
              <w:rPr>
                <w:rFonts w:ascii="Arial" w:hAnsi="Arial" w:cs="Arial"/>
                <w:i/>
                <w:sz w:val="24"/>
                <w:szCs w:val="24"/>
              </w:rPr>
            </w:pPr>
            <w:r w:rsidRPr="00D358EC">
              <w:rPr>
                <w:rFonts w:ascii="Arial" w:hAnsi="Arial" w:cs="Arial"/>
                <w:i/>
                <w:sz w:val="24"/>
                <w:szCs w:val="24"/>
              </w:rPr>
              <w:t>“Gambling is a peculiarly difficult to define; it is tempting  to include almost any area of risk”</w:t>
            </w:r>
          </w:p>
        </w:tc>
        <w:tc>
          <w:tcPr>
            <w:tcW w:w="2498" w:type="pct"/>
          </w:tcPr>
          <w:p w:rsidR="000A679E" w:rsidRPr="00D358EC" w:rsidRDefault="000A679E" w:rsidP="00811444">
            <w:pPr>
              <w:spacing w:line="276" w:lineRule="auto"/>
              <w:jc w:val="both"/>
              <w:rPr>
                <w:rFonts w:ascii="Arial" w:hAnsi="Arial" w:cs="Arial"/>
                <w:sz w:val="24"/>
                <w:szCs w:val="24"/>
              </w:rPr>
            </w:pPr>
            <w:sdt>
              <w:sdtPr>
                <w:rPr>
                  <w:rFonts w:ascii="Arial" w:hAnsi="Arial" w:cs="Arial"/>
                  <w:sz w:val="24"/>
                  <w:szCs w:val="24"/>
                </w:rPr>
                <w:id w:val="118828249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Mun96 \p 1 \l 2057  </w:instrText>
                </w:r>
                <w:r w:rsidRPr="00D358EC">
                  <w:rPr>
                    <w:rFonts w:ascii="Arial" w:hAnsi="Arial" w:cs="Arial"/>
                    <w:sz w:val="24"/>
                    <w:szCs w:val="24"/>
                  </w:rPr>
                  <w:fldChar w:fldCharType="separate"/>
                </w:r>
                <w:r w:rsidRPr="00D358EC">
                  <w:rPr>
                    <w:rFonts w:ascii="Arial" w:hAnsi="Arial" w:cs="Arial"/>
                    <w:noProof/>
                    <w:sz w:val="24"/>
                    <w:szCs w:val="24"/>
                  </w:rPr>
                  <w:t>(Munting, 1996, p. 1)</w:t>
                </w:r>
                <w:r w:rsidRPr="00D358EC">
                  <w:rPr>
                    <w:rFonts w:ascii="Arial" w:hAnsi="Arial" w:cs="Arial"/>
                    <w:sz w:val="24"/>
                    <w:szCs w:val="24"/>
                  </w:rPr>
                  <w:fldChar w:fldCharType="end"/>
                </w:r>
              </w:sdtContent>
            </w:sdt>
          </w:p>
        </w:tc>
      </w:tr>
    </w:tbl>
    <w:p w:rsidR="000A679E" w:rsidRPr="00D358EC" w:rsidRDefault="000A679E" w:rsidP="000A679E">
      <w:pPr>
        <w:spacing w:before="100" w:beforeAutospacing="1" w:after="100" w:afterAutospacing="1"/>
        <w:jc w:val="both"/>
        <w:rPr>
          <w:rFonts w:ascii="Arial" w:eastAsia="Times New Roman" w:hAnsi="Arial" w:cs="Arial"/>
          <w:sz w:val="24"/>
          <w:szCs w:val="24"/>
          <w:lang w:eastAsia="en-GB"/>
        </w:rPr>
      </w:pPr>
      <w:r w:rsidRPr="00D358EC">
        <w:rPr>
          <w:rFonts w:ascii="Arial" w:eastAsia="Times New Roman" w:hAnsi="Arial" w:cs="Arial"/>
          <w:sz w:val="24"/>
          <w:szCs w:val="24"/>
          <w:lang w:eastAsia="en-GB"/>
        </w:rPr>
        <w:t xml:space="preserve">FOBTs are widely regarded as the most high risk form of gambling </w:t>
      </w:r>
      <w:sdt>
        <w:sdtPr>
          <w:rPr>
            <w:rFonts w:ascii="Arial" w:eastAsia="Times New Roman" w:hAnsi="Arial" w:cs="Arial"/>
            <w:sz w:val="24"/>
            <w:szCs w:val="24"/>
            <w:lang w:eastAsia="en-GB"/>
          </w:rPr>
          <w:id w:val="384662516"/>
          <w:citation/>
        </w:sdtPr>
        <w:sdtContent>
          <w:r w:rsidRPr="00D358EC">
            <w:rPr>
              <w:rFonts w:ascii="Arial" w:eastAsia="Times New Roman" w:hAnsi="Arial" w:cs="Arial"/>
              <w:sz w:val="24"/>
              <w:szCs w:val="24"/>
              <w:lang w:eastAsia="en-GB"/>
            </w:rPr>
            <w:fldChar w:fldCharType="begin"/>
          </w:r>
          <w:r w:rsidRPr="00D358EC">
            <w:rPr>
              <w:rFonts w:ascii="Arial" w:eastAsia="Times New Roman" w:hAnsi="Arial" w:cs="Arial"/>
              <w:sz w:val="24"/>
              <w:szCs w:val="24"/>
              <w:lang w:eastAsia="en-GB"/>
            </w:rPr>
            <w:instrText xml:space="preserve"> CITATION Cul08 \l 2057 </w:instrText>
          </w:r>
          <w:r w:rsidRPr="00D358EC">
            <w:rPr>
              <w:rFonts w:ascii="Arial" w:eastAsia="Times New Roman" w:hAnsi="Arial" w:cs="Arial"/>
              <w:sz w:val="24"/>
              <w:szCs w:val="24"/>
              <w:lang w:eastAsia="en-GB"/>
            </w:rPr>
            <w:fldChar w:fldCharType="separate"/>
          </w:r>
          <w:r w:rsidRPr="00D358EC">
            <w:rPr>
              <w:rFonts w:ascii="Arial" w:eastAsia="Times New Roman" w:hAnsi="Arial" w:cs="Arial"/>
              <w:noProof/>
              <w:sz w:val="24"/>
              <w:szCs w:val="24"/>
              <w:lang w:eastAsia="en-GB"/>
            </w:rPr>
            <w:t>(Cullen, 2008)</w:t>
          </w:r>
          <w:r w:rsidRPr="00D358EC">
            <w:rPr>
              <w:rFonts w:ascii="Arial" w:eastAsia="Times New Roman" w:hAnsi="Arial" w:cs="Arial"/>
              <w:sz w:val="24"/>
              <w:szCs w:val="24"/>
              <w:lang w:eastAsia="en-GB"/>
            </w:rPr>
            <w:fldChar w:fldCharType="end"/>
          </w:r>
        </w:sdtContent>
      </w:sdt>
      <w:r w:rsidRPr="00D358EC">
        <w:rPr>
          <w:rFonts w:ascii="Arial" w:eastAsia="Times New Roman" w:hAnsi="Arial" w:cs="Arial"/>
          <w:sz w:val="24"/>
          <w:szCs w:val="24"/>
          <w:lang w:eastAsia="en-GB"/>
        </w:rPr>
        <w:t xml:space="preserve">. A Welsh Gambling behaviour Study in 2016 indicated that </w:t>
      </w:r>
      <w:r w:rsidRPr="00D358EC">
        <w:rPr>
          <w:rFonts w:ascii="Arial" w:eastAsia="Times New Roman" w:hAnsi="Arial" w:cs="Arial"/>
          <w:i/>
          <w:sz w:val="24"/>
          <w:szCs w:val="24"/>
          <w:lang w:eastAsia="en-GB"/>
        </w:rPr>
        <w:t>‘61.3% of adults has gambled on at least one occasion</w:t>
      </w:r>
      <w:sdt>
        <w:sdtPr>
          <w:rPr>
            <w:rFonts w:ascii="Arial" w:eastAsia="Times New Roman" w:hAnsi="Arial" w:cs="Arial"/>
            <w:i/>
            <w:sz w:val="24"/>
            <w:szCs w:val="24"/>
            <w:lang w:eastAsia="en-GB"/>
          </w:rPr>
          <w:id w:val="-336083288"/>
          <w:citation/>
        </w:sdtPr>
        <w:sdtContent>
          <w:r w:rsidRPr="00D358EC">
            <w:rPr>
              <w:rFonts w:ascii="Arial" w:eastAsia="Times New Roman" w:hAnsi="Arial" w:cs="Arial"/>
              <w:i/>
              <w:sz w:val="24"/>
              <w:szCs w:val="24"/>
              <w:lang w:eastAsia="en-GB"/>
            </w:rPr>
            <w:fldChar w:fldCharType="begin"/>
          </w:r>
          <w:r w:rsidRPr="00D358EC">
            <w:rPr>
              <w:rFonts w:ascii="Arial" w:eastAsia="Times New Roman" w:hAnsi="Arial" w:cs="Arial"/>
              <w:i/>
              <w:sz w:val="24"/>
              <w:szCs w:val="24"/>
              <w:lang w:eastAsia="en-GB"/>
            </w:rPr>
            <w:instrText xml:space="preserve">CITATION Joh17 \p 4 \y  \l 2057 </w:instrText>
          </w:r>
          <w:r w:rsidRPr="00D358EC">
            <w:rPr>
              <w:rFonts w:ascii="Arial" w:eastAsia="Times New Roman" w:hAnsi="Arial" w:cs="Arial"/>
              <w:i/>
              <w:sz w:val="24"/>
              <w:szCs w:val="24"/>
              <w:lang w:eastAsia="en-GB"/>
            </w:rPr>
            <w:fldChar w:fldCharType="separate"/>
          </w:r>
          <w:r w:rsidRPr="00D358EC">
            <w:rPr>
              <w:rFonts w:ascii="Arial" w:eastAsia="Times New Roman" w:hAnsi="Arial" w:cs="Arial"/>
              <w:i/>
              <w:noProof/>
              <w:sz w:val="24"/>
              <w:szCs w:val="24"/>
              <w:lang w:eastAsia="en-GB"/>
            </w:rPr>
            <w:t xml:space="preserve"> </w:t>
          </w:r>
          <w:r w:rsidRPr="00D358EC">
            <w:rPr>
              <w:rFonts w:ascii="Arial" w:eastAsia="Times New Roman" w:hAnsi="Arial" w:cs="Arial"/>
              <w:noProof/>
              <w:sz w:val="24"/>
              <w:szCs w:val="24"/>
              <w:lang w:eastAsia="en-GB"/>
            </w:rPr>
            <w:t>(John, Holloway, Davies, May, Buhociu, &amp; Roderique-Davies, p. 4)</w:t>
          </w:r>
          <w:r w:rsidRPr="00D358EC">
            <w:rPr>
              <w:rFonts w:ascii="Arial" w:eastAsia="Times New Roman" w:hAnsi="Arial" w:cs="Arial"/>
              <w:i/>
              <w:sz w:val="24"/>
              <w:szCs w:val="24"/>
              <w:lang w:eastAsia="en-GB"/>
            </w:rPr>
            <w:fldChar w:fldCharType="end"/>
          </w:r>
        </w:sdtContent>
      </w:sdt>
      <w:r w:rsidRPr="00D358EC">
        <w:rPr>
          <w:rFonts w:ascii="Arial" w:eastAsia="Times New Roman" w:hAnsi="Arial" w:cs="Arial"/>
          <w:i/>
          <w:sz w:val="24"/>
          <w:szCs w:val="24"/>
          <w:lang w:eastAsia="en-GB"/>
        </w:rPr>
        <w:t>’</w:t>
      </w:r>
      <w:r w:rsidRPr="00D358EC">
        <w:rPr>
          <w:rFonts w:ascii="Arial" w:eastAsia="Times New Roman" w:hAnsi="Arial" w:cs="Arial"/>
          <w:sz w:val="24"/>
          <w:szCs w:val="24"/>
          <w:lang w:eastAsia="en-GB"/>
        </w:rPr>
        <w:t xml:space="preserve">. This dissertation seeks to understand how safer gambling environments can be developed and how much harm is caused by fixed odds betting terminals through the perceptions of customers and betting shop managers. </w:t>
      </w:r>
    </w:p>
    <w:p w:rsidR="000A679E" w:rsidRPr="00D358EC" w:rsidRDefault="000A679E" w:rsidP="000A679E">
      <w:pPr>
        <w:spacing w:before="100" w:beforeAutospacing="1" w:after="100" w:afterAutospacing="1"/>
        <w:jc w:val="both"/>
        <w:rPr>
          <w:rFonts w:ascii="Arial" w:eastAsia="Times New Roman" w:hAnsi="Arial" w:cs="Arial"/>
          <w:sz w:val="24"/>
          <w:szCs w:val="24"/>
          <w:lang w:eastAsia="en-GB"/>
        </w:rPr>
      </w:pPr>
    </w:p>
    <w:p w:rsidR="000A679E" w:rsidRPr="00D358EC" w:rsidRDefault="000A679E" w:rsidP="000A679E">
      <w:pPr>
        <w:pStyle w:val="Heading2"/>
        <w:jc w:val="both"/>
        <w:rPr>
          <w:rFonts w:ascii="Arial" w:hAnsi="Arial" w:cs="Arial"/>
          <w:sz w:val="24"/>
          <w:szCs w:val="24"/>
        </w:rPr>
      </w:pPr>
      <w:bookmarkStart w:id="12" w:name="_Toc513204069"/>
      <w:bookmarkStart w:id="13" w:name="_Toc513881214"/>
      <w:r w:rsidRPr="00D358EC">
        <w:rPr>
          <w:rFonts w:ascii="Arial" w:hAnsi="Arial" w:cs="Arial"/>
          <w:sz w:val="24"/>
          <w:szCs w:val="24"/>
        </w:rPr>
        <w:t>2.3 Unstimulated demand</w:t>
      </w:r>
      <w:bookmarkEnd w:id="12"/>
      <w:bookmarkEnd w:id="13"/>
    </w:p>
    <w:p w:rsidR="000A679E" w:rsidRPr="00D358EC" w:rsidRDefault="000A679E" w:rsidP="000A679E">
      <w:pPr>
        <w:jc w:val="both"/>
        <w:rPr>
          <w:rFonts w:ascii="Arial" w:hAnsi="Arial" w:cs="Arial"/>
          <w:sz w:val="24"/>
          <w:szCs w:val="24"/>
        </w:rPr>
      </w:pPr>
      <w:r w:rsidRPr="00D358EC">
        <w:rPr>
          <w:rFonts w:ascii="Arial" w:hAnsi="Arial" w:cs="Arial"/>
          <w:sz w:val="24"/>
          <w:szCs w:val="24"/>
        </w:rPr>
        <w:t>Unstimulated demand is a concept whereby a product or service can be offered but not advertised</w:t>
      </w:r>
      <w:sdt>
        <w:sdtPr>
          <w:rPr>
            <w:rFonts w:ascii="Arial" w:hAnsi="Arial" w:cs="Arial"/>
            <w:sz w:val="24"/>
            <w:szCs w:val="24"/>
          </w:rPr>
          <w:id w:val="39413662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Vol00 \l 2057 </w:instrText>
          </w:r>
          <w:r w:rsidRPr="00D358EC">
            <w:rPr>
              <w:rFonts w:ascii="Arial" w:hAnsi="Arial" w:cs="Arial"/>
              <w:sz w:val="24"/>
              <w:szCs w:val="24"/>
            </w:rPr>
            <w:fldChar w:fldCharType="separate"/>
          </w:r>
          <w:r w:rsidRPr="00D358EC">
            <w:rPr>
              <w:rFonts w:ascii="Arial" w:hAnsi="Arial" w:cs="Arial"/>
              <w:noProof/>
              <w:sz w:val="24"/>
              <w:szCs w:val="24"/>
            </w:rPr>
            <w:t xml:space="preserve"> (Volberg, 2000)</w:t>
          </w:r>
          <w:r w:rsidRPr="00D358EC">
            <w:rPr>
              <w:rFonts w:ascii="Arial" w:hAnsi="Arial" w:cs="Arial"/>
              <w:sz w:val="24"/>
              <w:szCs w:val="24"/>
            </w:rPr>
            <w:fldChar w:fldCharType="end"/>
          </w:r>
        </w:sdtContent>
      </w:sdt>
      <w:r w:rsidRPr="00D358EC">
        <w:rPr>
          <w:rFonts w:ascii="Arial" w:hAnsi="Arial" w:cs="Arial"/>
          <w:sz w:val="24"/>
          <w:szCs w:val="24"/>
        </w:rPr>
        <w:t>. Volberg states that “British gambling policy was shaped by unstimulated demand”</w:t>
      </w:r>
      <w:sdt>
        <w:sdtPr>
          <w:rPr>
            <w:rFonts w:ascii="Arial" w:hAnsi="Arial" w:cs="Arial"/>
            <w:sz w:val="24"/>
            <w:szCs w:val="24"/>
          </w:rPr>
          <w:id w:val="39413662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Vol00 \p 1556 \n  \y  \t  \l 2057  </w:instrText>
          </w:r>
          <w:r w:rsidRPr="00D358EC">
            <w:rPr>
              <w:rFonts w:ascii="Arial" w:hAnsi="Arial" w:cs="Arial"/>
              <w:sz w:val="24"/>
              <w:szCs w:val="24"/>
            </w:rPr>
            <w:fldChar w:fldCharType="separate"/>
          </w:r>
          <w:r w:rsidRPr="00D358EC">
            <w:rPr>
              <w:rFonts w:ascii="Arial" w:hAnsi="Arial" w:cs="Arial"/>
              <w:noProof/>
              <w:sz w:val="24"/>
              <w:szCs w:val="24"/>
            </w:rPr>
            <w:t xml:space="preserve"> (p. 1556)</w:t>
          </w:r>
          <w:r w:rsidRPr="00D358EC">
            <w:rPr>
              <w:rFonts w:ascii="Arial" w:hAnsi="Arial" w:cs="Arial"/>
              <w:sz w:val="24"/>
              <w:szCs w:val="24"/>
            </w:rPr>
            <w:fldChar w:fldCharType="end"/>
          </w:r>
        </w:sdtContent>
      </w:sdt>
      <w:r w:rsidRPr="00D358EC">
        <w:rPr>
          <w:rFonts w:ascii="Arial" w:hAnsi="Arial" w:cs="Arial"/>
          <w:sz w:val="24"/>
          <w:szCs w:val="24"/>
        </w:rPr>
        <w:t>.Banks noted in 2017 that once the demand conditions were removed, establishments such as casinos, the national lottery, bingos and bookmakers were now “</w:t>
      </w:r>
      <w:r w:rsidRPr="00D358EC">
        <w:rPr>
          <w:rFonts w:ascii="Arial" w:hAnsi="Arial" w:cs="Arial"/>
          <w:i/>
          <w:sz w:val="24"/>
          <w:szCs w:val="24"/>
        </w:rPr>
        <w:t>unconstrained</w:t>
      </w:r>
      <w:r w:rsidRPr="00D358EC">
        <w:rPr>
          <w:rFonts w:ascii="Arial" w:hAnsi="Arial" w:cs="Arial"/>
          <w:sz w:val="24"/>
          <w:szCs w:val="24"/>
        </w:rPr>
        <w:t>”</w:t>
      </w:r>
      <w:sdt>
        <w:sdtPr>
          <w:rPr>
            <w:rFonts w:ascii="Arial" w:hAnsi="Arial" w:cs="Arial"/>
            <w:sz w:val="24"/>
            <w:szCs w:val="24"/>
          </w:rPr>
          <w:id w:val="39413662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Bna17 \l 2057  </w:instrText>
          </w:r>
          <w:r w:rsidRPr="00D358EC">
            <w:rPr>
              <w:rFonts w:ascii="Arial" w:hAnsi="Arial" w:cs="Arial"/>
              <w:sz w:val="24"/>
              <w:szCs w:val="24"/>
            </w:rPr>
            <w:fldChar w:fldCharType="separate"/>
          </w:r>
          <w:r w:rsidRPr="00D358EC">
            <w:rPr>
              <w:rFonts w:ascii="Arial" w:hAnsi="Arial" w:cs="Arial"/>
              <w:noProof/>
              <w:sz w:val="24"/>
              <w:szCs w:val="24"/>
            </w:rPr>
            <w:t xml:space="preserve"> (Banks, 2017)</w:t>
          </w:r>
          <w:r w:rsidRPr="00D358EC">
            <w:rPr>
              <w:rFonts w:ascii="Arial" w:hAnsi="Arial" w:cs="Arial"/>
              <w:sz w:val="24"/>
              <w:szCs w:val="24"/>
            </w:rPr>
            <w:fldChar w:fldCharType="end"/>
          </w:r>
        </w:sdtContent>
      </w:sdt>
      <w:r w:rsidRPr="00D358EC">
        <w:rPr>
          <w:rFonts w:ascii="Arial" w:hAnsi="Arial" w:cs="Arial"/>
          <w:sz w:val="24"/>
          <w:szCs w:val="24"/>
        </w:rPr>
        <w:t xml:space="preserve">. The </w:t>
      </w:r>
      <w:r w:rsidRPr="00D358EC">
        <w:rPr>
          <w:rFonts w:ascii="Arial" w:hAnsi="Arial" w:cs="Arial"/>
          <w:sz w:val="24"/>
          <w:szCs w:val="24"/>
        </w:rPr>
        <w:lastRenderedPageBreak/>
        <w:t xml:space="preserve">industry supplied opportunities for bookmakers to advertise directly to customers thus becoming more accessible to the mainstream public that ever before. This concept enabled fast economic growth in otherwise stagnant areas of the industry </w:t>
      </w:r>
      <w:sdt>
        <w:sdtPr>
          <w:rPr>
            <w:rFonts w:ascii="Arial" w:hAnsi="Arial" w:cs="Arial"/>
            <w:sz w:val="24"/>
            <w:szCs w:val="24"/>
          </w:rPr>
          <w:id w:val="118828235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(Shaw, 2016)</w:t>
          </w:r>
          <w:r w:rsidRPr="00D358EC">
            <w:rPr>
              <w:rFonts w:ascii="Arial" w:hAnsi="Arial" w:cs="Arial"/>
              <w:sz w:val="24"/>
              <w:szCs w:val="24"/>
            </w:rPr>
            <w:fldChar w:fldCharType="end"/>
          </w:r>
        </w:sdtContent>
      </w:sdt>
      <w:r w:rsidRPr="00D358EC">
        <w:rPr>
          <w:rFonts w:ascii="Arial" w:hAnsi="Arial" w:cs="Arial"/>
          <w:sz w:val="24"/>
          <w:szCs w:val="24"/>
        </w:rPr>
        <w:t xml:space="preserve">. The business model of a bookmaker was changing as a direct result of the industry changes and the removal of barrier that were in place from decades before.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The gambling timeline (established in chapter 1) shows evidence of an acceptance of gambling within the UK culture. This has directly led to what Donoughue calls the ‘normalisation of gambling’</w:t>
      </w:r>
      <w:sdt>
        <w:sdtPr>
          <w:rPr>
            <w:rFonts w:ascii="Arial" w:hAnsi="Arial" w:cs="Arial"/>
            <w:sz w:val="24"/>
            <w:szCs w:val="24"/>
          </w:rPr>
          <w:id w:val="384662538"/>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Don11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(2011)</w:t>
          </w:r>
          <w:r w:rsidRPr="00D358EC">
            <w:rPr>
              <w:rFonts w:ascii="Arial" w:hAnsi="Arial" w:cs="Arial"/>
              <w:noProof/>
              <w:sz w:val="24"/>
              <w:szCs w:val="24"/>
            </w:rPr>
            <w:fldChar w:fldCharType="end"/>
          </w:r>
        </w:sdtContent>
      </w:sdt>
      <w:r w:rsidRPr="00D358EC">
        <w:rPr>
          <w:rFonts w:ascii="Arial" w:hAnsi="Arial" w:cs="Arial"/>
          <w:sz w:val="24"/>
          <w:szCs w:val="24"/>
        </w:rPr>
        <w:t>. Due to this liberalisation of gambling, it is only in recent years that bookmakers were able to show advertisements and have such since expanded to be encompassing a global industry. A champion of CSR is Archie Carroll, whom raised the issue of whether the perspective of the business should incorporate a wider range of affected people</w:t>
      </w:r>
      <w:sdt>
        <w:sdtPr>
          <w:rPr>
            <w:rFonts w:ascii="Arial" w:hAnsi="Arial" w:cs="Arial"/>
            <w:sz w:val="24"/>
            <w:szCs w:val="24"/>
          </w:rPr>
          <w:id w:val="38466253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\n  \l 2057  </w:instrText>
          </w:r>
          <w:r w:rsidRPr="00D358EC">
            <w:rPr>
              <w:rFonts w:ascii="Arial" w:hAnsi="Arial" w:cs="Arial"/>
              <w:sz w:val="24"/>
              <w:szCs w:val="24"/>
            </w:rPr>
            <w:fldChar w:fldCharType="separate"/>
          </w:r>
          <w:r w:rsidRPr="00D358EC">
            <w:rPr>
              <w:rFonts w:ascii="Arial" w:hAnsi="Arial" w:cs="Arial"/>
              <w:noProof/>
              <w:sz w:val="24"/>
              <w:szCs w:val="24"/>
            </w:rPr>
            <w:t xml:space="preserve"> (The pyramid of corporate social responsibility: Toward the moral management of organizational stakeholders, 1991)</w:t>
          </w:r>
          <w:r w:rsidRPr="00D358EC">
            <w:rPr>
              <w:rFonts w:ascii="Arial" w:hAnsi="Arial" w:cs="Arial"/>
              <w:noProof/>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14" w:name="_Toc513204070"/>
      <w:bookmarkStart w:id="15" w:name="_Toc513881215"/>
      <w:r w:rsidRPr="00D358EC">
        <w:rPr>
          <w:rFonts w:ascii="Arial" w:hAnsi="Arial" w:cs="Arial"/>
          <w:sz w:val="24"/>
          <w:szCs w:val="24"/>
        </w:rPr>
        <w:t>2.4 Gambling industry business model – BCG Matrix</w:t>
      </w:r>
      <w:bookmarkEnd w:id="14"/>
      <w:bookmarkEnd w:id="15"/>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Boston matrix is a consultancy tool created by the Boston Consultancy Group to a clear </w:t>
      </w:r>
      <w:r w:rsidRPr="00D358EC">
        <w:rPr>
          <w:rFonts w:ascii="Arial" w:hAnsi="Arial" w:cs="Arial"/>
          <w:i/>
          <w:sz w:val="24"/>
          <w:szCs w:val="24"/>
        </w:rPr>
        <w:t xml:space="preserve">‘positioning of an organisation’s products’ </w:t>
      </w:r>
      <w:sdt>
        <w:sdtPr>
          <w:rPr>
            <w:rFonts w:ascii="Arial" w:hAnsi="Arial" w:cs="Arial"/>
            <w:i/>
            <w:sz w:val="24"/>
            <w:szCs w:val="24"/>
          </w:rPr>
          <w:id w:val="50535313"/>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Tor10 \l 2057 </w:instrText>
          </w:r>
          <w:r w:rsidRPr="00D358EC">
            <w:rPr>
              <w:rFonts w:ascii="Arial" w:hAnsi="Arial" w:cs="Arial"/>
              <w:i/>
              <w:sz w:val="24"/>
              <w:szCs w:val="24"/>
            </w:rPr>
            <w:fldChar w:fldCharType="separate"/>
          </w:r>
          <w:r w:rsidRPr="00D358EC">
            <w:rPr>
              <w:rFonts w:ascii="Arial" w:hAnsi="Arial" w:cs="Arial"/>
              <w:noProof/>
              <w:sz w:val="24"/>
              <w:szCs w:val="24"/>
            </w:rPr>
            <w:t>(Torkildsen, 2010)</w:t>
          </w:r>
          <w:r w:rsidRPr="00D358EC">
            <w:rPr>
              <w:rFonts w:ascii="Arial" w:hAnsi="Arial" w:cs="Arial"/>
              <w:i/>
              <w:sz w:val="24"/>
              <w:szCs w:val="24"/>
            </w:rPr>
            <w:fldChar w:fldCharType="end"/>
          </w:r>
        </w:sdtContent>
      </w:sdt>
      <w:r w:rsidRPr="00D358EC">
        <w:rPr>
          <w:rFonts w:ascii="Arial" w:hAnsi="Arial" w:cs="Arial"/>
          <w:sz w:val="24"/>
          <w:szCs w:val="24"/>
        </w:rPr>
        <w:t>. This growth share matrix is designed to function as an analytical tool for business to use to analyse their specific products and their life cycles by looking at both the relative market share within an industry and the market growth rate</w:t>
      </w:r>
      <w:sdt>
        <w:sdtPr>
          <w:rPr>
            <w:rFonts w:ascii="Arial" w:hAnsi="Arial" w:cs="Arial"/>
            <w:sz w:val="24"/>
            <w:szCs w:val="24"/>
          </w:rPr>
          <w:id w:val="14391335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w:t>
          </w:r>
          <w:r w:rsidRPr="00D358EC">
            <w:rPr>
              <w:rFonts w:ascii="Arial" w:hAnsi="Arial" w:cs="Arial"/>
              <w:sz w:val="24"/>
              <w:szCs w:val="24"/>
            </w:rPr>
            <w:fldChar w:fldCharType="end"/>
          </w:r>
        </w:sdtContent>
      </w:sdt>
      <w:r w:rsidRPr="00D358EC">
        <w:rPr>
          <w:rFonts w:ascii="Arial" w:hAnsi="Arial" w:cs="Arial"/>
          <w:sz w:val="24"/>
          <w:szCs w:val="24"/>
        </w:rPr>
        <w:t xml:space="preserve">. It is broken down into four distinct sections: </w:t>
      </w:r>
    </w:p>
    <w:p w:rsidR="000A679E" w:rsidRPr="00D358EC" w:rsidRDefault="000A679E" w:rsidP="000A679E">
      <w:pPr>
        <w:jc w:val="both"/>
        <w:rPr>
          <w:rFonts w:ascii="Arial" w:hAnsi="Arial" w:cs="Arial"/>
          <w:sz w:val="24"/>
          <w:szCs w:val="24"/>
        </w:rPr>
      </w:pPr>
    </w:p>
    <w:tbl>
      <w:tblPr>
        <w:tblStyle w:val="TableGrid"/>
        <w:tblW w:w="9242" w:type="dxa"/>
        <w:tblLook w:val="04A0"/>
      </w:tblPr>
      <w:tblGrid>
        <w:gridCol w:w="1668"/>
        <w:gridCol w:w="7574"/>
      </w:tblGrid>
      <w:tr w:rsidR="000A679E" w:rsidRPr="00D358EC" w:rsidTr="00811444">
        <w:trPr>
          <w:trHeight w:val="297"/>
        </w:trPr>
        <w:tc>
          <w:tcPr>
            <w:tcW w:w="1668"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Cash Cow</w:t>
            </w:r>
          </w:p>
        </w:tc>
        <w:tc>
          <w:tcPr>
            <w:tcW w:w="7574"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High market share in a slow growing industry. Most profitable</w:t>
            </w:r>
          </w:p>
        </w:tc>
      </w:tr>
      <w:tr w:rsidR="000A679E" w:rsidRPr="00D358EC" w:rsidTr="00811444">
        <w:trPr>
          <w:trHeight w:val="316"/>
        </w:trPr>
        <w:tc>
          <w:tcPr>
            <w:tcW w:w="1668"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Dogs</w:t>
            </w:r>
          </w:p>
        </w:tc>
        <w:tc>
          <w:tcPr>
            <w:tcW w:w="7574"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Low market share in a slow growing industry. Least profitable</w:t>
            </w:r>
          </w:p>
        </w:tc>
      </w:tr>
      <w:tr w:rsidR="000A679E" w:rsidRPr="00D358EC" w:rsidTr="00811444">
        <w:tc>
          <w:tcPr>
            <w:tcW w:w="1668"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Stars</w:t>
            </w:r>
          </w:p>
        </w:tc>
        <w:tc>
          <w:tcPr>
            <w:tcW w:w="7574"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High market share in a high growth market. High competition</w:t>
            </w:r>
          </w:p>
        </w:tc>
      </w:tr>
      <w:tr w:rsidR="000A679E" w:rsidRPr="00D358EC" w:rsidTr="00811444">
        <w:tc>
          <w:tcPr>
            <w:tcW w:w="1668"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Question Marks</w:t>
            </w:r>
          </w:p>
        </w:tc>
        <w:tc>
          <w:tcPr>
            <w:tcW w:w="7574"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Low market share in a high growth market. Uncertainty of future</w:t>
            </w:r>
          </w:p>
        </w:tc>
      </w:tr>
    </w:tbl>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Boston Matrix can be used to highlight the individual aspects within a market that are more or less profitable than others and their relative share.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lastRenderedPageBreak/>
        <w:drawing>
          <wp:inline distT="0" distB="0" distL="0" distR="0">
            <wp:extent cx="5131231" cy="4229100"/>
            <wp:effectExtent l="19050" t="0" r="0" b="0"/>
            <wp:docPr id="2" name="Picture 1" descr="Image result for boston matrix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oston matrix picture"/>
                    <pic:cNvPicPr>
                      <a:picLocks noChangeAspect="1" noChangeArrowheads="1"/>
                    </pic:cNvPicPr>
                  </pic:nvPicPr>
                  <pic:blipFill>
                    <a:blip r:embed="rId6"/>
                    <a:srcRect/>
                    <a:stretch>
                      <a:fillRect/>
                    </a:stretch>
                  </pic:blipFill>
                  <pic:spPr bwMode="auto">
                    <a:xfrm>
                      <a:off x="0" y="0"/>
                      <a:ext cx="5131231" cy="422910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sz w:val="16"/>
          <w:szCs w:val="16"/>
        </w:rPr>
      </w:pPr>
      <w:r w:rsidRPr="00D358EC">
        <w:rPr>
          <w:rFonts w:ascii="Arial" w:hAnsi="Arial" w:cs="Arial"/>
          <w:i/>
          <w:sz w:val="16"/>
          <w:szCs w:val="16"/>
        </w:rPr>
        <w:t xml:space="preserve">Figure 1 sourced from: </w:t>
      </w:r>
      <w:hyperlink r:id="rId7" w:history="1">
        <w:r w:rsidRPr="00D358EC">
          <w:rPr>
            <w:rStyle w:val="Hyperlink"/>
            <w:rFonts w:ascii="Arial" w:hAnsi="Arial" w:cs="Arial"/>
            <w:sz w:val="16"/>
            <w:szCs w:val="16"/>
          </w:rPr>
          <w:t>https://www.marketing91.com/bcg-matrix/</w:t>
        </w:r>
      </w:hyperlink>
      <w:r w:rsidRPr="00D358EC">
        <w:rPr>
          <w:rFonts w:ascii="Arial" w:hAnsi="Arial" w:cs="Arial"/>
          <w:i/>
          <w:sz w:val="16"/>
          <w:szCs w:val="16"/>
        </w:rPr>
        <w:t xml:space="preserve">. </w:t>
      </w:r>
      <w:r w:rsidRPr="00D358EC">
        <w:rPr>
          <w:rFonts w:ascii="Arial" w:hAnsi="Arial" w:cs="Arial"/>
          <w:sz w:val="16"/>
          <w:szCs w:val="16"/>
        </w:rPr>
        <w:t xml:space="preserve">[Accessed 09-05/-18]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3457575"/>
            <wp:effectExtent l="19050" t="0" r="9525"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724525" cy="345757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2: Adapted BCG Matrix from Shaw</w:t>
      </w:r>
      <w:sdt>
        <w:sdtPr>
          <w:rPr>
            <w:rFonts w:ascii="Arial" w:hAnsi="Arial" w:cs="Arial"/>
            <w:i/>
            <w:sz w:val="16"/>
            <w:szCs w:val="16"/>
          </w:rPr>
          <w:id w:val="50535316"/>
          <w:citation/>
        </w:sdtPr>
        <w:sdtContent>
          <w:r w:rsidRPr="00D358EC">
            <w:rPr>
              <w:rFonts w:ascii="Arial" w:hAnsi="Arial" w:cs="Arial"/>
              <w:i/>
              <w:sz w:val="16"/>
              <w:szCs w:val="16"/>
            </w:rPr>
            <w:fldChar w:fldCharType="begin"/>
          </w:r>
          <w:r w:rsidRPr="00D358EC">
            <w:rPr>
              <w:rFonts w:ascii="Arial" w:hAnsi="Arial" w:cs="Arial"/>
              <w:i/>
              <w:sz w:val="16"/>
              <w:szCs w:val="16"/>
            </w:rPr>
            <w:instrText xml:space="preserve"> CITATION Sha16 \n  \t  \l 2057  </w:instrText>
          </w:r>
          <w:r w:rsidRPr="00D358EC">
            <w:rPr>
              <w:rFonts w:ascii="Arial" w:hAnsi="Arial" w:cs="Arial"/>
              <w:i/>
              <w:sz w:val="16"/>
              <w:szCs w:val="16"/>
            </w:rPr>
            <w:fldChar w:fldCharType="separate"/>
          </w:r>
          <w:r w:rsidRPr="00D358EC">
            <w:rPr>
              <w:rFonts w:ascii="Arial" w:hAnsi="Arial" w:cs="Arial"/>
              <w:i/>
              <w:noProof/>
              <w:sz w:val="16"/>
              <w:szCs w:val="16"/>
            </w:rPr>
            <w:t xml:space="preserve"> </w:t>
          </w:r>
          <w:r w:rsidRPr="00D358EC">
            <w:rPr>
              <w:rFonts w:ascii="Arial" w:hAnsi="Arial" w:cs="Arial"/>
              <w:noProof/>
              <w:sz w:val="16"/>
              <w:szCs w:val="16"/>
            </w:rPr>
            <w:t>(2016)</w:t>
          </w:r>
          <w:r w:rsidRPr="00D358EC">
            <w:rPr>
              <w:rFonts w:ascii="Arial" w:hAnsi="Arial" w:cs="Arial"/>
              <w:i/>
              <w:noProof/>
              <w:sz w:val="16"/>
              <w:szCs w:val="16"/>
            </w:rPr>
            <w:fldChar w:fldCharType="end"/>
          </w:r>
        </w:sdtContent>
      </w:sdt>
      <w:r w:rsidRPr="00D358EC">
        <w:rPr>
          <w:rFonts w:ascii="Arial" w:hAnsi="Arial" w:cs="Arial"/>
          <w:i/>
          <w:sz w:val="16"/>
          <w:szCs w:val="16"/>
        </w:rPr>
        <w:t xml:space="preserve"> [Accessed 09-05/-18] </w:t>
      </w:r>
    </w:p>
    <w:p w:rsidR="000A679E" w:rsidRPr="00D358EC" w:rsidRDefault="000A679E" w:rsidP="000A679E">
      <w:pPr>
        <w:jc w:val="both"/>
        <w:rPr>
          <w:rFonts w:ascii="Arial" w:hAnsi="Arial" w:cs="Arial"/>
          <w:i/>
          <w:sz w:val="16"/>
          <w:szCs w:val="16"/>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 xml:space="preserve">The placement of each market within an industry will highlight that products growth rate in relation to the overall market share. </w:t>
      </w:r>
    </w:p>
    <w:p w:rsidR="000A679E" w:rsidRPr="00D358EC" w:rsidRDefault="000A679E" w:rsidP="000A679E">
      <w:pPr>
        <w:jc w:val="both"/>
        <w:rPr>
          <w:rFonts w:ascii="Arial" w:hAnsi="Arial" w:cs="Arial"/>
          <w:sz w:val="24"/>
          <w:szCs w:val="24"/>
        </w:rPr>
      </w:pPr>
      <w:r w:rsidRPr="00D358EC">
        <w:rPr>
          <w:rFonts w:ascii="Arial" w:hAnsi="Arial" w:cs="Arial"/>
          <w:b/>
          <w:sz w:val="24"/>
          <w:szCs w:val="24"/>
        </w:rPr>
        <w:t xml:space="preserve">Stars: </w:t>
      </w:r>
      <w:r w:rsidRPr="00D358EC">
        <w:rPr>
          <w:rFonts w:ascii="Arial" w:hAnsi="Arial" w:cs="Arial"/>
          <w:sz w:val="24"/>
          <w:szCs w:val="24"/>
        </w:rPr>
        <w:t>Sports betting is viewed as the primary form of gambling (in addition to horse racing and in recent years online gambling) and accounts for the majority of bookmaker revenue.  UK Bookmakers took almost £14b in 2017. Whilst offering no new unique products the market failed to grown however still attain record profits ever year.</w:t>
      </w:r>
    </w:p>
    <w:p w:rsidR="000A679E" w:rsidRPr="00D358EC" w:rsidRDefault="000A679E" w:rsidP="000A679E">
      <w:pPr>
        <w:jc w:val="both"/>
        <w:rPr>
          <w:rFonts w:ascii="Arial" w:hAnsi="Arial" w:cs="Arial"/>
          <w:sz w:val="24"/>
          <w:szCs w:val="24"/>
        </w:rPr>
      </w:pPr>
      <w:r w:rsidRPr="00D358EC">
        <w:rPr>
          <w:rFonts w:ascii="Arial" w:hAnsi="Arial" w:cs="Arial"/>
          <w:b/>
          <w:sz w:val="24"/>
          <w:szCs w:val="24"/>
        </w:rPr>
        <w:t>Question marks:</w:t>
      </w:r>
      <w:r w:rsidRPr="00D358EC">
        <w:rPr>
          <w:rFonts w:ascii="Arial" w:hAnsi="Arial" w:cs="Arial"/>
          <w:sz w:val="24"/>
          <w:szCs w:val="24"/>
        </w:rPr>
        <w:t xml:space="preserve"> Whilst initially prominent in the late 2000’s, television gambling has had a major decline since the introduction of online betting. Social media gambling is also a volatile market that predominantly reflects the micro transaction and gaming side of the industry over traditional betting. </w:t>
      </w:r>
    </w:p>
    <w:p w:rsidR="000A679E" w:rsidRPr="00D358EC" w:rsidRDefault="000A679E" w:rsidP="000A679E">
      <w:pPr>
        <w:jc w:val="both"/>
        <w:rPr>
          <w:rFonts w:ascii="Arial" w:hAnsi="Arial" w:cs="Arial"/>
          <w:sz w:val="24"/>
          <w:szCs w:val="24"/>
        </w:rPr>
      </w:pPr>
      <w:r w:rsidRPr="00D358EC">
        <w:rPr>
          <w:rFonts w:ascii="Arial" w:hAnsi="Arial" w:cs="Arial"/>
          <w:b/>
          <w:sz w:val="24"/>
          <w:szCs w:val="24"/>
        </w:rPr>
        <w:t>Cash Cows</w:t>
      </w:r>
      <w:r w:rsidRPr="00D358EC">
        <w:rPr>
          <w:rFonts w:ascii="Arial" w:hAnsi="Arial" w:cs="Arial"/>
          <w:sz w:val="24"/>
          <w:szCs w:val="24"/>
        </w:rPr>
        <w:t xml:space="preserve">: The primary cash cows of the industry are the national lottery, established in 1994, scratch cards in 1995 and bookmakers since the ban on advertising was lifted in 2005 primarily due to their accessibility due to lowered age restrictions. </w:t>
      </w:r>
    </w:p>
    <w:p w:rsidR="000A679E" w:rsidRPr="00D358EC" w:rsidRDefault="000A679E" w:rsidP="000A679E">
      <w:pPr>
        <w:jc w:val="both"/>
        <w:rPr>
          <w:rFonts w:ascii="Arial" w:hAnsi="Arial" w:cs="Arial"/>
          <w:sz w:val="24"/>
          <w:szCs w:val="24"/>
        </w:rPr>
      </w:pPr>
      <w:r w:rsidRPr="00D358EC">
        <w:rPr>
          <w:rFonts w:ascii="Arial" w:hAnsi="Arial" w:cs="Arial"/>
          <w:b/>
          <w:sz w:val="24"/>
          <w:szCs w:val="24"/>
        </w:rPr>
        <w:t>Dogs:</w:t>
      </w:r>
      <w:r w:rsidRPr="00D358EC">
        <w:rPr>
          <w:rFonts w:ascii="Arial" w:hAnsi="Arial" w:cs="Arial"/>
          <w:sz w:val="24"/>
          <w:szCs w:val="24"/>
        </w:rPr>
        <w:t xml:space="preserve"> Whilst it has been established that the gambling industry is </w:t>
      </w:r>
      <w:r w:rsidRPr="00D358EC">
        <w:rPr>
          <w:rFonts w:ascii="Arial" w:hAnsi="Arial" w:cs="Arial"/>
          <w:i/>
          <w:sz w:val="24"/>
          <w:szCs w:val="24"/>
        </w:rPr>
        <w:t>‘very profitable’</w:t>
      </w:r>
      <w:sdt>
        <w:sdtPr>
          <w:rPr>
            <w:rFonts w:ascii="Arial" w:hAnsi="Arial" w:cs="Arial"/>
            <w:sz w:val="24"/>
            <w:szCs w:val="24"/>
          </w:rPr>
          <w:id w:val="5053531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\p 31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 p. 31)</w:t>
          </w:r>
          <w:r w:rsidRPr="00D358EC">
            <w:rPr>
              <w:rFonts w:ascii="Arial" w:hAnsi="Arial" w:cs="Arial"/>
              <w:noProof/>
              <w:sz w:val="24"/>
              <w:szCs w:val="24"/>
            </w:rPr>
            <w:fldChar w:fldCharType="end"/>
          </w:r>
        </w:sdtContent>
      </w:sdt>
      <w:r w:rsidRPr="00D358EC">
        <w:rPr>
          <w:rFonts w:ascii="Arial" w:hAnsi="Arial" w:cs="Arial"/>
          <w:sz w:val="24"/>
          <w:szCs w:val="24"/>
        </w:rPr>
        <w:t xml:space="preserve"> markets such as poker (online and table), bingo halls and UK greyhound based betting have suffered in recent years. Six of the largest greyhound tracks within the UK are owned by bookmakers thus expanding its monopoly.  It is noted that £2.5b is staked annually on UK greyhounds</w:t>
      </w:r>
      <w:sdt>
        <w:sdtPr>
          <w:rPr>
            <w:rFonts w:ascii="Arial" w:hAnsi="Arial" w:cs="Arial"/>
            <w:sz w:val="24"/>
            <w:szCs w:val="24"/>
          </w:rPr>
          <w:id w:val="5053531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Ano18 \l 2057 </w:instrText>
          </w:r>
          <w:r w:rsidRPr="00D358EC">
            <w:rPr>
              <w:rFonts w:ascii="Arial" w:hAnsi="Arial" w:cs="Arial"/>
              <w:sz w:val="24"/>
              <w:szCs w:val="24"/>
            </w:rPr>
            <w:fldChar w:fldCharType="separate"/>
          </w:r>
          <w:r w:rsidRPr="00D358EC">
            <w:rPr>
              <w:rFonts w:ascii="Arial" w:hAnsi="Arial" w:cs="Arial"/>
              <w:noProof/>
              <w:sz w:val="24"/>
              <w:szCs w:val="24"/>
            </w:rPr>
            <w:t xml:space="preserve"> (Anon, 2018)</w:t>
          </w:r>
          <w:r w:rsidRPr="00D358EC">
            <w:rPr>
              <w:rFonts w:ascii="Arial" w:hAnsi="Arial" w:cs="Arial"/>
              <w:noProof/>
              <w:sz w:val="24"/>
              <w:szCs w:val="24"/>
            </w:rPr>
            <w:fldChar w:fldCharType="end"/>
          </w:r>
        </w:sdtContent>
      </w:sdt>
      <w:r w:rsidRPr="00D358EC">
        <w:rPr>
          <w:rFonts w:ascii="Arial" w:hAnsi="Arial" w:cs="Arial"/>
          <w:sz w:val="24"/>
          <w:szCs w:val="24"/>
        </w:rPr>
        <w:t xml:space="preserve"> however, the average race winnings for the greyhound trainer is £100</w:t>
      </w:r>
      <w:sdt>
        <w:sdtPr>
          <w:rPr>
            <w:rFonts w:ascii="Arial" w:hAnsi="Arial" w:cs="Arial"/>
            <w:sz w:val="24"/>
            <w:szCs w:val="24"/>
          </w:rPr>
          <w:id w:val="118828249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Bna17 \l 2057 </w:instrText>
          </w:r>
          <w:r w:rsidRPr="00D358EC">
            <w:rPr>
              <w:rFonts w:ascii="Arial" w:hAnsi="Arial" w:cs="Arial"/>
              <w:sz w:val="24"/>
              <w:szCs w:val="24"/>
            </w:rPr>
            <w:fldChar w:fldCharType="separate"/>
          </w:r>
          <w:r w:rsidRPr="00D358EC">
            <w:rPr>
              <w:rFonts w:ascii="Arial" w:hAnsi="Arial" w:cs="Arial"/>
              <w:noProof/>
              <w:sz w:val="24"/>
              <w:szCs w:val="24"/>
            </w:rPr>
            <w:t xml:space="preserve"> (Banks, 2017)</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pStyle w:val="Heading2"/>
        <w:jc w:val="both"/>
        <w:rPr>
          <w:rFonts w:ascii="Arial" w:hAnsi="Arial" w:cs="Arial"/>
          <w:sz w:val="24"/>
          <w:szCs w:val="24"/>
        </w:rPr>
      </w:pPr>
      <w:bookmarkStart w:id="16" w:name="_Toc513881216"/>
      <w:r w:rsidRPr="00D358EC">
        <w:rPr>
          <w:rFonts w:ascii="Arial" w:hAnsi="Arial" w:cs="Arial"/>
          <w:sz w:val="24"/>
          <w:szCs w:val="24"/>
        </w:rPr>
        <w:t>2.5 BCG Matrix within a bookmaker</w:t>
      </w:r>
      <w:bookmarkEnd w:id="16"/>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This can be explored further in a supplementary Boston Matrix with reference to the available products that exist within a bookmaking establishment with specific reference to the placement of FOBT’s.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lastRenderedPageBreak/>
        <w:drawing>
          <wp:inline distT="0" distB="0" distL="0" distR="0">
            <wp:extent cx="5638800" cy="3248025"/>
            <wp:effectExtent l="19050" t="0" r="0" b="0"/>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638800" cy="3248025"/>
                    </a:xfrm>
                    <a:prstGeom prst="rect">
                      <a:avLst/>
                    </a:prstGeom>
                    <a:noFill/>
                    <a:ln w="9525">
                      <a:noFill/>
                      <a:miter lim="800000"/>
                      <a:headEnd/>
                      <a:tailEnd/>
                    </a:ln>
                  </pic:spPr>
                </pic:pic>
              </a:graphicData>
            </a:graphic>
          </wp:inline>
        </w:drawing>
      </w:r>
    </w:p>
    <w:p w:rsidR="000A679E" w:rsidRPr="00D358EC" w:rsidRDefault="000A679E" w:rsidP="000A679E">
      <w:pPr>
        <w:pStyle w:val="ListParagraph"/>
        <w:jc w:val="both"/>
        <w:rPr>
          <w:rFonts w:ascii="Arial" w:hAnsi="Arial" w:cs="Arial"/>
          <w:i/>
          <w:sz w:val="16"/>
          <w:szCs w:val="16"/>
        </w:rPr>
      </w:pPr>
      <w:r w:rsidRPr="00D358EC">
        <w:rPr>
          <w:rFonts w:ascii="Arial" w:hAnsi="Arial" w:cs="Arial"/>
          <w:i/>
          <w:sz w:val="16"/>
          <w:szCs w:val="16"/>
        </w:rPr>
        <w:t xml:space="preserve">Figure 3: BCG Matrix within a bookmaker. </w:t>
      </w:r>
      <w:proofErr w:type="gramStart"/>
      <w:r w:rsidRPr="00D358EC">
        <w:rPr>
          <w:rFonts w:ascii="Arial" w:hAnsi="Arial" w:cs="Arial"/>
          <w:i/>
          <w:sz w:val="16"/>
          <w:szCs w:val="16"/>
        </w:rPr>
        <w:t>Created by Steward.</w:t>
      </w:r>
      <w:proofErr w:type="gramEnd"/>
      <w:r w:rsidRPr="00D358EC">
        <w:rPr>
          <w:rFonts w:ascii="Arial" w:hAnsi="Arial" w:cs="Arial"/>
          <w:i/>
          <w:sz w:val="16"/>
          <w:szCs w:val="16"/>
        </w:rPr>
        <w:t xml:space="preserve"> Adopted from Shaw (2016)</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w:t>
      </w:r>
      <w:r w:rsidRPr="00D358EC">
        <w:rPr>
          <w:rFonts w:ascii="Arial" w:hAnsi="Arial" w:cs="Arial"/>
          <w:i/>
          <w:sz w:val="24"/>
          <w:szCs w:val="24"/>
        </w:rPr>
        <w:t>“profit powerhouse</w:t>
      </w:r>
      <w:r w:rsidRPr="00D358EC">
        <w:rPr>
          <w:rFonts w:ascii="Arial" w:hAnsi="Arial" w:cs="Arial"/>
          <w:sz w:val="24"/>
          <w:szCs w:val="24"/>
        </w:rPr>
        <w:t>” that is fixed odds betting terminals</w:t>
      </w:r>
      <w:sdt>
        <w:sdtPr>
          <w:rPr>
            <w:rFonts w:ascii="Arial" w:hAnsi="Arial" w:cs="Arial"/>
            <w:sz w:val="24"/>
            <w:szCs w:val="24"/>
          </w:rPr>
          <w:id w:val="5053810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Dav17 \t  \l 2057  </w:instrText>
          </w:r>
          <w:r w:rsidRPr="00D358EC">
            <w:rPr>
              <w:rFonts w:ascii="Arial" w:hAnsi="Arial" w:cs="Arial"/>
              <w:sz w:val="24"/>
              <w:szCs w:val="24"/>
            </w:rPr>
            <w:fldChar w:fldCharType="separate"/>
          </w:r>
          <w:r w:rsidRPr="00D358EC">
            <w:rPr>
              <w:rFonts w:ascii="Arial" w:hAnsi="Arial" w:cs="Arial"/>
              <w:noProof/>
              <w:sz w:val="24"/>
              <w:szCs w:val="24"/>
            </w:rPr>
            <w:t xml:space="preserve"> (Davies, 2017)</w:t>
          </w:r>
          <w:r w:rsidRPr="00D358EC">
            <w:rPr>
              <w:rFonts w:ascii="Arial" w:hAnsi="Arial" w:cs="Arial"/>
              <w:sz w:val="24"/>
              <w:szCs w:val="24"/>
            </w:rPr>
            <w:fldChar w:fldCharType="end"/>
          </w:r>
        </w:sdtContent>
      </w:sdt>
      <w:r w:rsidRPr="00D358EC">
        <w:rPr>
          <w:rFonts w:ascii="Arial" w:hAnsi="Arial" w:cs="Arial"/>
          <w:sz w:val="24"/>
          <w:szCs w:val="24"/>
        </w:rPr>
        <w:t xml:space="preserve">  introduce new FOBT games each week  </w:t>
      </w:r>
      <w:sdt>
        <w:sdtPr>
          <w:rPr>
            <w:rFonts w:ascii="Arial" w:hAnsi="Arial" w:cs="Arial"/>
            <w:sz w:val="24"/>
            <w:szCs w:val="24"/>
          </w:rPr>
          <w:id w:val="5053810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Gal18 \l 2057 </w:instrText>
          </w:r>
          <w:r w:rsidRPr="00D358EC">
            <w:rPr>
              <w:rFonts w:ascii="Arial" w:hAnsi="Arial" w:cs="Arial"/>
              <w:sz w:val="24"/>
              <w:szCs w:val="24"/>
            </w:rPr>
            <w:fldChar w:fldCharType="separate"/>
          </w:r>
          <w:r w:rsidRPr="00D358EC">
            <w:rPr>
              <w:rFonts w:ascii="Arial" w:hAnsi="Arial" w:cs="Arial"/>
              <w:noProof/>
              <w:sz w:val="24"/>
              <w:szCs w:val="24"/>
            </w:rPr>
            <w:t>(Coral, 2018)</w:t>
          </w:r>
          <w:r w:rsidRPr="00D358EC">
            <w:rPr>
              <w:rFonts w:ascii="Arial" w:hAnsi="Arial" w:cs="Arial"/>
              <w:sz w:val="24"/>
              <w:szCs w:val="24"/>
            </w:rPr>
            <w:fldChar w:fldCharType="end"/>
          </w:r>
        </w:sdtContent>
      </w:sdt>
      <w:r w:rsidRPr="00D358EC">
        <w:rPr>
          <w:rFonts w:ascii="Arial" w:hAnsi="Arial" w:cs="Arial"/>
          <w:sz w:val="24"/>
          <w:szCs w:val="24"/>
        </w:rPr>
        <w:t xml:space="preserve"> that other companies don’t have in order to attract new players. There are also promotions only available to machine customers in order to seem more initially attractive and attract new business. </w:t>
      </w:r>
    </w:p>
    <w:p w:rsidR="000A679E" w:rsidRPr="00D358EC" w:rsidRDefault="000A679E" w:rsidP="000A679E">
      <w:pPr>
        <w:jc w:val="both"/>
        <w:rPr>
          <w:rFonts w:ascii="Arial" w:hAnsi="Arial" w:cs="Arial"/>
          <w:sz w:val="24"/>
          <w:szCs w:val="24"/>
        </w:rPr>
      </w:pPr>
      <w:r w:rsidRPr="00D358EC">
        <w:rPr>
          <w:rFonts w:ascii="Arial" w:hAnsi="Arial" w:cs="Arial"/>
          <w:sz w:val="24"/>
          <w:szCs w:val="24"/>
        </w:rPr>
        <w:t>Dubbed the ‘</w:t>
      </w:r>
      <w:r w:rsidRPr="00D358EC">
        <w:rPr>
          <w:rFonts w:ascii="Arial" w:hAnsi="Arial" w:cs="Arial"/>
          <w:i/>
          <w:sz w:val="24"/>
          <w:szCs w:val="24"/>
        </w:rPr>
        <w:t>crack cocaine of</w:t>
      </w:r>
      <w:r w:rsidRPr="00D358EC">
        <w:rPr>
          <w:rFonts w:ascii="Arial" w:hAnsi="Arial" w:cs="Arial"/>
          <w:sz w:val="24"/>
          <w:szCs w:val="24"/>
        </w:rPr>
        <w:t xml:space="preserve"> gambling’ by various sources </w:t>
      </w:r>
      <w:sdt>
        <w:sdtPr>
          <w:rPr>
            <w:rFonts w:ascii="Arial" w:hAnsi="Arial" w:cs="Arial"/>
            <w:sz w:val="24"/>
            <w:szCs w:val="24"/>
          </w:rPr>
          <w:id w:val="38466252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Sno16 \l 2057 </w:instrText>
          </w:r>
          <w:r w:rsidRPr="00D358EC">
            <w:rPr>
              <w:rFonts w:ascii="Arial" w:hAnsi="Arial" w:cs="Arial"/>
              <w:sz w:val="24"/>
              <w:szCs w:val="24"/>
            </w:rPr>
            <w:fldChar w:fldCharType="separate"/>
          </w:r>
          <w:r w:rsidRPr="00D358EC">
            <w:rPr>
              <w:rFonts w:ascii="Arial" w:hAnsi="Arial" w:cs="Arial"/>
              <w:noProof/>
              <w:sz w:val="24"/>
              <w:szCs w:val="24"/>
            </w:rPr>
            <w:t>(Snowdon, 2016)</w:t>
          </w:r>
          <w:r w:rsidRPr="00D358EC">
            <w:rPr>
              <w:rFonts w:ascii="Arial" w:hAnsi="Arial" w:cs="Arial"/>
              <w:sz w:val="24"/>
              <w:szCs w:val="24"/>
            </w:rPr>
            <w:fldChar w:fldCharType="end"/>
          </w:r>
        </w:sdtContent>
      </w:sdt>
      <w:r w:rsidRPr="00D358EC">
        <w:rPr>
          <w:rFonts w:ascii="Arial" w:hAnsi="Arial" w:cs="Arial"/>
          <w:sz w:val="24"/>
          <w:szCs w:val="24"/>
        </w:rPr>
        <w:t>, FOBT’s take on average 3p for every £1 spent on games. In comparison, Snowden notes that the national lottery takes 50p for every £1</w:t>
      </w:r>
      <w:sdt>
        <w:sdtPr>
          <w:rPr>
            <w:rFonts w:ascii="Arial" w:hAnsi="Arial" w:cs="Arial"/>
            <w:sz w:val="24"/>
            <w:szCs w:val="24"/>
          </w:rPr>
          <w:id w:val="38466253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Sno16 \p 4 \n  \l 2057  </w:instrText>
          </w:r>
          <w:r w:rsidRPr="00D358EC">
            <w:rPr>
              <w:rFonts w:ascii="Arial" w:hAnsi="Arial" w:cs="Arial"/>
              <w:sz w:val="24"/>
              <w:szCs w:val="24"/>
            </w:rPr>
            <w:fldChar w:fldCharType="separate"/>
          </w:r>
          <w:r w:rsidRPr="00D358EC">
            <w:rPr>
              <w:rFonts w:ascii="Arial" w:hAnsi="Arial" w:cs="Arial"/>
              <w:noProof/>
              <w:sz w:val="24"/>
              <w:szCs w:val="24"/>
            </w:rPr>
            <w:t xml:space="preserve"> (2016, p. 4)</w:t>
          </w:r>
          <w:r w:rsidRPr="00D358EC">
            <w:rPr>
              <w:rFonts w:ascii="Arial" w:hAnsi="Arial" w:cs="Arial"/>
              <w:sz w:val="24"/>
              <w:szCs w:val="24"/>
            </w:rPr>
            <w:fldChar w:fldCharType="end"/>
          </w:r>
        </w:sdtContent>
      </w:sdt>
      <w:r w:rsidRPr="00D358EC">
        <w:rPr>
          <w:rFonts w:ascii="Arial" w:hAnsi="Arial" w:cs="Arial"/>
          <w:sz w:val="24"/>
          <w:szCs w:val="24"/>
        </w:rPr>
        <w:t>. FOBT’s are the most profitable aspect of the industry</w:t>
      </w:r>
      <w:sdt>
        <w:sdtPr>
          <w:rPr>
            <w:rFonts w:ascii="Arial" w:hAnsi="Arial" w:cs="Arial"/>
            <w:sz w:val="24"/>
            <w:szCs w:val="24"/>
          </w:rPr>
          <w:id w:val="5053531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Dav17 \t  \l 2057  </w:instrText>
          </w:r>
          <w:r w:rsidRPr="00D358EC">
            <w:rPr>
              <w:rFonts w:ascii="Arial" w:hAnsi="Arial" w:cs="Arial"/>
              <w:sz w:val="24"/>
              <w:szCs w:val="24"/>
            </w:rPr>
            <w:fldChar w:fldCharType="separate"/>
          </w:r>
          <w:r w:rsidRPr="00D358EC">
            <w:rPr>
              <w:rFonts w:ascii="Arial" w:hAnsi="Arial" w:cs="Arial"/>
              <w:noProof/>
              <w:sz w:val="24"/>
              <w:szCs w:val="24"/>
            </w:rPr>
            <w:t xml:space="preserve"> (Davies, 2017)</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17" w:name="_Toc513204071"/>
      <w:bookmarkStart w:id="18" w:name="_Toc513881217"/>
      <w:r w:rsidRPr="00D358EC">
        <w:rPr>
          <w:rFonts w:ascii="Arial" w:hAnsi="Arial" w:cs="Arial"/>
          <w:sz w:val="24"/>
          <w:szCs w:val="24"/>
        </w:rPr>
        <w:t>2.6 Is Gambling Harmful?</w:t>
      </w:r>
      <w:bookmarkEnd w:id="17"/>
      <w:bookmarkEnd w:id="18"/>
    </w:p>
    <w:p w:rsidR="000A679E" w:rsidRPr="00D358EC" w:rsidRDefault="000A679E" w:rsidP="000A679E">
      <w:pPr>
        <w:rPr>
          <w:rFonts w:ascii="Arial" w:hAnsi="Arial"/>
        </w:rPr>
      </w:pP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i/>
          <w:sz w:val="24"/>
          <w:szCs w:val="24"/>
        </w:rPr>
      </w:pPr>
      <w:r w:rsidRPr="00D358EC">
        <w:rPr>
          <w:rFonts w:ascii="Arial" w:hAnsi="Arial" w:cs="Arial"/>
          <w:i/>
          <w:sz w:val="24"/>
          <w:szCs w:val="24"/>
        </w:rPr>
        <w:t>“FOBT machines and internet sports event gambling are clearly identified as major factors in harmful gambling behaviour”</w:t>
      </w: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sidRPr="00D358EC">
        <w:rPr>
          <w:rFonts w:ascii="Arial" w:hAnsi="Arial" w:cs="Arial"/>
          <w:sz w:val="24"/>
          <w:szCs w:val="24"/>
        </w:rPr>
        <w:t xml:space="preserve">John (2017 </w:t>
      </w:r>
      <w:proofErr w:type="gramStart"/>
      <w:r w:rsidRPr="00D358EC">
        <w:rPr>
          <w:rFonts w:ascii="Arial" w:hAnsi="Arial" w:cs="Arial"/>
          <w:sz w:val="24"/>
          <w:szCs w:val="24"/>
        </w:rPr>
        <w:t>p.46 )</w:t>
      </w:r>
      <w:proofErr w:type="gramEnd"/>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In 1980 pathological gambling was recognised as a classified psychological disorder by the American Psychological Association </w:t>
      </w:r>
      <w:sdt>
        <w:sdtPr>
          <w:rPr>
            <w:rFonts w:ascii="Arial" w:hAnsi="Arial" w:cs="Arial"/>
            <w:sz w:val="24"/>
            <w:szCs w:val="24"/>
          </w:rPr>
          <w:id w:val="30808519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BBC01 \l 2057 </w:instrText>
          </w:r>
          <w:r w:rsidRPr="00D358EC">
            <w:rPr>
              <w:rFonts w:ascii="Arial" w:hAnsi="Arial" w:cs="Arial"/>
              <w:sz w:val="24"/>
              <w:szCs w:val="24"/>
            </w:rPr>
            <w:fldChar w:fldCharType="separate"/>
          </w:r>
          <w:r w:rsidRPr="00D358EC">
            <w:rPr>
              <w:rFonts w:ascii="Arial" w:hAnsi="Arial" w:cs="Arial"/>
              <w:noProof/>
              <w:sz w:val="24"/>
              <w:szCs w:val="24"/>
            </w:rPr>
            <w:t>(BBC, 2001)</w:t>
          </w:r>
          <w:r w:rsidRPr="00D358EC">
            <w:rPr>
              <w:rFonts w:ascii="Arial" w:hAnsi="Arial" w:cs="Arial"/>
              <w:sz w:val="24"/>
              <w:szCs w:val="24"/>
            </w:rPr>
            <w:fldChar w:fldCharType="end"/>
          </w:r>
        </w:sdtContent>
      </w:sdt>
      <w:r w:rsidRPr="00D358EC">
        <w:rPr>
          <w:rFonts w:ascii="Arial" w:hAnsi="Arial" w:cs="Arial"/>
          <w:sz w:val="24"/>
          <w:szCs w:val="24"/>
        </w:rPr>
        <w:t>. This was the first step to allow problem gamblers to get assistance from the state for their problems. The primary drawback attached to this has been noted by Gainsbury</w:t>
      </w:r>
      <w:sdt>
        <w:sdtPr>
          <w:rPr>
            <w:rFonts w:ascii="Arial" w:hAnsi="Arial" w:cs="Arial"/>
            <w:sz w:val="24"/>
            <w:szCs w:val="24"/>
          </w:rPr>
          <w:id w:val="308085196"/>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Gam16 \p 76 \n  \l 2057 </w:instrText>
          </w:r>
          <w:r w:rsidRPr="00D358EC">
            <w:rPr>
              <w:rFonts w:ascii="Arial" w:hAnsi="Arial" w:cs="Arial"/>
              <w:sz w:val="24"/>
              <w:szCs w:val="24"/>
            </w:rPr>
            <w:fldChar w:fldCharType="separate"/>
          </w:r>
          <w:r w:rsidRPr="00D358EC">
            <w:rPr>
              <w:rFonts w:ascii="Arial" w:hAnsi="Arial" w:cs="Arial"/>
              <w:noProof/>
              <w:sz w:val="24"/>
              <w:szCs w:val="24"/>
            </w:rPr>
            <w:t xml:space="preserve"> (2016, p. 76)</w:t>
          </w:r>
          <w:r w:rsidRPr="00D358EC">
            <w:rPr>
              <w:rFonts w:ascii="Arial" w:hAnsi="Arial" w:cs="Arial"/>
              <w:sz w:val="24"/>
              <w:szCs w:val="24"/>
            </w:rPr>
            <w:fldChar w:fldCharType="end"/>
          </w:r>
        </w:sdtContent>
      </w:sdt>
      <w:r w:rsidRPr="00D358EC">
        <w:rPr>
          <w:rFonts w:ascii="Arial" w:hAnsi="Arial" w:cs="Arial"/>
          <w:sz w:val="24"/>
          <w:szCs w:val="24"/>
        </w:rPr>
        <w:t xml:space="preserve"> whom explores the societal reasoning as to why </w:t>
      </w:r>
      <w:r w:rsidRPr="00D358EC">
        <w:rPr>
          <w:rFonts w:ascii="Arial" w:hAnsi="Arial" w:cs="Arial"/>
          <w:i/>
          <w:sz w:val="24"/>
          <w:szCs w:val="24"/>
        </w:rPr>
        <w:t>‘problem gambling is highly stigmatised’</w:t>
      </w:r>
      <w:r w:rsidRPr="00D358EC">
        <w:rPr>
          <w:rFonts w:ascii="Arial" w:hAnsi="Arial" w:cs="Arial"/>
          <w:sz w:val="24"/>
          <w:szCs w:val="24"/>
        </w:rPr>
        <w:t xml:space="preserve"> and as a result deters gamblers from acknowledging their difficulties. The 2005 Gambling Act was initially implemented to </w:t>
      </w:r>
      <w:r w:rsidRPr="00D358EC">
        <w:rPr>
          <w:rFonts w:ascii="Arial" w:hAnsi="Arial" w:cs="Arial"/>
          <w:i/>
          <w:sz w:val="24"/>
          <w:szCs w:val="24"/>
        </w:rPr>
        <w:t>‘satisfy, but not stimulate existing demand’</w:t>
      </w:r>
      <w:sdt>
        <w:sdtPr>
          <w:rPr>
            <w:rFonts w:ascii="Arial" w:hAnsi="Arial" w:cs="Arial"/>
            <w:sz w:val="24"/>
            <w:szCs w:val="24"/>
          </w:rPr>
          <w:id w:val="30808519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DrG06 \l 2057 </w:instrText>
          </w:r>
          <w:r w:rsidRPr="00D358EC">
            <w:rPr>
              <w:rFonts w:ascii="Arial" w:hAnsi="Arial" w:cs="Arial"/>
              <w:sz w:val="24"/>
              <w:szCs w:val="24"/>
            </w:rPr>
            <w:fldChar w:fldCharType="separate"/>
          </w:r>
          <w:r w:rsidRPr="00D358EC">
            <w:rPr>
              <w:rFonts w:ascii="Arial" w:hAnsi="Arial" w:cs="Arial"/>
              <w:noProof/>
              <w:sz w:val="24"/>
              <w:szCs w:val="24"/>
            </w:rPr>
            <w:t xml:space="preserve"> (Reith, 2006)</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Mark Griffiths is a professor and psychologist who specialises on behavioural addiction and it if his belief that FOBT’s should not be reduced as they simple allow people access to what they can already do online</w:t>
      </w:r>
      <w:sdt>
        <w:sdtPr>
          <w:rPr>
            <w:rFonts w:ascii="Arial" w:hAnsi="Arial" w:cs="Arial"/>
            <w:sz w:val="24"/>
            <w:szCs w:val="24"/>
          </w:rPr>
          <w:id w:val="5053668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Gri18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(2018)</w:t>
          </w:r>
          <w:r w:rsidRPr="00D358EC">
            <w:rPr>
              <w:rFonts w:ascii="Arial" w:hAnsi="Arial" w:cs="Arial"/>
              <w:sz w:val="24"/>
              <w:szCs w:val="24"/>
            </w:rPr>
            <w:fldChar w:fldCharType="end"/>
          </w:r>
        </w:sdtContent>
      </w:sdt>
      <w:r w:rsidRPr="00D358EC">
        <w:rPr>
          <w:rFonts w:ascii="Arial" w:hAnsi="Arial" w:cs="Arial"/>
          <w:sz w:val="24"/>
          <w:szCs w:val="24"/>
        </w:rPr>
        <w:t xml:space="preserve">. Dr Griffiths infers similar to Gainsbury in that if problem gambling is a psychological disorder that some people have a predisposition to. Griffiths highlights that the UK population gambling is on the decline </w:t>
      </w:r>
      <w:sdt>
        <w:sdtPr>
          <w:rPr>
            <w:rFonts w:ascii="Arial" w:hAnsi="Arial" w:cs="Arial"/>
            <w:sz w:val="24"/>
            <w:szCs w:val="24"/>
          </w:rPr>
          <w:id w:val="5053668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Gri15 \n  \t  \l 2057  </w:instrText>
          </w:r>
          <w:r w:rsidRPr="00D358EC">
            <w:rPr>
              <w:rFonts w:ascii="Arial" w:hAnsi="Arial" w:cs="Arial"/>
              <w:sz w:val="24"/>
              <w:szCs w:val="24"/>
            </w:rPr>
            <w:fldChar w:fldCharType="separate"/>
          </w:r>
          <w:r w:rsidRPr="00D358EC">
            <w:rPr>
              <w:rFonts w:ascii="Arial" w:hAnsi="Arial" w:cs="Arial"/>
              <w:noProof/>
              <w:sz w:val="24"/>
              <w:szCs w:val="24"/>
            </w:rPr>
            <w:t>(2015)</w:t>
          </w:r>
          <w:r w:rsidRPr="00D358EC">
            <w:rPr>
              <w:rFonts w:ascii="Arial" w:hAnsi="Arial" w:cs="Arial"/>
              <w:sz w:val="24"/>
              <w:szCs w:val="24"/>
            </w:rPr>
            <w:fldChar w:fldCharType="end"/>
          </w:r>
        </w:sdtContent>
      </w:sdt>
      <w:r w:rsidRPr="00D358EC">
        <w:rPr>
          <w:rFonts w:ascii="Arial" w:hAnsi="Arial" w:cs="Arial"/>
          <w:sz w:val="24"/>
          <w:szCs w:val="24"/>
        </w:rPr>
        <w:t xml:space="preserve"> and that the UK figures for problem gambling are considerably lower than other similarly developed nations.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A study by Professor Bev John et al </w:t>
      </w:r>
      <w:sdt>
        <w:sdtPr>
          <w:rPr>
            <w:rFonts w:ascii="Arial" w:hAnsi="Arial" w:cs="Arial"/>
            <w:sz w:val="24"/>
            <w:szCs w:val="24"/>
          </w:rPr>
          <w:id w:val="5053669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Joh17 \n  \t  \l 2057  </w:instrText>
          </w:r>
          <w:r w:rsidRPr="00D358EC">
            <w:rPr>
              <w:rFonts w:ascii="Arial" w:hAnsi="Arial" w:cs="Arial"/>
              <w:sz w:val="24"/>
              <w:szCs w:val="24"/>
            </w:rPr>
            <w:fldChar w:fldCharType="separate"/>
          </w:r>
          <w:r w:rsidRPr="00D358EC">
            <w:rPr>
              <w:rFonts w:ascii="Arial" w:hAnsi="Arial" w:cs="Arial"/>
              <w:noProof/>
              <w:sz w:val="24"/>
              <w:szCs w:val="24"/>
            </w:rPr>
            <w:t>(2017)</w:t>
          </w:r>
          <w:r w:rsidRPr="00D358EC">
            <w:rPr>
              <w:rFonts w:ascii="Arial" w:hAnsi="Arial" w:cs="Arial"/>
              <w:sz w:val="24"/>
              <w:szCs w:val="24"/>
            </w:rPr>
            <w:fldChar w:fldCharType="end"/>
          </w:r>
        </w:sdtContent>
      </w:sdt>
      <w:r w:rsidRPr="00D358EC">
        <w:rPr>
          <w:rFonts w:ascii="Arial" w:hAnsi="Arial" w:cs="Arial"/>
          <w:sz w:val="24"/>
          <w:szCs w:val="24"/>
        </w:rPr>
        <w:t xml:space="preserve"> on the societal impact of problem gambling in Wales concluded </w:t>
      </w:r>
      <w:r w:rsidRPr="00D358EC">
        <w:rPr>
          <w:rFonts w:ascii="Arial" w:hAnsi="Arial" w:cs="Arial"/>
          <w:i/>
          <w:sz w:val="24"/>
          <w:szCs w:val="24"/>
        </w:rPr>
        <w:t>that ‘FOBT machines and internet sports’ event gambling are clearly identified as major factors in harmful gambling behaviour’</w:t>
      </w:r>
      <w:sdt>
        <w:sdtPr>
          <w:rPr>
            <w:rFonts w:ascii="Arial" w:hAnsi="Arial" w:cs="Arial"/>
            <w:i/>
            <w:sz w:val="24"/>
            <w:szCs w:val="24"/>
          </w:rPr>
          <w:id w:val="2948626"/>
          <w:citation/>
        </w:sdtPr>
        <w:sdtContent>
          <w:r>
            <w:rPr>
              <w:rFonts w:ascii="Arial" w:hAnsi="Arial" w:cs="Arial"/>
              <w:i/>
              <w:sz w:val="24"/>
              <w:szCs w:val="24"/>
            </w:rPr>
            <w:fldChar w:fldCharType="begin"/>
          </w:r>
          <w:r>
            <w:rPr>
              <w:rFonts w:ascii="Arial" w:hAnsi="Arial" w:cs="Arial"/>
              <w:i/>
              <w:sz w:val="24"/>
              <w:szCs w:val="24"/>
            </w:rPr>
            <w:instrText xml:space="preserve"> CITATION Joh17 \p 6 \n  \y  \l 2057  </w:instrText>
          </w:r>
          <w:r>
            <w:rPr>
              <w:rFonts w:ascii="Arial" w:hAnsi="Arial" w:cs="Arial"/>
              <w:i/>
              <w:sz w:val="24"/>
              <w:szCs w:val="24"/>
            </w:rPr>
            <w:fldChar w:fldCharType="separate"/>
          </w:r>
          <w:r>
            <w:rPr>
              <w:rFonts w:ascii="Arial" w:hAnsi="Arial" w:cs="Arial"/>
              <w:i/>
              <w:noProof/>
              <w:sz w:val="24"/>
              <w:szCs w:val="24"/>
            </w:rPr>
            <w:t xml:space="preserve"> </w:t>
          </w:r>
          <w:r w:rsidRPr="00C655B0">
            <w:rPr>
              <w:rFonts w:ascii="Arial" w:hAnsi="Arial" w:cs="Arial"/>
              <w:noProof/>
              <w:sz w:val="24"/>
              <w:szCs w:val="24"/>
            </w:rPr>
            <w:t>(p. 6)</w:t>
          </w:r>
          <w:r>
            <w:rPr>
              <w:rFonts w:ascii="Arial" w:hAnsi="Arial" w:cs="Arial"/>
              <w:i/>
              <w:sz w:val="24"/>
              <w:szCs w:val="24"/>
            </w:rPr>
            <w:fldChar w:fldCharType="end"/>
          </w:r>
        </w:sdtContent>
      </w:sdt>
      <w:r w:rsidRPr="00D358EC">
        <w:rPr>
          <w:rFonts w:ascii="Arial" w:hAnsi="Arial" w:cs="Arial"/>
          <w:sz w:val="24"/>
          <w:szCs w:val="24"/>
        </w:rPr>
        <w:t xml:space="preserve">. John et al inform that FOBT machines should be more heavily regulated and as a direct result there would be less problem gamblers in society. </w:t>
      </w:r>
    </w:p>
    <w:p w:rsidR="000A679E" w:rsidRPr="00D358EC" w:rsidRDefault="000A679E" w:rsidP="000A679E">
      <w:pPr>
        <w:jc w:val="both"/>
        <w:rPr>
          <w:rFonts w:ascii="Arial" w:hAnsi="Arial" w:cs="Arial"/>
          <w:sz w:val="24"/>
          <w:szCs w:val="24"/>
        </w:rPr>
      </w:pPr>
      <w:r w:rsidRPr="00D358EC">
        <w:rPr>
          <w:rFonts w:ascii="Arial" w:hAnsi="Arial" w:cs="Arial"/>
          <w:sz w:val="24"/>
          <w:szCs w:val="24"/>
        </w:rPr>
        <w:t>It has been established that certain types of games that have greater associated with problem gambling than others</w:t>
      </w:r>
      <w:sdt>
        <w:sdtPr>
          <w:rPr>
            <w:rFonts w:ascii="Arial" w:hAnsi="Arial" w:cs="Arial"/>
            <w:sz w:val="24"/>
            <w:szCs w:val="24"/>
          </w:rPr>
          <w:id w:val="-112484553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Gam16 \l 2057 </w:instrText>
          </w:r>
          <w:r w:rsidRPr="00D358EC">
            <w:rPr>
              <w:rFonts w:ascii="Arial" w:hAnsi="Arial" w:cs="Arial"/>
              <w:sz w:val="24"/>
              <w:szCs w:val="24"/>
            </w:rPr>
            <w:fldChar w:fldCharType="separate"/>
          </w:r>
          <w:r w:rsidRPr="00D358EC">
            <w:rPr>
              <w:rFonts w:ascii="Arial" w:hAnsi="Arial" w:cs="Arial"/>
              <w:noProof/>
              <w:sz w:val="24"/>
              <w:szCs w:val="24"/>
            </w:rPr>
            <w:t xml:space="preserve"> (Gainsbury, 2016)</w:t>
          </w:r>
          <w:r w:rsidRPr="00D358EC">
            <w:rPr>
              <w:rFonts w:ascii="Arial" w:hAnsi="Arial" w:cs="Arial"/>
              <w:sz w:val="24"/>
              <w:szCs w:val="24"/>
            </w:rPr>
            <w:fldChar w:fldCharType="end"/>
          </w:r>
        </w:sdtContent>
      </w:sdt>
      <w:r w:rsidRPr="00D358EC">
        <w:rPr>
          <w:rFonts w:ascii="Arial" w:hAnsi="Arial" w:cs="Arial"/>
          <w:sz w:val="24"/>
          <w:szCs w:val="24"/>
        </w:rPr>
        <w:t>. Specifically, the characteristics within a game that is more appealing such as quick wins and bonus features</w:t>
      </w:r>
      <w:sdt>
        <w:sdtPr>
          <w:rPr>
            <w:rFonts w:ascii="Arial" w:hAnsi="Arial" w:cs="Arial"/>
            <w:sz w:val="24"/>
            <w:szCs w:val="24"/>
          </w:rPr>
          <w:id w:val="30808519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Fab14 \l 2057 </w:instrText>
          </w:r>
          <w:r w:rsidRPr="00D358EC">
            <w:rPr>
              <w:rFonts w:ascii="Arial" w:hAnsi="Arial" w:cs="Arial"/>
              <w:sz w:val="24"/>
              <w:szCs w:val="24"/>
            </w:rPr>
            <w:fldChar w:fldCharType="separate"/>
          </w:r>
          <w:r w:rsidRPr="00D358EC">
            <w:rPr>
              <w:rFonts w:ascii="Arial" w:hAnsi="Arial" w:cs="Arial"/>
              <w:noProof/>
              <w:sz w:val="24"/>
              <w:szCs w:val="24"/>
            </w:rPr>
            <w:t xml:space="preserve"> (Fabricatore, 2014)</w:t>
          </w:r>
          <w:r w:rsidRPr="00D358EC">
            <w:rPr>
              <w:rFonts w:ascii="Arial" w:hAnsi="Arial" w:cs="Arial"/>
              <w:sz w:val="24"/>
              <w:szCs w:val="24"/>
            </w:rPr>
            <w:fldChar w:fldCharType="end"/>
          </w:r>
        </w:sdtContent>
      </w:sdt>
      <w:r w:rsidRPr="00D358EC">
        <w:rPr>
          <w:rFonts w:ascii="Arial" w:hAnsi="Arial" w:cs="Arial"/>
          <w:sz w:val="24"/>
          <w:szCs w:val="24"/>
        </w:rPr>
        <w:t>. This idea has been explored further with Dr Mark Griffiths indicating there are three types of problem gamblers all of whom experience the same common factors such availability and access as the driving factors being problem gambling</w:t>
      </w:r>
      <w:sdt>
        <w:sdtPr>
          <w:rPr>
            <w:rFonts w:ascii="Arial" w:hAnsi="Arial" w:cs="Arial"/>
            <w:sz w:val="24"/>
            <w:szCs w:val="24"/>
          </w:rPr>
          <w:id w:val="5053668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Gri15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(2015)</w:t>
          </w:r>
          <w:r w:rsidRPr="00D358EC">
            <w:rPr>
              <w:rFonts w:ascii="Arial" w:hAnsi="Arial" w:cs="Arial"/>
              <w:sz w:val="24"/>
              <w:szCs w:val="24"/>
            </w:rPr>
            <w:fldChar w:fldCharType="end"/>
          </w:r>
        </w:sdtContent>
      </w:sdt>
      <w:r w:rsidRPr="00D358EC">
        <w:rPr>
          <w:rFonts w:ascii="Arial" w:hAnsi="Arial" w:cs="Arial"/>
          <w:sz w:val="24"/>
          <w:szCs w:val="24"/>
        </w:rPr>
        <w:t>. Specifically, Fabricatore looks at the important of game play and interaction as the key fundamentals to an appealing FOBT game.  It can be assumed therefore, that in order to facilitate the ever changing wants and needs of a modern gambler; bookmakers have needed to extend their products to cater to a wider range of player</w:t>
      </w:r>
      <w:sdt>
        <w:sdtPr>
          <w:rPr>
            <w:rFonts w:ascii="Arial" w:hAnsi="Arial" w:cs="Arial"/>
            <w:sz w:val="24"/>
            <w:szCs w:val="24"/>
          </w:rPr>
          <w:id w:val="5053811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Sno16 \l 2057 </w:instrText>
          </w:r>
          <w:r w:rsidRPr="00D358EC">
            <w:rPr>
              <w:rFonts w:ascii="Arial" w:hAnsi="Arial" w:cs="Arial"/>
              <w:sz w:val="24"/>
              <w:szCs w:val="24"/>
            </w:rPr>
            <w:fldChar w:fldCharType="separate"/>
          </w:r>
          <w:r w:rsidRPr="00D358EC">
            <w:rPr>
              <w:rFonts w:ascii="Arial" w:hAnsi="Arial" w:cs="Arial"/>
              <w:noProof/>
              <w:sz w:val="24"/>
              <w:szCs w:val="24"/>
            </w:rPr>
            <w:t xml:space="preserve"> (Snowdon, 2016)</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19" w:name="_Toc513204072"/>
      <w:bookmarkStart w:id="20" w:name="_Toc513881218"/>
      <w:r w:rsidRPr="00D358EC">
        <w:rPr>
          <w:rFonts w:ascii="Arial" w:hAnsi="Arial" w:cs="Arial"/>
          <w:sz w:val="24"/>
          <w:szCs w:val="24"/>
        </w:rPr>
        <w:t>2.7 Association of British Bookmakers Stance</w:t>
      </w:r>
      <w:bookmarkEnd w:id="19"/>
      <w:bookmarkEnd w:id="20"/>
    </w:p>
    <w:p w:rsidR="000A679E" w:rsidRPr="00D358EC" w:rsidRDefault="000A679E" w:rsidP="000A679E">
      <w:pPr>
        <w:jc w:val="both"/>
        <w:rPr>
          <w:rFonts w:ascii="Arial" w:hAnsi="Arial" w:cs="Arial"/>
          <w:sz w:val="24"/>
          <w:szCs w:val="24"/>
        </w:rPr>
      </w:pPr>
      <w:r w:rsidRPr="00D358EC">
        <w:rPr>
          <w:rFonts w:ascii="Arial" w:hAnsi="Arial" w:cs="Arial"/>
          <w:sz w:val="24"/>
          <w:szCs w:val="24"/>
        </w:rPr>
        <w:t>The ABB state that with the reduction of the maximum allowed stake currently allowed on FOBT’s, from its current threshold of £100 to a lower value, would directly result in 4500 shop closures by 2020</w:t>
      </w:r>
      <w:sdt>
        <w:sdtPr>
          <w:rPr>
            <w:rFonts w:ascii="Arial" w:hAnsi="Arial" w:cs="Arial"/>
            <w:sz w:val="24"/>
            <w:szCs w:val="24"/>
          </w:rPr>
          <w:id w:val="-1477680005"/>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Ger18 \t  \l 2057 </w:instrText>
          </w:r>
          <w:r w:rsidRPr="00D358EC">
            <w:rPr>
              <w:rFonts w:ascii="Arial" w:hAnsi="Arial" w:cs="Arial"/>
              <w:sz w:val="24"/>
              <w:szCs w:val="24"/>
            </w:rPr>
            <w:fldChar w:fldCharType="separate"/>
          </w:r>
          <w:r w:rsidRPr="00D358EC">
            <w:rPr>
              <w:rFonts w:ascii="Arial" w:hAnsi="Arial" w:cs="Arial"/>
              <w:noProof/>
              <w:sz w:val="24"/>
              <w:szCs w:val="24"/>
            </w:rPr>
            <w:t xml:space="preserve"> (Gerrard, 2018)</w:t>
          </w:r>
          <w:r w:rsidRPr="00D358EC">
            <w:rPr>
              <w:rFonts w:ascii="Arial" w:hAnsi="Arial" w:cs="Arial"/>
              <w:sz w:val="24"/>
              <w:szCs w:val="24"/>
            </w:rPr>
            <w:fldChar w:fldCharType="end"/>
          </w:r>
        </w:sdtContent>
      </w:sdt>
      <w:r w:rsidRPr="00D358EC">
        <w:rPr>
          <w:rFonts w:ascii="Arial" w:hAnsi="Arial" w:cs="Arial"/>
          <w:sz w:val="24"/>
          <w:szCs w:val="24"/>
        </w:rPr>
        <w:t xml:space="preserve"> and that the 21000 job losses this would cause would have a negative correlation towards unemployment figures</w:t>
      </w:r>
      <w:sdt>
        <w:sdtPr>
          <w:rPr>
            <w:rFonts w:ascii="Arial" w:hAnsi="Arial" w:cs="Arial"/>
            <w:sz w:val="24"/>
            <w:szCs w:val="24"/>
          </w:rPr>
          <w:id w:val="5053531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Str18 \l 2057 </w:instrText>
          </w:r>
          <w:r w:rsidRPr="00D358EC">
            <w:rPr>
              <w:rFonts w:ascii="Arial" w:hAnsi="Arial" w:cs="Arial"/>
              <w:sz w:val="24"/>
              <w:szCs w:val="24"/>
            </w:rPr>
            <w:fldChar w:fldCharType="separate"/>
          </w:r>
          <w:r w:rsidRPr="00D358EC">
            <w:rPr>
              <w:rFonts w:ascii="Arial" w:hAnsi="Arial" w:cs="Arial"/>
              <w:noProof/>
              <w:sz w:val="24"/>
              <w:szCs w:val="24"/>
            </w:rPr>
            <w:t xml:space="preserve"> (Streeter, 2018)</w:t>
          </w:r>
          <w:r w:rsidRPr="00D358EC">
            <w:rPr>
              <w:rFonts w:ascii="Arial" w:hAnsi="Arial" w:cs="Arial"/>
              <w:sz w:val="24"/>
              <w:szCs w:val="24"/>
            </w:rPr>
            <w:fldChar w:fldCharType="end"/>
          </w:r>
        </w:sdtContent>
      </w:sdt>
      <w:r w:rsidRPr="00D358EC">
        <w:rPr>
          <w:rFonts w:ascii="Arial" w:hAnsi="Arial" w:cs="Arial"/>
          <w:sz w:val="24"/>
          <w:szCs w:val="24"/>
        </w:rPr>
        <w:t>. The ABB also affirm that the UK government itself would miss out on £1.1bn in tax revenue if the reduction in stake is to go ahead</w:t>
      </w:r>
      <w:sdt>
        <w:sdtPr>
          <w:rPr>
            <w:rFonts w:ascii="Arial" w:hAnsi="Arial" w:cs="Arial"/>
            <w:sz w:val="24"/>
            <w:szCs w:val="24"/>
          </w:rPr>
          <w:id w:val="-102663577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ABB17 \l 2057 </w:instrText>
          </w:r>
          <w:r w:rsidRPr="00D358EC">
            <w:rPr>
              <w:rFonts w:ascii="Arial" w:hAnsi="Arial" w:cs="Arial"/>
              <w:sz w:val="24"/>
              <w:szCs w:val="24"/>
            </w:rPr>
            <w:fldChar w:fldCharType="separate"/>
          </w:r>
          <w:r w:rsidRPr="00D358EC">
            <w:rPr>
              <w:rFonts w:ascii="Arial" w:hAnsi="Arial" w:cs="Arial"/>
              <w:noProof/>
              <w:sz w:val="24"/>
              <w:szCs w:val="24"/>
            </w:rPr>
            <w:t xml:space="preserve"> (ABB, 2017)</w:t>
          </w:r>
          <w:r w:rsidRPr="00D358EC">
            <w:rPr>
              <w:rFonts w:ascii="Arial" w:hAnsi="Arial" w:cs="Arial"/>
              <w:sz w:val="24"/>
              <w:szCs w:val="24"/>
            </w:rPr>
            <w:fldChar w:fldCharType="end"/>
          </w:r>
        </w:sdtContent>
      </w:sdt>
      <w:r w:rsidRPr="00D358EC">
        <w:rPr>
          <w:rFonts w:ascii="Arial" w:hAnsi="Arial" w:cs="Arial"/>
          <w:sz w:val="24"/>
          <w:szCs w:val="24"/>
        </w:rPr>
        <w:t>. The UK government currently spends up to £1.2bn a year in problem gambling costs</w:t>
      </w:r>
      <w:sdt>
        <w:sdtPr>
          <w:rPr>
            <w:rFonts w:ascii="Arial" w:hAnsi="Arial" w:cs="Arial"/>
            <w:sz w:val="24"/>
            <w:szCs w:val="24"/>
          </w:rPr>
          <w:id w:val="5053669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NHS16 \l 2057 </w:instrText>
          </w:r>
          <w:r w:rsidRPr="00D358EC">
            <w:rPr>
              <w:rFonts w:ascii="Arial" w:hAnsi="Arial" w:cs="Arial"/>
              <w:sz w:val="24"/>
              <w:szCs w:val="24"/>
            </w:rPr>
            <w:fldChar w:fldCharType="separate"/>
          </w:r>
          <w:r w:rsidRPr="00D358EC">
            <w:rPr>
              <w:rFonts w:ascii="Arial" w:hAnsi="Arial" w:cs="Arial"/>
              <w:noProof/>
              <w:sz w:val="24"/>
              <w:szCs w:val="24"/>
            </w:rPr>
            <w:t xml:space="preserve"> (NHS, 2016)</w:t>
          </w:r>
          <w:r w:rsidRPr="00D358EC">
            <w:rPr>
              <w:rFonts w:ascii="Arial" w:hAnsi="Arial" w:cs="Arial"/>
              <w:sz w:val="24"/>
              <w:szCs w:val="24"/>
            </w:rPr>
            <w:fldChar w:fldCharType="end"/>
          </w:r>
        </w:sdtContent>
      </w:sdt>
      <w:r w:rsidRPr="00D358EC">
        <w:rPr>
          <w:rFonts w:ascii="Arial" w:hAnsi="Arial" w:cs="Arial"/>
          <w:sz w:val="24"/>
          <w:szCs w:val="24"/>
        </w:rPr>
        <w:t xml:space="preserve"> and fixed odds betting terminals have been directly implicated in encouraging irresponsible gambling</w:t>
      </w:r>
      <w:sdt>
        <w:sdtPr>
          <w:rPr>
            <w:rFonts w:ascii="Arial" w:hAnsi="Arial" w:cs="Arial"/>
            <w:sz w:val="24"/>
            <w:szCs w:val="24"/>
          </w:rPr>
          <w:id w:val="5053532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Tho16 \l 2057 </w:instrText>
          </w:r>
          <w:r w:rsidRPr="00D358EC">
            <w:rPr>
              <w:rFonts w:ascii="Arial" w:hAnsi="Arial" w:cs="Arial"/>
              <w:sz w:val="24"/>
              <w:szCs w:val="24"/>
            </w:rPr>
            <w:fldChar w:fldCharType="separate"/>
          </w:r>
          <w:r w:rsidRPr="00D358EC">
            <w:rPr>
              <w:rFonts w:ascii="Arial" w:hAnsi="Arial" w:cs="Arial"/>
              <w:noProof/>
              <w:sz w:val="24"/>
              <w:szCs w:val="24"/>
            </w:rPr>
            <w:t xml:space="preserve"> (Thorley, Stirling, &amp; Huynh, 2016)</w:t>
          </w:r>
          <w:r w:rsidRPr="00D358EC">
            <w:rPr>
              <w:rFonts w:ascii="Arial" w:hAnsi="Arial" w:cs="Arial"/>
              <w:sz w:val="24"/>
              <w:szCs w:val="24"/>
            </w:rPr>
            <w:fldChar w:fldCharType="end"/>
          </w:r>
        </w:sdtContent>
      </w:sdt>
      <w:r w:rsidRPr="00D358EC">
        <w:rPr>
          <w:rFonts w:ascii="Arial" w:hAnsi="Arial" w:cs="Arial"/>
          <w:sz w:val="24"/>
          <w:szCs w:val="24"/>
        </w:rPr>
        <w:t>. It is interesting to note that in the last four years, as the government tax revenue from FOBT’s has sharply increased</w:t>
      </w:r>
      <w:sdt>
        <w:sdtPr>
          <w:rPr>
            <w:rFonts w:ascii="Arial" w:hAnsi="Arial" w:cs="Arial"/>
            <w:sz w:val="24"/>
            <w:szCs w:val="24"/>
          </w:rPr>
          <w:id w:val="5053669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Dav17 \l 2057 </w:instrText>
          </w:r>
          <w:r w:rsidRPr="00D358EC">
            <w:rPr>
              <w:rFonts w:ascii="Arial" w:hAnsi="Arial" w:cs="Arial"/>
              <w:sz w:val="24"/>
              <w:szCs w:val="24"/>
            </w:rPr>
            <w:fldChar w:fldCharType="separate"/>
          </w:r>
          <w:r w:rsidRPr="00D358EC">
            <w:rPr>
              <w:rFonts w:ascii="Arial" w:hAnsi="Arial" w:cs="Arial"/>
              <w:noProof/>
              <w:sz w:val="24"/>
              <w:szCs w:val="24"/>
            </w:rPr>
            <w:t xml:space="preserve"> (Davies, uk-gamblers-fobt-dcms-losses, 2017)</w:t>
          </w:r>
          <w:r w:rsidRPr="00D358EC">
            <w:rPr>
              <w:rFonts w:ascii="Arial" w:hAnsi="Arial" w:cs="Arial"/>
              <w:sz w:val="24"/>
              <w:szCs w:val="24"/>
            </w:rPr>
            <w:fldChar w:fldCharType="end"/>
          </w:r>
        </w:sdtContent>
      </w:sdt>
      <w:r w:rsidRPr="00D358EC">
        <w:rPr>
          <w:rFonts w:ascii="Arial" w:hAnsi="Arial" w:cs="Arial"/>
          <w:sz w:val="24"/>
          <w:szCs w:val="24"/>
        </w:rPr>
        <w:t>, so has the money spent on helping problem gamblers</w:t>
      </w:r>
      <w:sdt>
        <w:sdtPr>
          <w:rPr>
            <w:rFonts w:ascii="Arial" w:hAnsi="Arial" w:cs="Arial"/>
            <w:sz w:val="24"/>
            <w:szCs w:val="24"/>
          </w:rPr>
          <w:id w:val="5053532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Ger17 \l 2057 </w:instrText>
          </w:r>
          <w:r w:rsidRPr="00D358EC">
            <w:rPr>
              <w:rFonts w:ascii="Arial" w:hAnsi="Arial" w:cs="Arial"/>
              <w:sz w:val="24"/>
              <w:szCs w:val="24"/>
            </w:rPr>
            <w:fldChar w:fldCharType="separate"/>
          </w:r>
          <w:r w:rsidRPr="00D358EC">
            <w:rPr>
              <w:rFonts w:ascii="Arial" w:hAnsi="Arial" w:cs="Arial"/>
              <w:noProof/>
              <w:sz w:val="24"/>
              <w:szCs w:val="24"/>
            </w:rPr>
            <w:t xml:space="preserve"> (Gerrard, High stakes as Government targets problem gambling, 2017)</w:t>
          </w:r>
          <w:r w:rsidRPr="00D358EC">
            <w:rPr>
              <w:rFonts w:ascii="Arial" w:hAnsi="Arial" w:cs="Arial"/>
              <w:sz w:val="24"/>
              <w:szCs w:val="24"/>
            </w:rPr>
            <w:fldChar w:fldCharType="end"/>
          </w:r>
        </w:sdtContent>
      </w:sdt>
      <w:r w:rsidRPr="00D358EC">
        <w:rPr>
          <w:rFonts w:ascii="Arial" w:hAnsi="Arial" w:cs="Arial"/>
          <w:sz w:val="24"/>
          <w:szCs w:val="24"/>
        </w:rPr>
        <w:t>. By reducing the maximum allowed stake and subsequently minimising the fiscal loss for those deemed at risk gamblers, this would ultimately give them more protection.</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21" w:name="_Toc513204073"/>
      <w:bookmarkStart w:id="22" w:name="_Toc513881219"/>
      <w:r w:rsidRPr="00D358EC">
        <w:rPr>
          <w:rFonts w:ascii="Arial" w:hAnsi="Arial" w:cs="Arial"/>
          <w:sz w:val="24"/>
          <w:szCs w:val="24"/>
        </w:rPr>
        <w:t>2.8 Profit or Purpose</w:t>
      </w:r>
      <w:bookmarkEnd w:id="21"/>
      <w:bookmarkEnd w:id="22"/>
    </w:p>
    <w:p w:rsidR="000A679E" w:rsidRPr="00D358EC" w:rsidRDefault="000A679E" w:rsidP="000A679E">
      <w:pPr>
        <w:jc w:val="both"/>
        <w:rPr>
          <w:rFonts w:ascii="Arial" w:hAnsi="Arial" w:cs="Arial"/>
          <w:sz w:val="24"/>
          <w:szCs w:val="24"/>
        </w:rPr>
      </w:pPr>
      <w:r w:rsidRPr="00D358EC">
        <w:rPr>
          <w:rFonts w:ascii="Arial" w:hAnsi="Arial" w:cs="Arial"/>
          <w:sz w:val="24"/>
          <w:szCs w:val="24"/>
        </w:rPr>
        <w:t>Businesses exist to make profit or serve a purpose</w:t>
      </w:r>
      <w:sdt>
        <w:sdtPr>
          <w:rPr>
            <w:rFonts w:ascii="Arial" w:hAnsi="Arial" w:cs="Arial"/>
            <w:sz w:val="24"/>
            <w:szCs w:val="24"/>
          </w:rPr>
          <w:id w:val="50535326"/>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Fre84 \l 2057 </w:instrText>
          </w:r>
          <w:r w:rsidRPr="00D358EC">
            <w:rPr>
              <w:rFonts w:ascii="Arial" w:hAnsi="Arial" w:cs="Arial"/>
              <w:sz w:val="24"/>
              <w:szCs w:val="24"/>
            </w:rPr>
            <w:fldChar w:fldCharType="separate"/>
          </w:r>
          <w:r w:rsidRPr="00D358EC">
            <w:rPr>
              <w:rFonts w:ascii="Arial" w:hAnsi="Arial" w:cs="Arial"/>
              <w:noProof/>
              <w:sz w:val="24"/>
              <w:szCs w:val="24"/>
            </w:rPr>
            <w:t xml:space="preserve"> (Friedman, 1970)</w:t>
          </w:r>
          <w:r w:rsidRPr="00D358EC">
            <w:rPr>
              <w:rFonts w:ascii="Arial" w:hAnsi="Arial" w:cs="Arial"/>
              <w:noProof/>
              <w:sz w:val="24"/>
              <w:szCs w:val="24"/>
            </w:rPr>
            <w:fldChar w:fldCharType="end"/>
          </w:r>
        </w:sdtContent>
      </w:sdt>
      <w:r w:rsidRPr="00D358EC">
        <w:rPr>
          <w:rFonts w:ascii="Arial" w:hAnsi="Arial" w:cs="Arial"/>
          <w:sz w:val="24"/>
          <w:szCs w:val="24"/>
        </w:rPr>
        <w:t>. Friedman believed the primary responsibility of business is to increase profit. This can be broken down to incorporate a company’s desired profit levels, and as a natural result, everything else will naturally fit into place</w:t>
      </w:r>
      <w:sdt>
        <w:sdtPr>
          <w:rPr>
            <w:rFonts w:ascii="Arial" w:hAnsi="Arial" w:cs="Arial"/>
            <w:sz w:val="24"/>
            <w:szCs w:val="24"/>
          </w:rPr>
          <w:id w:val="5053532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Mit83 \l 2057 </w:instrText>
          </w:r>
          <w:r w:rsidRPr="00D358EC">
            <w:rPr>
              <w:rFonts w:ascii="Arial" w:hAnsi="Arial" w:cs="Arial"/>
              <w:sz w:val="24"/>
              <w:szCs w:val="24"/>
            </w:rPr>
            <w:fldChar w:fldCharType="separate"/>
          </w:r>
          <w:r w:rsidRPr="00D358EC">
            <w:rPr>
              <w:rFonts w:ascii="Arial" w:hAnsi="Arial" w:cs="Arial"/>
              <w:noProof/>
              <w:sz w:val="24"/>
              <w:szCs w:val="24"/>
            </w:rPr>
            <w:t xml:space="preserve"> (Mitroff, 1983)</w:t>
          </w:r>
          <w:r w:rsidRPr="00D358EC">
            <w:rPr>
              <w:rFonts w:ascii="Arial" w:hAnsi="Arial" w:cs="Arial"/>
              <w:noProof/>
              <w:sz w:val="24"/>
              <w:szCs w:val="24"/>
            </w:rPr>
            <w:fldChar w:fldCharType="end"/>
          </w:r>
        </w:sdtContent>
      </w:sdt>
      <w:r w:rsidRPr="00D358EC">
        <w:rPr>
          <w:rFonts w:ascii="Arial" w:hAnsi="Arial" w:cs="Arial"/>
          <w:sz w:val="24"/>
          <w:szCs w:val="24"/>
        </w:rPr>
        <w:t xml:space="preserve">. Strauss </w:t>
      </w:r>
      <w:sdt>
        <w:sdtPr>
          <w:rPr>
            <w:rFonts w:ascii="Arial" w:hAnsi="Arial" w:cs="Arial"/>
            <w:sz w:val="24"/>
            <w:szCs w:val="24"/>
          </w:rPr>
          <w:id w:val="15420091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Str15 \n  \t  \l 2057  </w:instrText>
          </w:r>
          <w:r w:rsidRPr="00D358EC">
            <w:rPr>
              <w:rFonts w:ascii="Arial" w:hAnsi="Arial" w:cs="Arial"/>
              <w:sz w:val="24"/>
              <w:szCs w:val="24"/>
            </w:rPr>
            <w:fldChar w:fldCharType="separate"/>
          </w:r>
          <w:r w:rsidRPr="00D358EC">
            <w:rPr>
              <w:rFonts w:ascii="Arial" w:hAnsi="Arial" w:cs="Arial"/>
              <w:noProof/>
              <w:sz w:val="24"/>
              <w:szCs w:val="24"/>
            </w:rPr>
            <w:t>(2015)</w:t>
          </w:r>
          <w:r w:rsidRPr="00D358EC">
            <w:rPr>
              <w:rFonts w:ascii="Arial" w:hAnsi="Arial" w:cs="Arial"/>
              <w:sz w:val="24"/>
              <w:szCs w:val="24"/>
            </w:rPr>
            <w:fldChar w:fldCharType="end"/>
          </w:r>
        </w:sdtContent>
      </w:sdt>
      <w:r w:rsidRPr="00D358EC">
        <w:rPr>
          <w:rFonts w:ascii="Arial" w:hAnsi="Arial" w:cs="Arial"/>
          <w:sz w:val="24"/>
          <w:szCs w:val="24"/>
        </w:rPr>
        <w:t xml:space="preserve"> claims that this theory can no longer be applied to the modern business era. Profit is no longer the mitigating factor and as a result, it is the purpose of the business that should be explored</w:t>
      </w:r>
      <w:sdt>
        <w:sdtPr>
          <w:rPr>
            <w:rFonts w:ascii="Arial" w:hAnsi="Arial" w:cs="Arial"/>
            <w:sz w:val="24"/>
            <w:szCs w:val="24"/>
          </w:rPr>
          <w:id w:val="5053532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Pal05 \l 2057 </w:instrText>
          </w:r>
          <w:r w:rsidRPr="00D358EC">
            <w:rPr>
              <w:rFonts w:ascii="Arial" w:hAnsi="Arial" w:cs="Arial"/>
              <w:sz w:val="24"/>
              <w:szCs w:val="24"/>
            </w:rPr>
            <w:fldChar w:fldCharType="separate"/>
          </w:r>
          <w:r w:rsidRPr="00D358EC">
            <w:rPr>
              <w:rFonts w:ascii="Arial" w:hAnsi="Arial" w:cs="Arial"/>
              <w:noProof/>
              <w:sz w:val="24"/>
              <w:szCs w:val="24"/>
            </w:rPr>
            <w:t xml:space="preserve"> (Palazzo &amp; Richter, 2005)</w:t>
          </w:r>
          <w:r w:rsidRPr="00D358EC">
            <w:rPr>
              <w:rFonts w:ascii="Arial" w:hAnsi="Arial" w:cs="Arial"/>
              <w:noProof/>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t>CSR is not a mandated law but an ethos that if as a company something can be done, then there is a responsibility to do it</w:t>
      </w:r>
      <w:sdt>
        <w:sdtPr>
          <w:rPr>
            <w:rFonts w:ascii="Arial" w:hAnsi="Arial" w:cs="Arial"/>
            <w:sz w:val="24"/>
            <w:szCs w:val="24"/>
          </w:rPr>
          <w:id w:val="15420091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xml:space="preserve">. As modern society becomes more ecologically and sustainability minded, it is a fundamental aspect of business that can no longer be overlooked for the traditional mindset of profit over purpose.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23" w:name="_Toc513881220"/>
      <w:bookmarkStart w:id="24" w:name="_Toc513204074"/>
      <w:r w:rsidRPr="00D358EC">
        <w:rPr>
          <w:rFonts w:ascii="Arial" w:hAnsi="Arial" w:cs="Arial"/>
          <w:sz w:val="24"/>
          <w:szCs w:val="24"/>
        </w:rPr>
        <w:t>2.9 Stockholder Theory</w:t>
      </w:r>
      <w:bookmarkEnd w:id="23"/>
    </w:p>
    <w:bookmarkEnd w:id="24"/>
    <w:p w:rsidR="000A679E" w:rsidRPr="00D358EC" w:rsidRDefault="000A679E" w:rsidP="000A679E">
      <w:pPr>
        <w:pStyle w:val="Heading2"/>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There are two main normative ethical theories – Friedman and Freeman. The former, the only responsibility of business is a fiduciary one, to make money for the owners and or stockholders as the solo priority of the business</w:t>
      </w:r>
      <w:sdt>
        <w:sdtPr>
          <w:rPr>
            <w:rFonts w:ascii="Arial" w:hAnsi="Arial" w:cs="Arial"/>
            <w:sz w:val="24"/>
            <w:szCs w:val="24"/>
          </w:rPr>
          <w:id w:val="15420092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Fre84 \n  \l 2057  </w:instrText>
          </w:r>
          <w:r w:rsidRPr="00D358EC">
            <w:rPr>
              <w:rFonts w:ascii="Arial" w:hAnsi="Arial" w:cs="Arial"/>
              <w:sz w:val="24"/>
              <w:szCs w:val="24"/>
            </w:rPr>
            <w:fldChar w:fldCharType="separate"/>
          </w:r>
          <w:r w:rsidRPr="00D358EC">
            <w:rPr>
              <w:rFonts w:ascii="Arial" w:hAnsi="Arial" w:cs="Arial"/>
              <w:noProof/>
              <w:sz w:val="24"/>
              <w:szCs w:val="24"/>
            </w:rPr>
            <w:t xml:space="preserve"> (The Social Responsibility of Business is to Increase its Profits, 1970)</w:t>
          </w:r>
          <w:r w:rsidRPr="00D358EC">
            <w:rPr>
              <w:rFonts w:ascii="Arial" w:hAnsi="Arial" w:cs="Arial"/>
              <w:sz w:val="24"/>
              <w:szCs w:val="24"/>
            </w:rPr>
            <w:fldChar w:fldCharType="end"/>
          </w:r>
        </w:sdtContent>
      </w:sdt>
      <w:r w:rsidRPr="00D358EC">
        <w:rPr>
          <w:rFonts w:ascii="Arial" w:hAnsi="Arial" w:cs="Arial"/>
          <w:sz w:val="24"/>
          <w:szCs w:val="24"/>
        </w:rPr>
        <w:t>. Friedman’s theory was that the solo function of a business is to make profit. If that business turns a profit then as a natural result the other areas of the business will fall into place. Whilst there is no law indicating a commitment to CSR, there is an ever increasing public stigma to do more if in a position to do more. Most businesses will adopt try to adopt stakeholder theory</w:t>
      </w:r>
      <w:sdt>
        <w:sdtPr>
          <w:rPr>
            <w:rFonts w:ascii="Arial" w:hAnsi="Arial" w:cs="Arial"/>
            <w:sz w:val="24"/>
            <w:szCs w:val="24"/>
          </w:rPr>
          <w:id w:val="15420092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Mit83 \l 2057 </w:instrText>
          </w:r>
          <w:r w:rsidRPr="00D358EC">
            <w:rPr>
              <w:rFonts w:ascii="Arial" w:hAnsi="Arial" w:cs="Arial"/>
              <w:sz w:val="24"/>
              <w:szCs w:val="24"/>
            </w:rPr>
            <w:fldChar w:fldCharType="separate"/>
          </w:r>
          <w:r w:rsidRPr="00D358EC">
            <w:rPr>
              <w:rFonts w:ascii="Arial" w:hAnsi="Arial" w:cs="Arial"/>
              <w:noProof/>
              <w:sz w:val="24"/>
              <w:szCs w:val="24"/>
            </w:rPr>
            <w:t xml:space="preserve"> (Mitroff, 1983)</w:t>
          </w:r>
          <w:r w:rsidRPr="00D358EC">
            <w:rPr>
              <w:rFonts w:ascii="Arial" w:hAnsi="Arial" w:cs="Arial"/>
              <w:noProof/>
              <w:sz w:val="24"/>
              <w:szCs w:val="24"/>
            </w:rPr>
            <w:fldChar w:fldCharType="end"/>
          </w:r>
        </w:sdtContent>
      </w:sdt>
      <w:r w:rsidRPr="00D358EC">
        <w:rPr>
          <w:rFonts w:ascii="Arial" w:hAnsi="Arial" w:cs="Arial"/>
          <w:sz w:val="24"/>
          <w:szCs w:val="24"/>
        </w:rPr>
        <w:t xml:space="preserve"> whereby they balance these shareholder interests and the interests of stakeholders such as customers or suppliers.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rPr>
          <w:rFonts w:ascii="Arial" w:hAnsi="Arial" w:cs="Arial"/>
          <w:sz w:val="24"/>
          <w:szCs w:val="24"/>
        </w:rPr>
      </w:pPr>
      <w:bookmarkStart w:id="25" w:name="_Toc513881221"/>
      <w:r w:rsidRPr="00D358EC">
        <w:rPr>
          <w:rFonts w:ascii="Arial" w:hAnsi="Arial" w:cs="Arial"/>
          <w:sz w:val="24"/>
          <w:szCs w:val="24"/>
        </w:rPr>
        <w:t>2.10 Stakeholder Theory</w:t>
      </w:r>
      <w:bookmarkEnd w:id="25"/>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Freeman stockholder theory is a bridge between Friedman and Carroll., believed that in order to make a profit for stockholder - </w:t>
      </w:r>
      <w:r w:rsidRPr="00D358EC">
        <w:rPr>
          <w:rFonts w:ascii="Arial" w:hAnsi="Arial" w:cs="Arial"/>
          <w:i/>
          <w:sz w:val="24"/>
          <w:szCs w:val="24"/>
        </w:rPr>
        <w:t>“The basic idea is that businesses, and the executives who manage them, actually do and should create value for customers, suppliers, employees, communities, and financiers (or shareholders)</w:t>
      </w:r>
      <w:sdt>
        <w:sdtPr>
          <w:rPr>
            <w:rFonts w:ascii="Arial" w:hAnsi="Arial" w:cs="Arial"/>
            <w:i/>
            <w:sz w:val="24"/>
            <w:szCs w:val="24"/>
          </w:rPr>
          <w:id w:val="154200915"/>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Placeholder2 \p 63-64 \n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(1984, pp. 63-64)</w:t>
          </w:r>
          <w:r w:rsidRPr="00D358EC">
            <w:rPr>
              <w:rFonts w:ascii="Arial" w:hAnsi="Arial" w:cs="Arial"/>
              <w:i/>
              <w:sz w:val="24"/>
              <w:szCs w:val="24"/>
            </w:rPr>
            <w:fldChar w:fldCharType="end"/>
          </w:r>
        </w:sdtContent>
      </w:sdt>
      <w:r w:rsidRPr="00D358EC">
        <w:rPr>
          <w:rFonts w:ascii="Arial" w:hAnsi="Arial" w:cs="Arial"/>
          <w:i/>
          <w:sz w:val="24"/>
          <w:szCs w:val="24"/>
        </w:rPr>
        <w:t xml:space="preserve"> ”</w:t>
      </w:r>
      <w:r w:rsidRPr="00D358EC">
        <w:rPr>
          <w:rFonts w:ascii="Arial" w:hAnsi="Arial" w:cs="Arial"/>
          <w:sz w:val="24"/>
          <w:szCs w:val="24"/>
        </w:rPr>
        <w:t xml:space="preserve">Whilst both the stock holder and the stakeholder recognise the economic vitality of business, Freeman infers that in order to maximise the economic interests of the company, the interest of all stockholders must be considered. This draws a parallel to Carroll’s theory of corporate social responsibility </w:t>
      </w:r>
      <w:sdt>
        <w:sdtPr>
          <w:rPr>
            <w:rFonts w:ascii="Arial" w:hAnsi="Arial" w:cs="Arial"/>
            <w:sz w:val="24"/>
            <w:szCs w:val="24"/>
          </w:rPr>
          <w:id w:val="15420091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(Carroll, 1991)</w:t>
          </w:r>
          <w:r w:rsidRPr="00D358EC">
            <w:rPr>
              <w:rFonts w:ascii="Arial" w:hAnsi="Arial" w:cs="Arial"/>
              <w:noProof/>
              <w:sz w:val="24"/>
              <w:szCs w:val="24"/>
            </w:rPr>
            <w:fldChar w:fldCharType="end"/>
          </w:r>
        </w:sdtContent>
      </w:sdt>
      <w:r w:rsidRPr="00D358EC">
        <w:rPr>
          <w:rFonts w:ascii="Arial" w:hAnsi="Arial" w:cs="Arial"/>
          <w:sz w:val="24"/>
          <w:szCs w:val="24"/>
        </w:rPr>
        <w:t xml:space="preserve"> and the balance between stakeholders. The theory explores the moral and values behind management decisions within an organisation</w:t>
      </w:r>
      <w:sdt>
        <w:sdtPr>
          <w:rPr>
            <w:rFonts w:ascii="Arial" w:hAnsi="Arial" w:cs="Arial"/>
            <w:sz w:val="24"/>
            <w:szCs w:val="24"/>
          </w:rPr>
          <w:id w:val="15420091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Fre841 \l 2057 </w:instrText>
          </w:r>
          <w:r w:rsidRPr="00D358EC">
            <w:rPr>
              <w:rFonts w:ascii="Arial" w:hAnsi="Arial" w:cs="Arial"/>
              <w:sz w:val="24"/>
              <w:szCs w:val="24"/>
            </w:rPr>
            <w:fldChar w:fldCharType="separate"/>
          </w:r>
          <w:r w:rsidRPr="00D358EC">
            <w:rPr>
              <w:rFonts w:ascii="Arial" w:hAnsi="Arial" w:cs="Arial"/>
              <w:noProof/>
              <w:sz w:val="24"/>
              <w:szCs w:val="24"/>
            </w:rPr>
            <w:t xml:space="preserve"> (Freeman E. , 1984)</w:t>
          </w:r>
          <w:r w:rsidRPr="00D358EC">
            <w:rPr>
              <w:rFonts w:ascii="Arial" w:hAnsi="Arial" w:cs="Arial"/>
              <w:sz w:val="24"/>
              <w:szCs w:val="24"/>
            </w:rPr>
            <w:fldChar w:fldCharType="end"/>
          </w:r>
        </w:sdtContent>
      </w:sdt>
      <w:r w:rsidRPr="00D358EC">
        <w:rPr>
          <w:rFonts w:ascii="Arial" w:hAnsi="Arial" w:cs="Arial"/>
          <w:sz w:val="24"/>
          <w:szCs w:val="24"/>
        </w:rPr>
        <w:t xml:space="preserve">. This changed </w:t>
      </w:r>
      <w:r w:rsidRPr="00D358EC">
        <w:rPr>
          <w:rFonts w:ascii="Arial" w:hAnsi="Arial" w:cs="Arial"/>
          <w:sz w:val="24"/>
          <w:szCs w:val="24"/>
        </w:rPr>
        <w:lastRenderedPageBreak/>
        <w:t>the landscape that was solely focuses on the profit of stockholders as established by Friedman and gave way to a stakeholder centric approach whereby the needs of others were considers over fiscal profit. Profit is no longer the encompassing crucial variable and as such it is the purpose of the business that should be explored</w:t>
      </w:r>
      <w:sdt>
        <w:sdtPr>
          <w:rPr>
            <w:rFonts w:ascii="Arial" w:hAnsi="Arial" w:cs="Arial"/>
            <w:sz w:val="24"/>
            <w:szCs w:val="24"/>
          </w:rPr>
          <w:id w:val="118039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Mit83 \l 2057 </w:instrText>
          </w:r>
          <w:r w:rsidRPr="00D358EC">
            <w:rPr>
              <w:rFonts w:ascii="Arial" w:hAnsi="Arial" w:cs="Arial"/>
              <w:sz w:val="24"/>
              <w:szCs w:val="24"/>
            </w:rPr>
            <w:fldChar w:fldCharType="separate"/>
          </w:r>
          <w:r w:rsidRPr="00D358EC">
            <w:rPr>
              <w:rFonts w:ascii="Arial" w:hAnsi="Arial" w:cs="Arial"/>
              <w:noProof/>
              <w:sz w:val="24"/>
              <w:szCs w:val="24"/>
            </w:rPr>
            <w:t xml:space="preserve"> (Mitroff, 1983)</w:t>
          </w:r>
          <w:r w:rsidRPr="00D358EC">
            <w:rPr>
              <w:rFonts w:ascii="Arial" w:hAnsi="Arial" w:cs="Arial"/>
              <w:sz w:val="24"/>
              <w:szCs w:val="24"/>
            </w:rPr>
            <w:fldChar w:fldCharType="end"/>
          </w:r>
        </w:sdtContent>
      </w:sdt>
      <w:r w:rsidRPr="00D358EC">
        <w:rPr>
          <w:rFonts w:ascii="Arial" w:hAnsi="Arial" w:cs="Arial"/>
          <w:sz w:val="24"/>
          <w:szCs w:val="24"/>
        </w:rPr>
        <w:t>. By creating a sustainable, socially responsible business the prospective profit should also be subsequently achieved</w:t>
      </w:r>
      <w:sdt>
        <w:sdtPr>
          <w:rPr>
            <w:rFonts w:ascii="Arial" w:hAnsi="Arial" w:cs="Arial"/>
            <w:sz w:val="24"/>
            <w:szCs w:val="24"/>
          </w:rPr>
          <w:id w:val="15420092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noProof/>
              <w:sz w:val="24"/>
              <w:szCs w:val="24"/>
            </w:rPr>
            <w:fldChar w:fldCharType="end"/>
          </w:r>
        </w:sdtContent>
      </w:sdt>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26" w:name="_Toc513204076"/>
      <w:bookmarkStart w:id="27" w:name="_Toc513881222"/>
      <w:r w:rsidRPr="00D358EC">
        <w:rPr>
          <w:rFonts w:ascii="Arial" w:hAnsi="Arial" w:cs="Arial"/>
          <w:sz w:val="24"/>
          <w:szCs w:val="24"/>
        </w:rPr>
        <w:t>2.11 Corporate Social Responsibility</w:t>
      </w:r>
      <w:bookmarkEnd w:id="26"/>
      <w:bookmarkEnd w:id="27"/>
    </w:p>
    <w:p w:rsidR="000A679E" w:rsidRPr="00D358EC" w:rsidRDefault="000A679E" w:rsidP="000A679E">
      <w:pPr>
        <w:jc w:val="both"/>
        <w:rPr>
          <w:rFonts w:ascii="Arial" w:hAnsi="Arial" w:cs="Arial"/>
          <w:sz w:val="24"/>
          <w:szCs w:val="24"/>
        </w:rPr>
      </w:pPr>
      <w:r w:rsidRPr="00D358EC">
        <w:rPr>
          <w:rFonts w:ascii="Arial" w:hAnsi="Arial" w:cs="Arial"/>
          <w:sz w:val="24"/>
          <w:szCs w:val="24"/>
        </w:rPr>
        <w:t>The idea of corporate social responsibility (CSR) has been floated around since the 1950s; Archie Carroll proposed the question of where a firm’s responsibility should lie within its society</w:t>
      </w:r>
      <w:sdt>
        <w:sdtPr>
          <w:rPr>
            <w:rFonts w:ascii="Arial" w:hAnsi="Arial" w:cs="Arial"/>
            <w:sz w:val="24"/>
            <w:szCs w:val="24"/>
          </w:rPr>
          <w:id w:val="39413662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\n  \t  \l 2057  </w:instrText>
          </w:r>
          <w:r w:rsidRPr="00D358EC">
            <w:rPr>
              <w:rFonts w:ascii="Arial" w:hAnsi="Arial" w:cs="Arial"/>
              <w:sz w:val="24"/>
              <w:szCs w:val="24"/>
            </w:rPr>
            <w:fldChar w:fldCharType="separate"/>
          </w:r>
          <w:r w:rsidRPr="00D358EC">
            <w:rPr>
              <w:rFonts w:ascii="Arial" w:hAnsi="Arial" w:cs="Arial"/>
              <w:noProof/>
              <w:sz w:val="24"/>
              <w:szCs w:val="24"/>
            </w:rPr>
            <w:t xml:space="preserve"> (1991)</w:t>
          </w:r>
          <w:r w:rsidRPr="00D358EC">
            <w:rPr>
              <w:rFonts w:ascii="Arial" w:hAnsi="Arial" w:cs="Arial"/>
              <w:sz w:val="24"/>
              <w:szCs w:val="24"/>
            </w:rPr>
            <w:fldChar w:fldCharType="end"/>
          </w:r>
        </w:sdtContent>
      </w:sdt>
      <w:r w:rsidRPr="00D358EC">
        <w:rPr>
          <w:rFonts w:ascii="Arial" w:hAnsi="Arial" w:cs="Arial"/>
          <w:sz w:val="24"/>
          <w:szCs w:val="24"/>
        </w:rPr>
        <w:t>. Milton Friedman established the grounded ethos that the primary function of a business is to deliver profits to its stockholders</w:t>
      </w:r>
      <w:sdt>
        <w:sdtPr>
          <w:rPr>
            <w:rFonts w:ascii="Arial" w:hAnsi="Arial" w:cs="Arial"/>
            <w:sz w:val="24"/>
            <w:szCs w:val="24"/>
          </w:rPr>
          <w:id w:val="39413663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Fre84 \n  \t  \l 2057  </w:instrText>
          </w:r>
          <w:r w:rsidRPr="00D358EC">
            <w:rPr>
              <w:rFonts w:ascii="Arial" w:hAnsi="Arial" w:cs="Arial"/>
              <w:sz w:val="24"/>
              <w:szCs w:val="24"/>
            </w:rPr>
            <w:fldChar w:fldCharType="separate"/>
          </w:r>
          <w:r w:rsidRPr="00D358EC">
            <w:rPr>
              <w:rFonts w:ascii="Arial" w:hAnsi="Arial" w:cs="Arial"/>
              <w:noProof/>
              <w:sz w:val="24"/>
              <w:szCs w:val="24"/>
            </w:rPr>
            <w:t xml:space="preserve"> (1970)</w:t>
          </w:r>
          <w:r w:rsidRPr="00D358EC">
            <w:rPr>
              <w:rFonts w:ascii="Arial" w:hAnsi="Arial" w:cs="Arial"/>
              <w:sz w:val="24"/>
              <w:szCs w:val="24"/>
            </w:rPr>
            <w:fldChar w:fldCharType="end"/>
          </w:r>
        </w:sdtContent>
      </w:sdt>
      <w:r w:rsidRPr="00D358EC">
        <w:rPr>
          <w:rFonts w:ascii="Arial" w:hAnsi="Arial" w:cs="Arial"/>
          <w:sz w:val="24"/>
          <w:szCs w:val="24"/>
        </w:rPr>
        <w:t xml:space="preserve"> and Carroll proposed a shift in the culture paradigm of industry. Carroll questioned that the ultimate goal would be to have a company profit through an ethically sound business practise through three ethical approaches; immoral, amoral and moral. Carroll idealised that,</w:t>
      </w:r>
      <w:r w:rsidRPr="00D358EC">
        <w:rPr>
          <w:rFonts w:ascii="Arial" w:hAnsi="Arial" w:cs="Arial"/>
          <w:i/>
          <w:sz w:val="24"/>
          <w:szCs w:val="24"/>
        </w:rPr>
        <w:t xml:space="preserve"> “the entire range of the business responsibilities are embraced</w:t>
      </w:r>
      <w:r w:rsidRPr="00D358EC">
        <w:rPr>
          <w:rFonts w:ascii="Arial" w:hAnsi="Arial" w:cs="Arial"/>
          <w:sz w:val="24"/>
          <w:szCs w:val="24"/>
        </w:rPr>
        <w:t>”</w:t>
      </w:r>
      <w:sdt>
        <w:sdtPr>
          <w:rPr>
            <w:rFonts w:ascii="Arial" w:hAnsi="Arial" w:cs="Arial"/>
            <w:sz w:val="24"/>
            <w:szCs w:val="24"/>
          </w:rPr>
          <w:id w:val="39413663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\p 40 \n  \y  \t  \l 2057  </w:instrText>
          </w:r>
          <w:r w:rsidRPr="00D358EC">
            <w:rPr>
              <w:rFonts w:ascii="Arial" w:hAnsi="Arial" w:cs="Arial"/>
              <w:sz w:val="24"/>
              <w:szCs w:val="24"/>
            </w:rPr>
            <w:fldChar w:fldCharType="separate"/>
          </w:r>
          <w:r w:rsidRPr="00D358EC">
            <w:rPr>
              <w:rFonts w:ascii="Arial" w:hAnsi="Arial" w:cs="Arial"/>
              <w:noProof/>
              <w:sz w:val="24"/>
              <w:szCs w:val="24"/>
            </w:rPr>
            <w:t xml:space="preserve"> (p. 40)</w:t>
          </w:r>
          <w:r w:rsidRPr="00D358EC">
            <w:rPr>
              <w:rFonts w:ascii="Arial" w:hAnsi="Arial" w:cs="Arial"/>
              <w:sz w:val="24"/>
              <w:szCs w:val="24"/>
            </w:rPr>
            <w:fldChar w:fldCharType="end"/>
          </w:r>
        </w:sdtContent>
      </w:sdt>
      <w:r w:rsidRPr="00D358EC">
        <w:rPr>
          <w:rFonts w:ascii="Arial" w:hAnsi="Arial" w:cs="Arial"/>
          <w:sz w:val="24"/>
          <w:szCs w:val="24"/>
        </w:rPr>
        <w:t xml:space="preserve"> through the decision making of a moral management.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28" w:name="_Toc513204077"/>
      <w:bookmarkStart w:id="29" w:name="_Toc513881223"/>
      <w:r w:rsidRPr="00D358EC">
        <w:t>2.11.1 Corporate Social Responsibility within any business.</w:t>
      </w:r>
      <w:bookmarkEnd w:id="28"/>
      <w:bookmarkEnd w:id="29"/>
    </w:p>
    <w:p w:rsidR="000A679E" w:rsidRPr="00D358EC" w:rsidRDefault="000A679E" w:rsidP="000A679E">
      <w:pPr>
        <w:jc w:val="both"/>
        <w:rPr>
          <w:rFonts w:ascii="Arial" w:hAnsi="Arial" w:cs="Arial"/>
          <w:sz w:val="24"/>
          <w:szCs w:val="24"/>
        </w:rPr>
      </w:pPr>
      <w:r w:rsidRPr="00D358EC">
        <w:rPr>
          <w:rFonts w:ascii="Arial" w:hAnsi="Arial" w:cs="Arial"/>
          <w:sz w:val="24"/>
          <w:szCs w:val="24"/>
        </w:rPr>
        <w:t>Companies often identify their corporate social responsibility as a method to garner better exposure or simply improve the overall image of a company</w:t>
      </w:r>
      <w:sdt>
        <w:sdtPr>
          <w:rPr>
            <w:rFonts w:ascii="Arial" w:hAnsi="Arial" w:cs="Arial"/>
            <w:sz w:val="24"/>
            <w:szCs w:val="24"/>
          </w:rPr>
          <w:id w:val="39413663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Ast17 \l 2057 </w:instrText>
          </w:r>
          <w:r w:rsidRPr="00D358EC">
            <w:rPr>
              <w:rFonts w:ascii="Arial" w:hAnsi="Arial" w:cs="Arial"/>
              <w:sz w:val="24"/>
              <w:szCs w:val="24"/>
            </w:rPr>
            <w:fldChar w:fldCharType="separate"/>
          </w:r>
          <w:r w:rsidRPr="00D358EC">
            <w:rPr>
              <w:rFonts w:ascii="Arial" w:hAnsi="Arial" w:cs="Arial"/>
              <w:noProof/>
              <w:sz w:val="24"/>
              <w:szCs w:val="24"/>
            </w:rPr>
            <w:t xml:space="preserve"> (Astara, Mitoula, &amp; Eleni, 2017)</w:t>
          </w:r>
          <w:r w:rsidRPr="00D358EC">
            <w:rPr>
              <w:rFonts w:ascii="Arial" w:hAnsi="Arial" w:cs="Arial"/>
              <w:sz w:val="24"/>
              <w:szCs w:val="24"/>
            </w:rPr>
            <w:fldChar w:fldCharType="end"/>
          </w:r>
        </w:sdtContent>
      </w:sdt>
      <w:r w:rsidRPr="00D358EC">
        <w:rPr>
          <w:rFonts w:ascii="Arial" w:hAnsi="Arial" w:cs="Arial"/>
          <w:sz w:val="24"/>
          <w:szCs w:val="24"/>
        </w:rPr>
        <w:t>. In recent years the corporate social responsibility issue has become a key issue within a business</w:t>
      </w:r>
      <w:sdt>
        <w:sdtPr>
          <w:rPr>
            <w:rFonts w:ascii="Arial" w:hAnsi="Arial" w:cs="Arial"/>
            <w:sz w:val="24"/>
            <w:szCs w:val="24"/>
          </w:rPr>
          <w:id w:val="5053533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Str15 \l 2057 </w:instrText>
          </w:r>
          <w:r w:rsidRPr="00D358EC">
            <w:rPr>
              <w:rFonts w:ascii="Arial" w:hAnsi="Arial" w:cs="Arial"/>
              <w:sz w:val="24"/>
              <w:szCs w:val="24"/>
            </w:rPr>
            <w:fldChar w:fldCharType="separate"/>
          </w:r>
          <w:r w:rsidRPr="00D358EC">
            <w:rPr>
              <w:rFonts w:ascii="Arial" w:hAnsi="Arial" w:cs="Arial"/>
              <w:noProof/>
              <w:sz w:val="24"/>
              <w:szCs w:val="24"/>
            </w:rPr>
            <w:t xml:space="preserve"> (Strauss, 2015)</w:t>
          </w:r>
          <w:r w:rsidRPr="00D358EC">
            <w:rPr>
              <w:rFonts w:ascii="Arial" w:hAnsi="Arial" w:cs="Arial"/>
              <w:noProof/>
              <w:sz w:val="24"/>
              <w:szCs w:val="24"/>
            </w:rPr>
            <w:fldChar w:fldCharType="end"/>
          </w:r>
        </w:sdtContent>
      </w:sdt>
      <w:r w:rsidRPr="00D358EC">
        <w:rPr>
          <w:rFonts w:ascii="Arial" w:hAnsi="Arial" w:cs="Arial"/>
          <w:sz w:val="24"/>
          <w:szCs w:val="24"/>
        </w:rPr>
        <w:t xml:space="preserve"> as industries adapt to technology and social media. There are many ethical variables to ascertain where responsibility should lie and where the boundary of corporate social responsibility ends</w:t>
      </w:r>
      <w:sdt>
        <w:sdtPr>
          <w:rPr>
            <w:rFonts w:ascii="Arial" w:hAnsi="Arial" w:cs="Arial"/>
            <w:sz w:val="24"/>
            <w:szCs w:val="24"/>
          </w:rPr>
          <w:id w:val="5053533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Cra08 \l 2057 </w:instrText>
          </w:r>
          <w:r w:rsidRPr="00D358EC">
            <w:rPr>
              <w:rFonts w:ascii="Arial" w:hAnsi="Arial" w:cs="Arial"/>
              <w:sz w:val="24"/>
              <w:szCs w:val="24"/>
            </w:rPr>
            <w:fldChar w:fldCharType="separate"/>
          </w:r>
          <w:r w:rsidRPr="00D358EC">
            <w:rPr>
              <w:rFonts w:ascii="Arial" w:hAnsi="Arial" w:cs="Arial"/>
              <w:noProof/>
              <w:sz w:val="24"/>
              <w:szCs w:val="24"/>
            </w:rPr>
            <w:t xml:space="preserve"> (Crane, Matten, &amp; Spence, 2008)</w:t>
          </w:r>
          <w:r w:rsidRPr="00D358EC">
            <w:rPr>
              <w:rFonts w:ascii="Arial" w:hAnsi="Arial" w:cs="Arial"/>
              <w:noProof/>
              <w:sz w:val="24"/>
              <w:szCs w:val="24"/>
            </w:rPr>
            <w:fldChar w:fldCharType="end"/>
          </w:r>
        </w:sdtContent>
      </w:sdt>
      <w:r w:rsidRPr="00D358EC">
        <w:rPr>
          <w:rFonts w:ascii="Arial" w:hAnsi="Arial" w:cs="Arial"/>
          <w:sz w:val="24"/>
          <w:szCs w:val="24"/>
        </w:rPr>
        <w:t xml:space="preserve"> and individual decision making and responsibility begins and this can be directly applied to FOBT’s.  Carroll created a framework</w:t>
      </w:r>
      <w:sdt>
        <w:sdtPr>
          <w:rPr>
            <w:rFonts w:ascii="Arial" w:hAnsi="Arial" w:cs="Arial"/>
            <w:sz w:val="24"/>
            <w:szCs w:val="24"/>
          </w:rPr>
          <w:id w:val="5053533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xml:space="preserve"> in order to classify his four areas of corporate social responsibility that a business should assume in order to fully recognise all stakeholder interest that exists within a business</w:t>
      </w:r>
      <w:sdt>
        <w:sdtPr>
          <w:rPr>
            <w:rFonts w:ascii="Arial" w:hAnsi="Arial" w:cs="Arial"/>
            <w:sz w:val="24"/>
            <w:szCs w:val="24"/>
          </w:rPr>
          <w:id w:val="5053533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Str15 \l 2057 </w:instrText>
          </w:r>
          <w:r w:rsidRPr="00D358EC">
            <w:rPr>
              <w:rFonts w:ascii="Arial" w:hAnsi="Arial" w:cs="Arial"/>
              <w:sz w:val="24"/>
              <w:szCs w:val="24"/>
            </w:rPr>
            <w:fldChar w:fldCharType="separate"/>
          </w:r>
          <w:r w:rsidRPr="00D358EC">
            <w:rPr>
              <w:rFonts w:ascii="Arial" w:hAnsi="Arial" w:cs="Arial"/>
              <w:noProof/>
              <w:sz w:val="24"/>
              <w:szCs w:val="24"/>
            </w:rPr>
            <w:t xml:space="preserve"> (Strauss, 2015)</w:t>
          </w:r>
          <w:r w:rsidRPr="00D358EC">
            <w:rPr>
              <w:rFonts w:ascii="Arial" w:hAnsi="Arial" w:cs="Arial"/>
              <w:noProof/>
              <w:sz w:val="24"/>
              <w:szCs w:val="24"/>
            </w:rPr>
            <w:fldChar w:fldCharType="end"/>
          </w:r>
        </w:sdtContent>
      </w:sdt>
      <w:r w:rsidRPr="00D358EC">
        <w:rPr>
          <w:rFonts w:ascii="Arial" w:hAnsi="Arial" w:cs="Arial"/>
          <w:sz w:val="24"/>
          <w:szCs w:val="24"/>
        </w:rPr>
        <w:t>. These areas are broken down into the following individual principles relating to the business practise. Philanthropic; Ethical; Legal; and Economic factors</w:t>
      </w:r>
      <w:sdt>
        <w:sdtPr>
          <w:rPr>
            <w:rFonts w:ascii="Arial" w:hAnsi="Arial" w:cs="Arial"/>
            <w:sz w:val="24"/>
            <w:szCs w:val="24"/>
          </w:rPr>
          <w:id w:val="93394244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John Campbell offers a differing opinion in that he suggests that as the primary function, as established by Friedman, is to maximise profit, there is no underlying benefit for a company take part in CSR</w:t>
      </w:r>
      <w:sdt>
        <w:sdtPr>
          <w:rPr>
            <w:rFonts w:ascii="Arial" w:hAnsi="Arial" w:cs="Arial"/>
            <w:sz w:val="24"/>
            <w:szCs w:val="24"/>
          </w:rPr>
          <w:id w:val="84290078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Cam13 \n  \l 2057  </w:instrText>
          </w:r>
          <w:r w:rsidRPr="00D358EC">
            <w:rPr>
              <w:rFonts w:ascii="Arial" w:hAnsi="Arial" w:cs="Arial"/>
              <w:sz w:val="24"/>
              <w:szCs w:val="24"/>
            </w:rPr>
            <w:fldChar w:fldCharType="separate"/>
          </w:r>
          <w:r w:rsidRPr="00D358EC">
            <w:rPr>
              <w:rFonts w:ascii="Arial" w:hAnsi="Arial" w:cs="Arial"/>
              <w:noProof/>
              <w:sz w:val="24"/>
              <w:szCs w:val="24"/>
            </w:rPr>
            <w:t xml:space="preserve"> (Why Would Corporations Behave in Socially Responsible Ways?, 2013)</w:t>
          </w:r>
          <w:r w:rsidRPr="00D358EC">
            <w:rPr>
              <w:rFonts w:ascii="Arial" w:hAnsi="Arial" w:cs="Arial"/>
              <w:sz w:val="24"/>
              <w:szCs w:val="24"/>
            </w:rPr>
            <w:fldChar w:fldCharType="end"/>
          </w:r>
        </w:sdtContent>
      </w:sdt>
      <w:r w:rsidRPr="00D358EC">
        <w:rPr>
          <w:rFonts w:ascii="Arial" w:hAnsi="Arial" w:cs="Arial"/>
          <w:sz w:val="24"/>
          <w:szCs w:val="24"/>
        </w:rPr>
        <w:t xml:space="preserve">. Campbell advocates the assumption </w:t>
      </w:r>
      <w:r w:rsidRPr="00D358EC">
        <w:rPr>
          <w:rFonts w:ascii="Arial" w:hAnsi="Arial" w:cs="Arial"/>
          <w:i/>
          <w:sz w:val="24"/>
          <w:szCs w:val="24"/>
        </w:rPr>
        <w:t>“that maximising profits will prevent a company from acting socially responsibly</w:t>
      </w:r>
      <w:sdt>
        <w:sdtPr>
          <w:rPr>
            <w:rFonts w:ascii="Arial" w:hAnsi="Arial" w:cs="Arial"/>
            <w:i/>
            <w:sz w:val="24"/>
            <w:szCs w:val="24"/>
          </w:rPr>
          <w:id w:val="842900788"/>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Cam13 \p 953 \n  \y  \t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(p. 953)</w:t>
          </w:r>
          <w:r w:rsidRPr="00D358EC">
            <w:rPr>
              <w:rFonts w:ascii="Arial" w:hAnsi="Arial" w:cs="Arial"/>
              <w:i/>
              <w:sz w:val="24"/>
              <w:szCs w:val="24"/>
            </w:rPr>
            <w:fldChar w:fldCharType="end"/>
          </w:r>
        </w:sdtContent>
      </w:sdt>
      <w:r w:rsidRPr="00D358EC">
        <w:rPr>
          <w:rFonts w:ascii="Arial" w:hAnsi="Arial" w:cs="Arial"/>
          <w:sz w:val="24"/>
          <w:szCs w:val="24"/>
        </w:rPr>
        <w:t xml:space="preserve">” however, concludes that in an industry where the profit margin is easily attainable, the company would then have a secondary duty to be socially responsibly to their shareholders and stakeholders.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b/>
          <w:sz w:val="24"/>
          <w:szCs w:val="24"/>
          <w:u w:val="single"/>
        </w:rPr>
      </w:pPr>
      <w:r w:rsidRPr="00D358EC">
        <w:rPr>
          <w:rFonts w:ascii="Arial" w:hAnsi="Arial" w:cs="Arial"/>
          <w:b/>
          <w:sz w:val="24"/>
          <w:szCs w:val="24"/>
          <w:u w:val="single"/>
        </w:rPr>
        <w:t xml:space="preserve">Carroll’s Pyramid </w:t>
      </w:r>
      <w:proofErr w:type="gramStart"/>
      <w:r w:rsidRPr="00D358EC">
        <w:rPr>
          <w:rFonts w:ascii="Arial" w:hAnsi="Arial" w:cs="Arial"/>
          <w:b/>
          <w:sz w:val="24"/>
          <w:szCs w:val="24"/>
          <w:u w:val="single"/>
        </w:rPr>
        <w:t>Of</w:t>
      </w:r>
      <w:proofErr w:type="gramEnd"/>
      <w:r w:rsidRPr="00D358EC">
        <w:rPr>
          <w:rFonts w:ascii="Arial" w:hAnsi="Arial" w:cs="Arial"/>
          <w:b/>
          <w:sz w:val="24"/>
          <w:szCs w:val="24"/>
          <w:u w:val="single"/>
        </w:rPr>
        <w:t xml:space="preserve"> Corporate Social Responsibility</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4476750"/>
            <wp:effectExtent l="19050" t="0" r="9525" b="0"/>
            <wp:docPr id="8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srcRect/>
                    <a:stretch>
                      <a:fillRect/>
                    </a:stretch>
                  </pic:blipFill>
                  <pic:spPr bwMode="auto">
                    <a:xfrm>
                      <a:off x="0" y="0"/>
                      <a:ext cx="5724525" cy="447675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 xml:space="preserve">Figure 4 created by Steward: Adapted from Carroll </w:t>
      </w:r>
      <w:sdt>
        <w:sdtPr>
          <w:rPr>
            <w:rFonts w:ascii="Arial" w:hAnsi="Arial" w:cs="Arial"/>
            <w:i/>
            <w:sz w:val="16"/>
            <w:szCs w:val="16"/>
          </w:rPr>
          <w:id w:val="394136637"/>
          <w:citation/>
        </w:sdtPr>
        <w:sdtContent>
          <w:r w:rsidRPr="00D358EC">
            <w:rPr>
              <w:rFonts w:ascii="Arial" w:hAnsi="Arial" w:cs="Arial"/>
              <w:i/>
              <w:sz w:val="16"/>
              <w:szCs w:val="16"/>
            </w:rPr>
            <w:fldChar w:fldCharType="begin"/>
          </w:r>
          <w:r w:rsidRPr="00D358EC">
            <w:rPr>
              <w:rFonts w:ascii="Arial" w:hAnsi="Arial" w:cs="Arial"/>
              <w:i/>
              <w:sz w:val="16"/>
              <w:szCs w:val="16"/>
            </w:rPr>
            <w:instrText xml:space="preserve"> CITATION Cam99 \n  \l 2057  </w:instrText>
          </w:r>
          <w:r w:rsidRPr="00D358EC">
            <w:rPr>
              <w:rFonts w:ascii="Arial" w:hAnsi="Arial" w:cs="Arial"/>
              <w:i/>
              <w:sz w:val="16"/>
              <w:szCs w:val="16"/>
            </w:rPr>
            <w:fldChar w:fldCharType="separate"/>
          </w:r>
          <w:r w:rsidRPr="00D358EC">
            <w:rPr>
              <w:rFonts w:ascii="Arial" w:hAnsi="Arial" w:cs="Arial"/>
              <w:noProof/>
              <w:sz w:val="16"/>
              <w:szCs w:val="16"/>
            </w:rPr>
            <w:t>(The pyramid of corporate social responsibility: Toward the moral management of organizational stakeholders, 1991)</w:t>
          </w:r>
          <w:r w:rsidRPr="00D358EC">
            <w:rPr>
              <w:rFonts w:ascii="Arial" w:hAnsi="Arial" w:cs="Arial"/>
              <w:i/>
              <w:sz w:val="16"/>
              <w:szCs w:val="16"/>
            </w:rPr>
            <w:fldChar w:fldCharType="end"/>
          </w:r>
        </w:sdtContent>
      </w:sdt>
    </w:p>
    <w:p w:rsidR="000A679E" w:rsidRPr="00D358EC" w:rsidRDefault="000A679E" w:rsidP="000A679E">
      <w:pPr>
        <w:jc w:val="both"/>
        <w:rPr>
          <w:rFonts w:ascii="Arial" w:hAnsi="Arial" w:cs="Arial"/>
          <w:sz w:val="24"/>
          <w:szCs w:val="24"/>
        </w:rPr>
      </w:pPr>
      <w:r w:rsidRPr="00D358EC">
        <w:rPr>
          <w:rFonts w:ascii="Arial" w:hAnsi="Arial" w:cs="Arial"/>
          <w:sz w:val="24"/>
          <w:szCs w:val="24"/>
        </w:rPr>
        <w:t>The Philanthropic responsibility of a business is to reinvest profits within the local community such as investing in scholarships or developing local areas. Ladbrokes, one of the leading bookmakers in the UK donated £245,000 to charitable causes in 2015</w:t>
      </w:r>
      <w:sdt>
        <w:sdtPr>
          <w:rPr>
            <w:rFonts w:ascii="Arial" w:hAnsi="Arial" w:cs="Arial"/>
            <w:sz w:val="24"/>
            <w:szCs w:val="24"/>
          </w:rPr>
          <w:id w:val="84289163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Lad15 \l 2057  </w:instrText>
          </w:r>
          <w:r w:rsidRPr="00D358EC">
            <w:rPr>
              <w:rFonts w:ascii="Arial" w:hAnsi="Arial" w:cs="Arial"/>
              <w:sz w:val="24"/>
              <w:szCs w:val="24"/>
            </w:rPr>
            <w:fldChar w:fldCharType="separate"/>
          </w:r>
          <w:r w:rsidRPr="00D358EC">
            <w:rPr>
              <w:rFonts w:ascii="Arial" w:hAnsi="Arial" w:cs="Arial"/>
              <w:noProof/>
              <w:sz w:val="24"/>
              <w:szCs w:val="24"/>
            </w:rPr>
            <w:t xml:space="preserve"> (Ladbrokes, 2015)</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Ethical responsibility of a business is to conduct business in a fair and open manner. A key proponent in recent years that can be highlighted as a business’s ethical responsibility is to minimise its carbon footprint, waste and harm to the local environment</w:t>
      </w:r>
      <w:sdt>
        <w:sdtPr>
          <w:rPr>
            <w:rFonts w:ascii="Arial" w:hAnsi="Arial" w:cs="Arial"/>
            <w:sz w:val="24"/>
            <w:szCs w:val="24"/>
          </w:rPr>
          <w:id w:val="5053669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Gal18 \l 2057 </w:instrText>
          </w:r>
          <w:r w:rsidRPr="00D358EC">
            <w:rPr>
              <w:rFonts w:ascii="Arial" w:hAnsi="Arial" w:cs="Arial"/>
              <w:sz w:val="24"/>
              <w:szCs w:val="24"/>
            </w:rPr>
            <w:fldChar w:fldCharType="separate"/>
          </w:r>
          <w:r w:rsidRPr="00D358EC">
            <w:rPr>
              <w:rFonts w:ascii="Arial" w:hAnsi="Arial" w:cs="Arial"/>
              <w:noProof/>
              <w:sz w:val="24"/>
              <w:szCs w:val="24"/>
            </w:rPr>
            <w:t xml:space="preserve"> (Coral, 2018)</w:t>
          </w:r>
          <w:r w:rsidRPr="00D358EC">
            <w:rPr>
              <w:rFonts w:ascii="Arial" w:hAnsi="Arial" w:cs="Arial"/>
              <w:noProof/>
              <w:sz w:val="24"/>
              <w:szCs w:val="24"/>
            </w:rPr>
            <w:fldChar w:fldCharType="end"/>
          </w:r>
        </w:sdtContent>
      </w:sdt>
      <w:r w:rsidRPr="00D358EC">
        <w:rPr>
          <w:rFonts w:ascii="Arial" w:hAnsi="Arial" w:cs="Arial"/>
          <w:sz w:val="24"/>
          <w:szCs w:val="24"/>
        </w:rPr>
        <w:t>. Bookmakers achieve this through appropriate in store signage with information for problem gambling available and my recycling all its waste paper</w:t>
      </w:r>
      <w:sdt>
        <w:sdtPr>
          <w:rPr>
            <w:rFonts w:ascii="Arial" w:hAnsi="Arial" w:cs="Arial"/>
            <w:sz w:val="24"/>
            <w:szCs w:val="24"/>
          </w:rPr>
          <w:id w:val="5053670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Lad15 \l 2057 </w:instrText>
          </w:r>
          <w:r w:rsidRPr="00D358EC">
            <w:rPr>
              <w:rFonts w:ascii="Arial" w:hAnsi="Arial" w:cs="Arial"/>
              <w:sz w:val="24"/>
              <w:szCs w:val="24"/>
            </w:rPr>
            <w:fldChar w:fldCharType="separate"/>
          </w:r>
          <w:r w:rsidRPr="00D358EC">
            <w:rPr>
              <w:rFonts w:ascii="Arial" w:hAnsi="Arial" w:cs="Arial"/>
              <w:noProof/>
              <w:sz w:val="24"/>
              <w:szCs w:val="24"/>
            </w:rPr>
            <w:t xml:space="preserve"> (Ladbrokes, 2015)</w:t>
          </w:r>
          <w:r w:rsidRPr="00D358EC">
            <w:rPr>
              <w:rFonts w:ascii="Arial" w:hAnsi="Arial" w:cs="Arial"/>
              <w:noProof/>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Legal responsibility of a business is to make sure they exist within the set rules governed by law</w:t>
      </w:r>
      <w:sdt>
        <w:sdtPr>
          <w:rPr>
            <w:rFonts w:ascii="Arial" w:hAnsi="Arial" w:cs="Arial"/>
            <w:sz w:val="24"/>
            <w:szCs w:val="24"/>
          </w:rPr>
          <w:id w:val="39413663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This can be viewed in many organisations as healthy and safety regulations. With regards to FOBT’s the current legislature only permits a maximum of 4 machines in a shop</w:t>
      </w:r>
      <w:sdt>
        <w:sdtPr>
          <w:rPr>
            <w:rFonts w:ascii="Arial" w:hAnsi="Arial" w:cs="Arial"/>
            <w:sz w:val="24"/>
            <w:szCs w:val="24"/>
          </w:rPr>
          <w:id w:val="39413663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Tom17 \l 2057 </w:instrText>
          </w:r>
          <w:r w:rsidRPr="00D358EC">
            <w:rPr>
              <w:rFonts w:ascii="Arial" w:hAnsi="Arial" w:cs="Arial"/>
              <w:sz w:val="24"/>
              <w:szCs w:val="24"/>
            </w:rPr>
            <w:fldChar w:fldCharType="separate"/>
          </w:r>
          <w:r w:rsidRPr="00D358EC">
            <w:rPr>
              <w:rFonts w:ascii="Arial" w:hAnsi="Arial" w:cs="Arial"/>
              <w:noProof/>
              <w:sz w:val="24"/>
              <w:szCs w:val="24"/>
            </w:rPr>
            <w:t xml:space="preserve"> (Watson, 2017)</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The Economic responsibility of a business is to achieve overall profit</w:t>
      </w:r>
      <w:sdt>
        <w:sdtPr>
          <w:rPr>
            <w:rFonts w:ascii="Arial" w:hAnsi="Arial" w:cs="Arial"/>
            <w:sz w:val="24"/>
            <w:szCs w:val="24"/>
          </w:rPr>
          <w:id w:val="-303633445"/>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Fre84 \l 2057 </w:instrText>
          </w:r>
          <w:r w:rsidRPr="00D358EC">
            <w:rPr>
              <w:rFonts w:ascii="Arial" w:hAnsi="Arial" w:cs="Arial"/>
              <w:sz w:val="24"/>
              <w:szCs w:val="24"/>
            </w:rPr>
            <w:fldChar w:fldCharType="separate"/>
          </w:r>
          <w:r w:rsidRPr="00D358EC">
            <w:rPr>
              <w:rFonts w:ascii="Arial" w:hAnsi="Arial" w:cs="Arial"/>
              <w:noProof/>
              <w:sz w:val="24"/>
              <w:szCs w:val="24"/>
            </w:rPr>
            <w:t xml:space="preserve"> (Friedman, 1970)</w:t>
          </w:r>
          <w:r w:rsidRPr="00D358EC">
            <w:rPr>
              <w:rFonts w:ascii="Arial" w:hAnsi="Arial" w:cs="Arial"/>
              <w:noProof/>
              <w:sz w:val="24"/>
              <w:szCs w:val="24"/>
            </w:rPr>
            <w:fldChar w:fldCharType="end"/>
          </w:r>
        </w:sdtContent>
      </w:sdt>
      <w:r w:rsidRPr="00D358EC">
        <w:rPr>
          <w:rFonts w:ascii="Arial" w:hAnsi="Arial" w:cs="Arial"/>
          <w:sz w:val="24"/>
          <w:szCs w:val="24"/>
        </w:rPr>
        <w:t>. This can be providing consistent dividend returns to the shareholders or achieving economies of scale by being more efficient in their due processes. Due to inter-company mergers, Ladbrokes Coral Group made an operating profit of £1.2b in 2017</w:t>
      </w:r>
      <w:sdt>
        <w:sdtPr>
          <w:rPr>
            <w:rFonts w:ascii="Arial" w:hAnsi="Arial" w:cs="Arial"/>
            <w:sz w:val="24"/>
            <w:szCs w:val="24"/>
          </w:rPr>
          <w:id w:val="30808520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Ahm17 \l 2057 </w:instrText>
          </w:r>
          <w:r w:rsidRPr="00D358EC">
            <w:rPr>
              <w:rFonts w:ascii="Arial" w:hAnsi="Arial" w:cs="Arial"/>
              <w:sz w:val="24"/>
              <w:szCs w:val="24"/>
            </w:rPr>
            <w:fldChar w:fldCharType="separate"/>
          </w:r>
          <w:r w:rsidRPr="00D358EC">
            <w:rPr>
              <w:rFonts w:ascii="Arial" w:hAnsi="Arial" w:cs="Arial"/>
              <w:noProof/>
              <w:sz w:val="24"/>
              <w:szCs w:val="24"/>
            </w:rPr>
            <w:t xml:space="preserve"> (Ahmed, 2017)</w:t>
          </w:r>
          <w:r w:rsidRPr="00D358EC">
            <w:rPr>
              <w:rFonts w:ascii="Arial" w:hAnsi="Arial" w:cs="Arial"/>
              <w:noProof/>
              <w:sz w:val="24"/>
              <w:szCs w:val="24"/>
            </w:rPr>
            <w:fldChar w:fldCharType="end"/>
          </w:r>
        </w:sdtContent>
      </w:sdt>
      <w:r w:rsidRPr="00D358EC">
        <w:rPr>
          <w:rFonts w:ascii="Arial" w:hAnsi="Arial" w:cs="Arial"/>
          <w:sz w:val="24"/>
          <w:szCs w:val="24"/>
        </w:rPr>
        <w:t xml:space="preserve">. It is imperative to retain a strong competitive position within a competitive marketplace.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It is vitally important for a business in the modern world to be ethical and as a result </w:t>
      </w:r>
      <w:r w:rsidRPr="00D358EC">
        <w:rPr>
          <w:rFonts w:ascii="Arial" w:hAnsi="Arial" w:cs="Arial"/>
          <w:i/>
          <w:sz w:val="24"/>
          <w:szCs w:val="24"/>
        </w:rPr>
        <w:t xml:space="preserve">‘many issues in the relationship between business and society have been studied initially from the ethical perspective’ </w:t>
      </w:r>
      <w:sdt>
        <w:sdtPr>
          <w:rPr>
            <w:rFonts w:ascii="Arial" w:hAnsi="Arial" w:cs="Arial"/>
            <w:i/>
            <w:sz w:val="24"/>
            <w:szCs w:val="24"/>
          </w:rPr>
          <w:id w:val="-556553263"/>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Cra08 \p 57 \l 2057 </w:instrText>
          </w:r>
          <w:r w:rsidRPr="00D358EC">
            <w:rPr>
              <w:rFonts w:ascii="Arial" w:hAnsi="Arial" w:cs="Arial"/>
              <w:sz w:val="24"/>
              <w:szCs w:val="24"/>
            </w:rPr>
            <w:fldChar w:fldCharType="separate"/>
          </w:r>
          <w:r w:rsidRPr="00D358EC">
            <w:rPr>
              <w:rFonts w:ascii="Arial" w:hAnsi="Arial" w:cs="Arial"/>
              <w:noProof/>
              <w:sz w:val="24"/>
              <w:szCs w:val="24"/>
            </w:rPr>
            <w:t>(Crane, Matten, &amp; Spence, 2008, p. 57)</w:t>
          </w:r>
          <w:r w:rsidRPr="00D358EC">
            <w:rPr>
              <w:rFonts w:ascii="Arial" w:hAnsi="Arial" w:cs="Arial"/>
              <w:noProof/>
              <w:sz w:val="24"/>
              <w:szCs w:val="24"/>
            </w:rPr>
            <w:fldChar w:fldCharType="end"/>
          </w:r>
        </w:sdtContent>
      </w:sdt>
      <w:r w:rsidRPr="00D358EC">
        <w:rPr>
          <w:rFonts w:ascii="Arial" w:hAnsi="Arial" w:cs="Arial"/>
          <w:i/>
          <w:sz w:val="24"/>
          <w:szCs w:val="24"/>
        </w:rPr>
        <w:t xml:space="preserve">. </w:t>
      </w:r>
      <w:r w:rsidRPr="00D358EC">
        <w:rPr>
          <w:rFonts w:ascii="Arial" w:hAnsi="Arial" w:cs="Arial"/>
          <w:sz w:val="24"/>
          <w:szCs w:val="24"/>
        </w:rPr>
        <w:t xml:space="preserve">The question can be raised how a bookmaking organisation can continue to show stable long term fiscal growth in a business environment utilising FOBT’s that have been deemed both unethical </w:t>
      </w:r>
      <w:sdt>
        <w:sdtPr>
          <w:rPr>
            <w:rFonts w:ascii="Arial" w:hAnsi="Arial" w:cs="Arial"/>
            <w:sz w:val="24"/>
            <w:szCs w:val="24"/>
          </w:rPr>
          <w:id w:val="14124154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Gam13 \l 2057 </w:instrText>
          </w:r>
          <w:r w:rsidRPr="00D358EC">
            <w:rPr>
              <w:rFonts w:ascii="Arial" w:hAnsi="Arial" w:cs="Arial"/>
              <w:sz w:val="24"/>
              <w:szCs w:val="24"/>
            </w:rPr>
            <w:fldChar w:fldCharType="separate"/>
          </w:r>
          <w:r w:rsidRPr="00D358EC">
            <w:rPr>
              <w:rFonts w:ascii="Arial" w:hAnsi="Arial" w:cs="Arial"/>
              <w:noProof/>
              <w:sz w:val="24"/>
              <w:szCs w:val="24"/>
            </w:rPr>
            <w:t>(Gaming-Business, 2013)</w:t>
          </w:r>
          <w:r w:rsidRPr="00D358EC">
            <w:rPr>
              <w:rFonts w:ascii="Arial" w:hAnsi="Arial" w:cs="Arial"/>
              <w:noProof/>
              <w:sz w:val="24"/>
              <w:szCs w:val="24"/>
            </w:rPr>
            <w:fldChar w:fldCharType="end"/>
          </w:r>
        </w:sdtContent>
      </w:sdt>
      <w:r w:rsidRPr="00D358EC">
        <w:rPr>
          <w:rFonts w:ascii="Arial" w:hAnsi="Arial" w:cs="Arial"/>
          <w:sz w:val="24"/>
          <w:szCs w:val="24"/>
        </w:rPr>
        <w:t xml:space="preserve"> and creating</w:t>
      </w:r>
      <w:r w:rsidRPr="00D358EC">
        <w:rPr>
          <w:rFonts w:ascii="Arial" w:hAnsi="Arial" w:cs="Arial"/>
          <w:i/>
          <w:sz w:val="24"/>
          <w:szCs w:val="24"/>
        </w:rPr>
        <w:t xml:space="preserve"> a “social injustice”</w:t>
      </w:r>
      <w:sdt>
        <w:sdtPr>
          <w:rPr>
            <w:rFonts w:ascii="Arial" w:hAnsi="Arial" w:cs="Arial"/>
            <w:sz w:val="24"/>
            <w:szCs w:val="24"/>
          </w:rPr>
          <w:id w:val="-205862049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Wal18 \l 2057 </w:instrText>
          </w:r>
          <w:r w:rsidRPr="00D358EC">
            <w:rPr>
              <w:rFonts w:ascii="Arial" w:hAnsi="Arial" w:cs="Arial"/>
              <w:sz w:val="24"/>
              <w:szCs w:val="24"/>
            </w:rPr>
            <w:fldChar w:fldCharType="separate"/>
          </w:r>
          <w:r w:rsidRPr="00D358EC">
            <w:rPr>
              <w:rFonts w:ascii="Arial" w:hAnsi="Arial" w:cs="Arial"/>
              <w:noProof/>
              <w:sz w:val="24"/>
              <w:szCs w:val="24"/>
            </w:rPr>
            <w:t xml:space="preserve"> (Walker, 2018)</w:t>
          </w:r>
          <w:r w:rsidRPr="00D358EC">
            <w:rPr>
              <w:rFonts w:ascii="Arial" w:hAnsi="Arial" w:cs="Arial"/>
              <w:noProof/>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30" w:name="_Toc513204078"/>
      <w:bookmarkStart w:id="31" w:name="_Toc513881224"/>
      <w:r w:rsidRPr="00D358EC">
        <w:t>2.11.2 Corporate Social Responsibility within the betting industry</w:t>
      </w:r>
      <w:bookmarkEnd w:id="30"/>
      <w:bookmarkEnd w:id="31"/>
    </w:p>
    <w:p w:rsidR="000A679E" w:rsidRPr="00D358EC" w:rsidRDefault="000A679E" w:rsidP="000A679E">
      <w:pPr>
        <w:jc w:val="both"/>
        <w:rPr>
          <w:rFonts w:ascii="Arial" w:hAnsi="Arial" w:cs="Arial"/>
          <w:b/>
          <w:sz w:val="24"/>
          <w:szCs w:val="24"/>
        </w:rPr>
      </w:pP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i/>
          <w:sz w:val="24"/>
          <w:szCs w:val="24"/>
        </w:rPr>
      </w:pPr>
      <w:r w:rsidRPr="00D358EC">
        <w:rPr>
          <w:rFonts w:ascii="Arial" w:hAnsi="Arial" w:cs="Arial"/>
          <w:i/>
          <w:sz w:val="24"/>
          <w:szCs w:val="24"/>
        </w:rPr>
        <w:t>‘There is no evidence that any particular product is more harmful that the other’</w:t>
      </w: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b/>
          <w:sz w:val="24"/>
          <w:szCs w:val="24"/>
        </w:rPr>
      </w:pPr>
      <w:proofErr w:type="gramStart"/>
      <w:r w:rsidRPr="00D358EC">
        <w:rPr>
          <w:rFonts w:ascii="Arial" w:hAnsi="Arial" w:cs="Arial"/>
          <w:sz w:val="24"/>
          <w:szCs w:val="24"/>
        </w:rPr>
        <w:t>William Hill PLC on encouraging responsible gambling.</w:t>
      </w:r>
      <w:proofErr w:type="gramEnd"/>
      <w:r w:rsidRPr="00D358EC">
        <w:rPr>
          <w:rFonts w:ascii="Arial" w:hAnsi="Arial" w:cs="Arial"/>
          <w:sz w:val="24"/>
          <w:szCs w:val="24"/>
        </w:rPr>
        <w:t xml:space="preserve"> </w:t>
      </w:r>
      <w:sdt>
        <w:sdtPr>
          <w:rPr>
            <w:rFonts w:ascii="Arial" w:hAnsi="Arial" w:cs="Arial"/>
            <w:sz w:val="24"/>
            <w:szCs w:val="24"/>
          </w:rPr>
          <w:id w:val="862940354"/>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Wil18 \n  \t  \l 2057 </w:instrText>
          </w:r>
          <w:r w:rsidRPr="00D358EC">
            <w:rPr>
              <w:rFonts w:ascii="Arial" w:hAnsi="Arial" w:cs="Arial"/>
              <w:sz w:val="24"/>
              <w:szCs w:val="24"/>
            </w:rPr>
            <w:fldChar w:fldCharType="separate"/>
          </w:r>
          <w:r w:rsidRPr="00D358EC">
            <w:rPr>
              <w:rFonts w:ascii="Arial" w:hAnsi="Arial" w:cs="Arial"/>
              <w:noProof/>
              <w:sz w:val="24"/>
              <w:szCs w:val="24"/>
            </w:rPr>
            <w:t>(2018)</w:t>
          </w:r>
          <w:r w:rsidRPr="00D358EC">
            <w:rPr>
              <w:rFonts w:ascii="Arial" w:hAnsi="Arial" w:cs="Arial"/>
              <w:sz w:val="24"/>
              <w:szCs w:val="24"/>
            </w:rPr>
            <w:fldChar w:fldCharType="end"/>
          </w:r>
        </w:sdtContent>
      </w:sdt>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William Hill produced its first CSR report in 2013 and subsequently undertakes this annually. In their 2017 CSR report </w:t>
      </w:r>
      <w:sdt>
        <w:sdtPr>
          <w:rPr>
            <w:rFonts w:ascii="Arial" w:hAnsi="Arial" w:cs="Arial"/>
            <w:sz w:val="24"/>
            <w:szCs w:val="24"/>
          </w:rPr>
          <w:id w:val="21357451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Wil17 \l 2057  </w:instrText>
          </w:r>
          <w:r w:rsidRPr="00D358EC">
            <w:rPr>
              <w:rFonts w:ascii="Arial" w:hAnsi="Arial" w:cs="Arial"/>
              <w:sz w:val="24"/>
              <w:szCs w:val="24"/>
            </w:rPr>
            <w:fldChar w:fldCharType="separate"/>
          </w:r>
          <w:r w:rsidRPr="00D358EC">
            <w:rPr>
              <w:rFonts w:ascii="Arial" w:hAnsi="Arial" w:cs="Arial"/>
              <w:noProof/>
              <w:sz w:val="24"/>
              <w:szCs w:val="24"/>
            </w:rPr>
            <w:t>(William Hill, 2017)</w:t>
          </w:r>
          <w:r w:rsidRPr="00D358EC">
            <w:rPr>
              <w:rFonts w:ascii="Arial" w:hAnsi="Arial" w:cs="Arial"/>
              <w:noProof/>
              <w:sz w:val="24"/>
              <w:szCs w:val="24"/>
            </w:rPr>
            <w:fldChar w:fldCharType="end"/>
          </w:r>
        </w:sdtContent>
      </w:sdt>
      <w:r w:rsidRPr="00D358EC">
        <w:rPr>
          <w:rFonts w:ascii="Arial" w:hAnsi="Arial" w:cs="Arial"/>
          <w:sz w:val="24"/>
          <w:szCs w:val="24"/>
        </w:rPr>
        <w:t xml:space="preserve"> and using statistics provided from the English Health Survey, William Hill have ascertained that the percentage of adults with a propensity to have a problem gambling is 0.5%. This raises the initial question should something be changed to benefit the small minority of FOBT uses who experience a problem in gambling. In February of 2018, the ABB highlighted a research paper undertaken by the gambling commission that showed that customers risk losing more money in arcades than on FOBT terminals</w:t>
      </w:r>
      <w:sdt>
        <w:sdtPr>
          <w:rPr>
            <w:rFonts w:ascii="Arial" w:hAnsi="Arial" w:cs="Arial"/>
            <w:sz w:val="24"/>
            <w:szCs w:val="24"/>
          </w:rPr>
          <w:id w:val="5053668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ABB17 \l 2057 </w:instrText>
          </w:r>
          <w:r w:rsidRPr="00D358EC">
            <w:rPr>
              <w:rFonts w:ascii="Arial" w:hAnsi="Arial" w:cs="Arial"/>
              <w:sz w:val="24"/>
              <w:szCs w:val="24"/>
            </w:rPr>
            <w:fldChar w:fldCharType="separate"/>
          </w:r>
          <w:r w:rsidRPr="00D358EC">
            <w:rPr>
              <w:rFonts w:ascii="Arial" w:hAnsi="Arial" w:cs="Arial"/>
              <w:noProof/>
              <w:sz w:val="24"/>
              <w:szCs w:val="24"/>
            </w:rPr>
            <w:t xml:space="preserve"> (ABB, 2017)</w:t>
          </w:r>
          <w:r w:rsidRPr="00D358EC">
            <w:rPr>
              <w:rFonts w:ascii="Arial" w:hAnsi="Arial" w:cs="Arial"/>
              <w:noProof/>
              <w:sz w:val="24"/>
              <w:szCs w:val="24"/>
            </w:rPr>
            <w:fldChar w:fldCharType="end"/>
          </w:r>
        </w:sdtContent>
      </w:sdt>
      <w:r w:rsidRPr="00D358EC">
        <w:rPr>
          <w:rFonts w:ascii="Arial" w:hAnsi="Arial" w:cs="Arial"/>
          <w:sz w:val="24"/>
          <w:szCs w:val="24"/>
        </w:rPr>
        <w:t>. It has been publically noted that customers playing FOBT’s within bookmakers lost a combined total of £1.8b in 2017</w:t>
      </w:r>
      <w:sdt>
        <w:sdtPr>
          <w:rPr>
            <w:rFonts w:ascii="Arial" w:hAnsi="Arial" w:cs="Arial"/>
            <w:sz w:val="24"/>
            <w:szCs w:val="24"/>
          </w:rPr>
          <w:id w:val="21357451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Pra18 \l 2057 </w:instrText>
          </w:r>
          <w:r w:rsidRPr="00D358EC">
            <w:rPr>
              <w:rFonts w:ascii="Arial" w:hAnsi="Arial" w:cs="Arial"/>
              <w:sz w:val="24"/>
              <w:szCs w:val="24"/>
            </w:rPr>
            <w:fldChar w:fldCharType="separate"/>
          </w:r>
          <w:r w:rsidRPr="00D358EC">
            <w:rPr>
              <w:rFonts w:ascii="Arial" w:hAnsi="Arial" w:cs="Arial"/>
              <w:noProof/>
              <w:sz w:val="24"/>
              <w:szCs w:val="24"/>
            </w:rPr>
            <w:t xml:space="preserve"> (Pratley, 2018)</w:t>
          </w:r>
          <w:r w:rsidRPr="00D358EC">
            <w:rPr>
              <w:rFonts w:ascii="Arial" w:hAnsi="Arial" w:cs="Arial"/>
              <w:noProof/>
              <w:sz w:val="24"/>
              <w:szCs w:val="24"/>
            </w:rPr>
            <w:fldChar w:fldCharType="end"/>
          </w:r>
        </w:sdtContent>
      </w:sdt>
      <w:r w:rsidRPr="00D358EC">
        <w:rPr>
          <w:rFonts w:ascii="Arial" w:hAnsi="Arial" w:cs="Arial"/>
          <w:sz w:val="24"/>
          <w:szCs w:val="24"/>
        </w:rPr>
        <w:t>.  As Friedman affirmed the purpose of a business is to make money. William Hill retort that ‘</w:t>
      </w:r>
      <w:r w:rsidRPr="00D358EC">
        <w:rPr>
          <w:rFonts w:ascii="Arial" w:hAnsi="Arial" w:cs="Arial"/>
          <w:i/>
          <w:sz w:val="24"/>
          <w:szCs w:val="24"/>
        </w:rPr>
        <w:t>there is no evidence that any particular product is more harmful that the other’</w:t>
      </w:r>
      <w:r w:rsidRPr="00D358EC">
        <w:rPr>
          <w:rFonts w:ascii="Arial" w:hAnsi="Arial" w:cs="Arial"/>
          <w:sz w:val="24"/>
          <w:szCs w:val="24"/>
        </w:rPr>
        <w:t>. However, various pressure groups have stated that not enough is being done by bookmakers to be responsible towards FOBT’s. As with any product being reduced, the initial short term loss on the product would be offset by an increase in similarly available products such as horse racing and other sporting bets. This would provide a much needed boost to a stagnated industry. UK bookmakers Ladbrokes, in addition to William Hill have stated that many local charity and community projects around the UK that a reliant on direct bookmaker funding would cease to exist with the loss in revenue from B2 FOBT machines</w:t>
      </w:r>
      <w:sdt>
        <w:sdtPr>
          <w:rPr>
            <w:rFonts w:ascii="Arial" w:hAnsi="Arial" w:cs="Arial"/>
            <w:sz w:val="24"/>
            <w:szCs w:val="24"/>
          </w:rPr>
          <w:id w:val="5053812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Wil17 \l 2057 </w:instrText>
          </w:r>
          <w:r w:rsidRPr="00D358EC">
            <w:rPr>
              <w:rFonts w:ascii="Arial" w:hAnsi="Arial" w:cs="Arial"/>
              <w:sz w:val="24"/>
              <w:szCs w:val="24"/>
            </w:rPr>
            <w:fldChar w:fldCharType="separate"/>
          </w:r>
          <w:r w:rsidRPr="00D358EC">
            <w:rPr>
              <w:rFonts w:ascii="Arial" w:hAnsi="Arial" w:cs="Arial"/>
              <w:noProof/>
              <w:sz w:val="24"/>
              <w:szCs w:val="24"/>
            </w:rPr>
            <w:t xml:space="preserve"> (William Hill, 2017)</w:t>
          </w:r>
          <w:r w:rsidRPr="00D358EC">
            <w:rPr>
              <w:rFonts w:ascii="Arial" w:hAnsi="Arial" w:cs="Arial"/>
              <w:noProof/>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 xml:space="preserve">With current regulatory scrutiny around problem gambling in recent years it has encouraged the once ‘shady industry’ </w:t>
      </w:r>
      <w:sdt>
        <w:sdtPr>
          <w:rPr>
            <w:rFonts w:ascii="Arial" w:hAnsi="Arial" w:cs="Arial"/>
            <w:sz w:val="24"/>
            <w:szCs w:val="24"/>
          </w:rPr>
          <w:id w:val="21357451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his18 \l 2057  </w:instrText>
          </w:r>
          <w:r w:rsidRPr="00D358EC">
            <w:rPr>
              <w:rFonts w:ascii="Arial" w:hAnsi="Arial" w:cs="Arial"/>
              <w:sz w:val="24"/>
              <w:szCs w:val="24"/>
            </w:rPr>
            <w:fldChar w:fldCharType="separate"/>
          </w:r>
          <w:r w:rsidRPr="00D358EC">
            <w:rPr>
              <w:rFonts w:ascii="Arial" w:hAnsi="Arial" w:cs="Arial"/>
              <w:noProof/>
              <w:sz w:val="24"/>
              <w:szCs w:val="24"/>
            </w:rPr>
            <w:t>(The History of Betting, 2018)</w:t>
          </w:r>
          <w:r w:rsidRPr="00D358EC">
            <w:rPr>
              <w:rFonts w:ascii="Arial" w:hAnsi="Arial" w:cs="Arial"/>
              <w:noProof/>
              <w:sz w:val="24"/>
              <w:szCs w:val="24"/>
            </w:rPr>
            <w:fldChar w:fldCharType="end"/>
          </w:r>
        </w:sdtContent>
      </w:sdt>
      <w:r w:rsidRPr="00D358EC">
        <w:rPr>
          <w:rFonts w:ascii="Arial" w:hAnsi="Arial" w:cs="Arial"/>
          <w:sz w:val="24"/>
          <w:szCs w:val="24"/>
        </w:rPr>
        <w:t xml:space="preserve"> to be more transparent in their operations and corporate social responsibilities. The key idea of sustainability is the uncertainty of greater regulation from government and William Hillfound that the environmental impact was the key factor in long term sustainability. </w:t>
      </w:r>
    </w:p>
    <w:p w:rsidR="000A679E" w:rsidRPr="00D358EC" w:rsidRDefault="000A679E" w:rsidP="000A679E">
      <w:pPr>
        <w:jc w:val="both"/>
        <w:rPr>
          <w:rFonts w:ascii="Arial" w:hAnsi="Arial" w:cs="Arial"/>
          <w:sz w:val="24"/>
          <w:szCs w:val="24"/>
        </w:rPr>
      </w:pP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i/>
          <w:sz w:val="24"/>
          <w:szCs w:val="24"/>
        </w:rPr>
      </w:pPr>
      <w:r w:rsidRPr="00D358EC">
        <w:rPr>
          <w:rFonts w:ascii="Arial" w:hAnsi="Arial" w:cs="Arial"/>
          <w:i/>
          <w:sz w:val="24"/>
          <w:szCs w:val="24"/>
        </w:rPr>
        <w:t>“FOBT stakes will be cut to ensure we have a safe and sustainable industry where vulnerable people and children are protected”</w:t>
      </w:r>
    </w:p>
    <w:p w:rsidR="000A679E" w:rsidRPr="00D358EC" w:rsidRDefault="000A679E" w:rsidP="000A679E">
      <w:pPr>
        <w:pBdr>
          <w:top w:val="single" w:sz="4" w:space="1" w:color="auto"/>
          <w:left w:val="single" w:sz="4" w:space="4" w:color="auto"/>
          <w:bottom w:val="single" w:sz="4" w:space="1" w:color="auto"/>
          <w:right w:val="single" w:sz="4" w:space="4" w:color="auto"/>
        </w:pBdr>
        <w:jc w:val="both"/>
        <w:rPr>
          <w:rFonts w:ascii="Arial" w:hAnsi="Arial" w:cs="Arial"/>
          <w:sz w:val="24"/>
          <w:szCs w:val="24"/>
        </w:rPr>
      </w:pPr>
      <w:r w:rsidRPr="00D358EC">
        <w:rPr>
          <w:rFonts w:ascii="Arial" w:hAnsi="Arial" w:cs="Arial"/>
          <w:sz w:val="24"/>
          <w:szCs w:val="24"/>
        </w:rPr>
        <w:t>Department for Culture, Media and Sport 22/1/18</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Coral (running from a division of the Gala Coral group), as part of their responsible gambling initiative</w:t>
      </w:r>
      <w:sdt>
        <w:sdtPr>
          <w:rPr>
            <w:rFonts w:ascii="Arial" w:hAnsi="Arial" w:cs="Arial"/>
            <w:sz w:val="24"/>
            <w:szCs w:val="24"/>
          </w:rPr>
          <w:id w:val="21357452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Gal18 \l 2057 </w:instrText>
          </w:r>
          <w:r w:rsidRPr="00D358EC">
            <w:rPr>
              <w:rFonts w:ascii="Arial" w:hAnsi="Arial" w:cs="Arial"/>
              <w:sz w:val="24"/>
              <w:szCs w:val="24"/>
            </w:rPr>
            <w:fldChar w:fldCharType="separate"/>
          </w:r>
          <w:r w:rsidRPr="00D358EC">
            <w:rPr>
              <w:rFonts w:ascii="Arial" w:hAnsi="Arial" w:cs="Arial"/>
              <w:noProof/>
              <w:sz w:val="24"/>
              <w:szCs w:val="24"/>
            </w:rPr>
            <w:t xml:space="preserve"> (Coral, 2018)</w:t>
          </w:r>
          <w:r w:rsidRPr="00D358EC">
            <w:rPr>
              <w:rFonts w:ascii="Arial" w:hAnsi="Arial" w:cs="Arial"/>
              <w:noProof/>
              <w:sz w:val="24"/>
              <w:szCs w:val="24"/>
            </w:rPr>
            <w:fldChar w:fldCharType="end"/>
          </w:r>
        </w:sdtContent>
      </w:sdt>
      <w:r w:rsidRPr="00D358EC">
        <w:rPr>
          <w:rFonts w:ascii="Arial" w:hAnsi="Arial" w:cs="Arial"/>
          <w:sz w:val="24"/>
          <w:szCs w:val="24"/>
        </w:rPr>
        <w:t xml:space="preserve"> introduced several measures in order to promote safer gambling such as a budget calculator available from their website, the ability to set deposit limits and a money diary</w:t>
      </w:r>
      <w:sdt>
        <w:sdtPr>
          <w:rPr>
            <w:rFonts w:ascii="Arial" w:hAnsi="Arial" w:cs="Arial"/>
            <w:sz w:val="24"/>
            <w:szCs w:val="24"/>
          </w:rPr>
          <w:id w:val="5053811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w:t>
          </w:r>
          <w:r w:rsidRPr="00D358EC">
            <w:rPr>
              <w:rFonts w:ascii="Arial" w:hAnsi="Arial" w:cs="Arial"/>
              <w:noProof/>
              <w:sz w:val="24"/>
              <w:szCs w:val="24"/>
            </w:rPr>
            <w:fldChar w:fldCharType="end"/>
          </w:r>
        </w:sdtContent>
      </w:sdt>
      <w:r w:rsidRPr="00D358EC">
        <w:rPr>
          <w:rFonts w:ascii="Arial" w:hAnsi="Arial" w:cs="Arial"/>
          <w:sz w:val="24"/>
          <w:szCs w:val="24"/>
        </w:rPr>
        <w:t>. However, whilst these options are available online, there is little available to protect problem gamblers within a bookmakers.  In contrast, within a typical book maker store there will be signage showing the licensing agreement to accept bets and various posters highlighting CSR initiatives such as helping to reduce problem gambling leaflets</w:t>
      </w:r>
      <w:sdt>
        <w:sdtPr>
          <w:rPr>
            <w:rFonts w:ascii="Arial" w:hAnsi="Arial" w:cs="Arial"/>
            <w:sz w:val="24"/>
            <w:szCs w:val="24"/>
          </w:rPr>
          <w:id w:val="5053811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Gal18 \l 2057 </w:instrText>
          </w:r>
          <w:r w:rsidRPr="00D358EC">
            <w:rPr>
              <w:rFonts w:ascii="Arial" w:hAnsi="Arial" w:cs="Arial"/>
              <w:sz w:val="24"/>
              <w:szCs w:val="24"/>
            </w:rPr>
            <w:fldChar w:fldCharType="separate"/>
          </w:r>
          <w:r w:rsidRPr="00D358EC">
            <w:rPr>
              <w:rFonts w:ascii="Arial" w:hAnsi="Arial" w:cs="Arial"/>
              <w:noProof/>
              <w:sz w:val="24"/>
              <w:szCs w:val="24"/>
            </w:rPr>
            <w:t xml:space="preserve"> (Coral, 2018)</w:t>
          </w:r>
          <w:r w:rsidRPr="00D358EC">
            <w:rPr>
              <w:rFonts w:ascii="Arial" w:hAnsi="Arial" w:cs="Arial"/>
              <w:noProof/>
              <w:sz w:val="24"/>
              <w:szCs w:val="24"/>
            </w:rPr>
            <w:fldChar w:fldCharType="end"/>
          </w:r>
        </w:sdtContent>
      </w:sdt>
      <w:r w:rsidRPr="00D358EC">
        <w:rPr>
          <w:rFonts w:ascii="Arial" w:hAnsi="Arial" w:cs="Arial"/>
          <w:sz w:val="24"/>
          <w:szCs w:val="24"/>
        </w:rPr>
        <w:t>. It has been noted by Peter J Adams that ’</w:t>
      </w:r>
      <w:r w:rsidRPr="00D358EC">
        <w:rPr>
          <w:rFonts w:ascii="Arial" w:hAnsi="Arial" w:cs="Arial"/>
          <w:i/>
          <w:sz w:val="24"/>
          <w:szCs w:val="24"/>
        </w:rPr>
        <w:t xml:space="preserve">gambling corporate social responsibility efforts have not yet embraced the potential of redesigning the </w:t>
      </w:r>
      <w:proofErr w:type="gramStart"/>
      <w:r w:rsidRPr="00D358EC">
        <w:rPr>
          <w:rFonts w:ascii="Arial" w:hAnsi="Arial" w:cs="Arial"/>
          <w:i/>
          <w:sz w:val="24"/>
          <w:szCs w:val="24"/>
        </w:rPr>
        <w:t>product ’</w:t>
      </w:r>
      <w:proofErr w:type="gramEnd"/>
      <w:sdt>
        <w:sdtPr>
          <w:rPr>
            <w:rFonts w:ascii="Arial" w:hAnsi="Arial" w:cs="Arial"/>
            <w:i/>
            <w:sz w:val="24"/>
            <w:szCs w:val="24"/>
          </w:rPr>
          <w:id w:val="213574520"/>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Ada16 \p 97 \n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(2016, p. 97)</w:t>
          </w:r>
          <w:r w:rsidRPr="00D358EC">
            <w:rPr>
              <w:rFonts w:ascii="Arial" w:hAnsi="Arial" w:cs="Arial"/>
              <w:i/>
              <w:sz w:val="24"/>
              <w:szCs w:val="24"/>
            </w:rPr>
            <w:fldChar w:fldCharType="end"/>
          </w:r>
        </w:sdtContent>
      </w:sdt>
      <w:r w:rsidRPr="00D358EC">
        <w:rPr>
          <w:rFonts w:ascii="Arial" w:hAnsi="Arial" w:cs="Arial"/>
          <w:i/>
          <w:sz w:val="24"/>
          <w:szCs w:val="24"/>
        </w:rPr>
        <w:t xml:space="preserve">. </w:t>
      </w:r>
      <w:r w:rsidRPr="00D358EC">
        <w:rPr>
          <w:rFonts w:ascii="Arial" w:hAnsi="Arial" w:cs="Arial"/>
          <w:sz w:val="24"/>
          <w:szCs w:val="24"/>
        </w:rPr>
        <w:t>It needs to be reiterated that as CSR itself is not law, it is not imposable on any organisation and again raises the question</w:t>
      </w:r>
    </w:p>
    <w:p w:rsidR="000A679E" w:rsidRPr="00D358EC" w:rsidRDefault="000A679E" w:rsidP="000A679E">
      <w:pPr>
        <w:jc w:val="both"/>
        <w:rPr>
          <w:rFonts w:ascii="Arial" w:hAnsi="Arial" w:cs="Arial"/>
          <w:i/>
          <w:sz w:val="24"/>
          <w:szCs w:val="24"/>
        </w:rPr>
      </w:pPr>
      <w:r w:rsidRPr="00D358EC">
        <w:rPr>
          <w:rFonts w:ascii="Arial" w:hAnsi="Arial" w:cs="Arial"/>
          <w:sz w:val="24"/>
          <w:szCs w:val="24"/>
        </w:rPr>
        <w:t xml:space="preserve">A £6.2m fine imposed on William Hill by the gambling commission for </w:t>
      </w:r>
      <w:r w:rsidRPr="00D358EC">
        <w:rPr>
          <w:rFonts w:ascii="Arial" w:hAnsi="Arial" w:cs="Arial"/>
          <w:i/>
          <w:sz w:val="24"/>
          <w:szCs w:val="24"/>
        </w:rPr>
        <w:t xml:space="preserve">‘abusing the system through exploitation </w:t>
      </w:r>
      <w:r w:rsidRPr="00D358EC">
        <w:rPr>
          <w:rFonts w:ascii="Arial" w:hAnsi="Arial" w:cs="Arial"/>
          <w:sz w:val="24"/>
          <w:szCs w:val="24"/>
        </w:rPr>
        <w:t>‘by being overtly trusting to where problem gamblers get their money from</w:t>
      </w:r>
      <w:sdt>
        <w:sdtPr>
          <w:rPr>
            <w:rFonts w:ascii="Arial" w:hAnsi="Arial" w:cs="Arial"/>
            <w:sz w:val="24"/>
            <w:szCs w:val="24"/>
          </w:rPr>
          <w:id w:val="490682801"/>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The18 \l 2057 </w:instrText>
          </w:r>
          <w:r w:rsidRPr="00D358EC">
            <w:rPr>
              <w:rFonts w:ascii="Arial" w:hAnsi="Arial" w:cs="Arial"/>
              <w:sz w:val="24"/>
              <w:szCs w:val="24"/>
            </w:rPr>
            <w:fldChar w:fldCharType="separate"/>
          </w:r>
          <w:r w:rsidRPr="00D358EC">
            <w:rPr>
              <w:rFonts w:ascii="Arial" w:hAnsi="Arial" w:cs="Arial"/>
              <w:noProof/>
              <w:sz w:val="24"/>
              <w:szCs w:val="24"/>
            </w:rPr>
            <w:t xml:space="preserve"> (Monaghan, 2018)</w:t>
          </w:r>
          <w:r w:rsidRPr="00D358EC">
            <w:rPr>
              <w:rFonts w:ascii="Arial" w:hAnsi="Arial" w:cs="Arial"/>
              <w:sz w:val="24"/>
              <w:szCs w:val="24"/>
            </w:rPr>
            <w:fldChar w:fldCharType="end"/>
          </w:r>
        </w:sdtContent>
      </w:sdt>
      <w:r w:rsidRPr="00D358EC">
        <w:rPr>
          <w:rFonts w:ascii="Arial" w:hAnsi="Arial" w:cs="Arial"/>
          <w:sz w:val="24"/>
          <w:szCs w:val="24"/>
        </w:rPr>
        <w:t>. This is shortly after online casino giant 888 was fined £7.8m for the same reason, failure to protect its vulnerable customers</w:t>
      </w:r>
      <w:sdt>
        <w:sdtPr>
          <w:rPr>
            <w:rFonts w:ascii="Arial" w:hAnsi="Arial" w:cs="Arial"/>
            <w:sz w:val="24"/>
            <w:szCs w:val="24"/>
          </w:rPr>
          <w:id w:val="-723216928"/>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Dav16 \t  \l 2057 </w:instrText>
          </w:r>
          <w:r w:rsidRPr="00D358EC">
            <w:rPr>
              <w:rFonts w:ascii="Arial" w:hAnsi="Arial" w:cs="Arial"/>
              <w:sz w:val="24"/>
              <w:szCs w:val="24"/>
            </w:rPr>
            <w:fldChar w:fldCharType="separate"/>
          </w:r>
          <w:r w:rsidRPr="00D358EC">
            <w:rPr>
              <w:rFonts w:ascii="Arial" w:hAnsi="Arial" w:cs="Arial"/>
              <w:noProof/>
              <w:sz w:val="24"/>
              <w:szCs w:val="24"/>
            </w:rPr>
            <w:t xml:space="preserve"> (Davies, 2017)</w:t>
          </w:r>
          <w:r w:rsidRPr="00D358EC">
            <w:rPr>
              <w:rFonts w:ascii="Arial" w:hAnsi="Arial" w:cs="Arial"/>
              <w:sz w:val="24"/>
              <w:szCs w:val="24"/>
            </w:rPr>
            <w:fldChar w:fldCharType="end"/>
          </w:r>
        </w:sdtContent>
      </w:sdt>
      <w:r w:rsidRPr="00D358EC">
        <w:rPr>
          <w:rFonts w:ascii="Arial" w:hAnsi="Arial" w:cs="Arial"/>
          <w:sz w:val="24"/>
          <w:szCs w:val="24"/>
        </w:rPr>
        <w:t>. Labour MP Tom Watson proclaimed that ‘</w:t>
      </w:r>
      <w:r w:rsidRPr="00D358EC">
        <w:rPr>
          <w:rFonts w:ascii="Arial" w:hAnsi="Arial" w:cs="Arial"/>
          <w:i/>
          <w:sz w:val="24"/>
          <w:szCs w:val="24"/>
        </w:rPr>
        <w:t xml:space="preserve">this is an industry that talks about “responsible gambling, they are turning a blind eye to dirty money’. </w:t>
      </w:r>
    </w:p>
    <w:p w:rsidR="000A679E" w:rsidRPr="00D358EC" w:rsidRDefault="000A679E" w:rsidP="000A679E">
      <w:pPr>
        <w:jc w:val="both"/>
        <w:rPr>
          <w:rFonts w:ascii="Arial" w:hAnsi="Arial" w:cs="Arial"/>
          <w:i/>
          <w:sz w:val="24"/>
          <w:szCs w:val="24"/>
        </w:rPr>
      </w:pPr>
    </w:p>
    <w:p w:rsidR="000A679E" w:rsidRPr="00D358EC" w:rsidRDefault="000A679E" w:rsidP="000A679E">
      <w:pPr>
        <w:pStyle w:val="Heading2"/>
        <w:jc w:val="both"/>
        <w:rPr>
          <w:rFonts w:ascii="Arial" w:hAnsi="Arial" w:cs="Arial"/>
          <w:sz w:val="24"/>
          <w:szCs w:val="24"/>
        </w:rPr>
      </w:pPr>
      <w:bookmarkStart w:id="32" w:name="_Toc513204079"/>
      <w:bookmarkStart w:id="33" w:name="_Toc513881225"/>
      <w:r w:rsidRPr="00D358EC">
        <w:rPr>
          <w:rFonts w:ascii="Arial" w:hAnsi="Arial" w:cs="Arial"/>
          <w:sz w:val="24"/>
          <w:szCs w:val="24"/>
        </w:rPr>
        <w:t>2.12 Conclusion</w:t>
      </w:r>
      <w:bookmarkEnd w:id="32"/>
      <w:bookmarkEnd w:id="33"/>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As Friedman’s views were replaced with Carroll’s in the eyes of many with regards to how a business should operate, there exist no laws to force any company or organisation to undertake any element of CSR. CSR remains an idea that has not been fully integrated into every business because it has no need to be. However, in such industries where there morally should be a level of responsibility, it remains to be seen what is done on a grass roots level to prevent problem gambling and to reduce perceived harm that exists within fixed odds betting terminals.  </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 xml:space="preserve">The following section will provide details of and the subsequent justification of the methods used whilst conducting research. This chapter will surmise the necessary techniques needed to fulfil the objective criteria. </w:t>
      </w:r>
    </w:p>
    <w:p w:rsidR="000A679E" w:rsidRPr="00D358EC" w:rsidRDefault="000A679E" w:rsidP="000A679E">
      <w:pPr>
        <w:jc w:val="both"/>
        <w:rPr>
          <w:rFonts w:ascii="Arial" w:eastAsiaTheme="majorEastAsia" w:hAnsi="Arial" w:cs="Arial"/>
          <w:b/>
          <w:bCs/>
          <w:color w:val="365F91" w:themeColor="accent1" w:themeShade="BF"/>
          <w:sz w:val="24"/>
          <w:szCs w:val="24"/>
          <w:lang w:val="en-US" w:bidi="en-US"/>
        </w:rPr>
      </w:pPr>
      <w:r w:rsidRPr="00D358EC">
        <w:rPr>
          <w:rFonts w:ascii="Arial" w:hAnsi="Arial" w:cs="Arial"/>
          <w:sz w:val="24"/>
          <w:szCs w:val="24"/>
        </w:rPr>
        <w:br w:type="page"/>
      </w:r>
    </w:p>
    <w:p w:rsidR="000A679E" w:rsidRPr="00D358EC" w:rsidRDefault="000A679E" w:rsidP="000A679E">
      <w:pPr>
        <w:pStyle w:val="Heading1"/>
        <w:jc w:val="both"/>
        <w:rPr>
          <w:rFonts w:ascii="Arial" w:hAnsi="Arial" w:cs="Arial"/>
          <w:sz w:val="24"/>
          <w:szCs w:val="24"/>
        </w:rPr>
      </w:pPr>
      <w:bookmarkStart w:id="34" w:name="_Toc513881226"/>
      <w:bookmarkStart w:id="35" w:name="_Toc513204080"/>
      <w:r w:rsidRPr="00D358EC">
        <w:rPr>
          <w:rFonts w:ascii="Arial" w:hAnsi="Arial" w:cs="Arial"/>
          <w:sz w:val="24"/>
          <w:szCs w:val="24"/>
        </w:rPr>
        <w:lastRenderedPageBreak/>
        <w:t>Chapter 3 – Research Methodology</w:t>
      </w:r>
      <w:bookmarkEnd w:id="34"/>
    </w:p>
    <w:p w:rsidR="000A679E" w:rsidRPr="00D358EC" w:rsidRDefault="000A679E" w:rsidP="000A679E">
      <w:pPr>
        <w:jc w:val="both"/>
        <w:rPr>
          <w:rFonts w:ascii="Arial" w:hAnsi="Arial" w:cs="Arial"/>
          <w:lang w:val="en-US" w:bidi="en-US"/>
        </w:rPr>
      </w:pPr>
    </w:p>
    <w:bookmarkEnd w:id="35"/>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Saunders et al describe research as </w:t>
      </w:r>
      <w:r w:rsidRPr="00D358EC">
        <w:rPr>
          <w:rFonts w:ascii="Arial" w:hAnsi="Arial" w:cs="Arial"/>
          <w:i/>
          <w:sz w:val="24"/>
          <w:szCs w:val="24"/>
        </w:rPr>
        <w:t xml:space="preserve">“something that people undertake in order to find out things in a systematic way, thereby increasing their knowledge” </w:t>
      </w:r>
      <w:sdt>
        <w:sdtPr>
          <w:rPr>
            <w:rFonts w:ascii="Arial" w:hAnsi="Arial" w:cs="Arial"/>
            <w:sz w:val="24"/>
            <w:szCs w:val="24"/>
          </w:rPr>
          <w:id w:val="30808731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Sau09 \p 5 \n  \t  \l 2057  </w:instrText>
          </w:r>
          <w:r w:rsidRPr="00D358EC">
            <w:rPr>
              <w:rFonts w:ascii="Arial" w:hAnsi="Arial" w:cs="Arial"/>
              <w:sz w:val="24"/>
              <w:szCs w:val="24"/>
            </w:rPr>
            <w:fldChar w:fldCharType="separate"/>
          </w:r>
          <w:r w:rsidRPr="00D358EC">
            <w:rPr>
              <w:rFonts w:ascii="Arial" w:hAnsi="Arial" w:cs="Arial"/>
              <w:noProof/>
              <w:sz w:val="24"/>
              <w:szCs w:val="24"/>
            </w:rPr>
            <w:t>(2009, p. 5)</w:t>
          </w:r>
          <w:r w:rsidRPr="00D358EC">
            <w:rPr>
              <w:rFonts w:ascii="Arial" w:hAnsi="Arial" w:cs="Arial"/>
              <w:sz w:val="24"/>
              <w:szCs w:val="24"/>
            </w:rPr>
            <w:fldChar w:fldCharType="end"/>
          </w:r>
        </w:sdtContent>
      </w:sdt>
      <w:r w:rsidRPr="00D358EC">
        <w:rPr>
          <w:rFonts w:ascii="Arial" w:hAnsi="Arial" w:cs="Arial"/>
          <w:sz w:val="24"/>
          <w:szCs w:val="24"/>
        </w:rPr>
        <w:t xml:space="preserve">  and Kothari (2012) has expanded this definition to incorporate a primary objective as the sole function; </w:t>
      </w:r>
      <w:r w:rsidRPr="00D358EC">
        <w:rPr>
          <w:rFonts w:ascii="Arial" w:hAnsi="Arial" w:cs="Arial"/>
          <w:i/>
          <w:sz w:val="24"/>
          <w:szCs w:val="24"/>
        </w:rPr>
        <w:t xml:space="preserve">“the systematic search for pertinent information on a specific topic” </w:t>
      </w:r>
      <w:sdt>
        <w:sdtPr>
          <w:rPr>
            <w:rFonts w:ascii="Arial" w:hAnsi="Arial" w:cs="Arial"/>
            <w:i/>
            <w:sz w:val="24"/>
            <w:szCs w:val="24"/>
          </w:rPr>
          <w:id w:val="308087314"/>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Kot12 \p 21 \n  \y  \l 2057  </w:instrText>
          </w:r>
          <w:r w:rsidRPr="00D358EC">
            <w:rPr>
              <w:rFonts w:ascii="Arial" w:hAnsi="Arial" w:cs="Arial"/>
              <w:i/>
              <w:sz w:val="24"/>
              <w:szCs w:val="24"/>
            </w:rPr>
            <w:fldChar w:fldCharType="separate"/>
          </w:r>
          <w:r w:rsidRPr="00D358EC">
            <w:rPr>
              <w:rFonts w:ascii="Arial" w:hAnsi="Arial" w:cs="Arial"/>
              <w:noProof/>
              <w:sz w:val="24"/>
              <w:szCs w:val="24"/>
            </w:rPr>
            <w:t>(p. 21)</w:t>
          </w:r>
          <w:r w:rsidRPr="00D358EC">
            <w:rPr>
              <w:rFonts w:ascii="Arial" w:hAnsi="Arial" w:cs="Arial"/>
              <w:i/>
              <w:sz w:val="24"/>
              <w:szCs w:val="24"/>
            </w:rPr>
            <w:fldChar w:fldCharType="end"/>
          </w:r>
        </w:sdtContent>
      </w:sdt>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primary focus of this research is on fixed odds betting machines and whether they are the most harmful form of gambling. This dissertation look to understand what attracts customers to FOBT’s and if enough is being done by third parties to prevent harmful gambling. </w:t>
      </w:r>
    </w:p>
    <w:p w:rsidR="000A679E" w:rsidRPr="00D358EC" w:rsidRDefault="000A679E" w:rsidP="000A679E">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sz w:val="24"/>
          <w:szCs w:val="24"/>
        </w:rPr>
      </w:pPr>
      <w:r w:rsidRPr="00D358EC">
        <w:rPr>
          <w:rFonts w:ascii="Arial" w:hAnsi="Arial" w:cs="Arial"/>
          <w:b/>
          <w:sz w:val="24"/>
          <w:szCs w:val="24"/>
        </w:rPr>
        <w:t>Obje</w:t>
      </w:r>
      <w:r>
        <w:rPr>
          <w:rFonts w:ascii="Arial" w:hAnsi="Arial" w:cs="Arial"/>
          <w:b/>
          <w:sz w:val="24"/>
          <w:szCs w:val="24"/>
        </w:rPr>
        <w:t>ctive 1 – To c</w:t>
      </w:r>
      <w:r w:rsidRPr="00D358EC">
        <w:rPr>
          <w:rFonts w:ascii="Arial" w:hAnsi="Arial" w:cs="Arial"/>
          <w:b/>
          <w:sz w:val="24"/>
          <w:szCs w:val="24"/>
        </w:rPr>
        <w:t>ritically evaluate what attracts customers to using FOBT machines</w:t>
      </w:r>
    </w:p>
    <w:p w:rsidR="000A679E" w:rsidRPr="00D358EC" w:rsidRDefault="000A679E" w:rsidP="000A679E">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sz w:val="24"/>
          <w:szCs w:val="24"/>
        </w:rPr>
      </w:pPr>
      <w:r w:rsidRPr="00D358EC">
        <w:rPr>
          <w:rFonts w:ascii="Arial" w:hAnsi="Arial" w:cs="Arial"/>
          <w:b/>
          <w:sz w:val="24"/>
          <w:szCs w:val="24"/>
        </w:rPr>
        <w:t xml:space="preserve">Objective 2 </w:t>
      </w:r>
      <w:r>
        <w:rPr>
          <w:rFonts w:ascii="Arial" w:hAnsi="Arial" w:cs="Arial"/>
          <w:b/>
          <w:sz w:val="24"/>
          <w:szCs w:val="24"/>
        </w:rPr>
        <w:t>– To analyse</w:t>
      </w:r>
      <w:r w:rsidRPr="00D358EC">
        <w:rPr>
          <w:rFonts w:ascii="Arial" w:hAnsi="Arial" w:cs="Arial"/>
          <w:b/>
          <w:sz w:val="24"/>
          <w:szCs w:val="24"/>
        </w:rPr>
        <w:t xml:space="preserve"> the opinions or FOBT customers with regards to FOBT’s in relation to harmful gambling</w:t>
      </w:r>
    </w:p>
    <w:p w:rsidR="000A679E" w:rsidRPr="00D358EC" w:rsidRDefault="000A679E" w:rsidP="000A679E">
      <w:pPr>
        <w:pBdr>
          <w:top w:val="single" w:sz="4" w:space="1" w:color="auto"/>
          <w:left w:val="single" w:sz="4" w:space="4" w:color="auto"/>
          <w:bottom w:val="single" w:sz="4" w:space="1" w:color="auto"/>
          <w:right w:val="single" w:sz="4" w:space="4" w:color="auto"/>
          <w:between w:val="single" w:sz="4" w:space="1" w:color="auto"/>
          <w:bar w:val="single" w:sz="4" w:color="auto"/>
        </w:pBdr>
        <w:jc w:val="both"/>
        <w:rPr>
          <w:rFonts w:ascii="Arial" w:hAnsi="Arial" w:cs="Arial"/>
          <w:b/>
          <w:sz w:val="24"/>
          <w:szCs w:val="24"/>
        </w:rPr>
      </w:pPr>
    </w:p>
    <w:p w:rsidR="000A679E" w:rsidRPr="00D358EC" w:rsidRDefault="000A679E" w:rsidP="000A679E">
      <w:pPr>
        <w:pStyle w:val="Heading2"/>
        <w:jc w:val="both"/>
        <w:rPr>
          <w:rFonts w:ascii="Arial" w:hAnsi="Arial" w:cs="Arial"/>
          <w:sz w:val="24"/>
          <w:szCs w:val="24"/>
        </w:rPr>
      </w:pPr>
      <w:bookmarkStart w:id="36" w:name="_Toc513204081"/>
      <w:bookmarkStart w:id="37" w:name="_Toc513881227"/>
      <w:r w:rsidRPr="00D358EC">
        <w:rPr>
          <w:rFonts w:ascii="Arial" w:hAnsi="Arial" w:cs="Arial"/>
          <w:sz w:val="24"/>
          <w:szCs w:val="24"/>
        </w:rPr>
        <w:t>3.1 Research Paradigm</w:t>
      </w:r>
      <w:bookmarkEnd w:id="36"/>
      <w:bookmarkEnd w:id="37"/>
    </w:p>
    <w:p w:rsidR="000A679E" w:rsidRPr="00D358EC" w:rsidRDefault="000A679E" w:rsidP="000A679E">
      <w:pPr>
        <w:jc w:val="both"/>
        <w:rPr>
          <w:rFonts w:ascii="Arial" w:hAnsi="Arial" w:cs="Arial"/>
          <w:sz w:val="24"/>
          <w:szCs w:val="24"/>
        </w:rPr>
      </w:pPr>
      <w:r w:rsidRPr="00D358EC">
        <w:rPr>
          <w:rFonts w:ascii="Arial" w:hAnsi="Arial" w:cs="Arial"/>
          <w:sz w:val="24"/>
          <w:szCs w:val="24"/>
        </w:rPr>
        <w:t>In the book Research Methods for Business Students, Saunders et al introduce the concept of the research onion</w:t>
      </w:r>
      <w:sdt>
        <w:sdtPr>
          <w:rPr>
            <w:rFonts w:ascii="Arial" w:hAnsi="Arial" w:cs="Arial"/>
            <w:sz w:val="24"/>
            <w:szCs w:val="24"/>
          </w:rPr>
          <w:id w:val="109544866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Placeholder1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(2009)</w:t>
          </w:r>
          <w:r w:rsidRPr="00D358EC">
            <w:rPr>
              <w:rFonts w:ascii="Arial" w:hAnsi="Arial" w:cs="Arial"/>
              <w:sz w:val="24"/>
              <w:szCs w:val="24"/>
            </w:rPr>
            <w:fldChar w:fldCharType="end"/>
          </w:r>
        </w:sdtContent>
      </w:sdt>
      <w:r w:rsidRPr="00D358EC">
        <w:rPr>
          <w:rFonts w:ascii="Arial" w:hAnsi="Arial" w:cs="Arial"/>
          <w:sz w:val="24"/>
          <w:szCs w:val="24"/>
        </w:rPr>
        <w:t xml:space="preserve"> . This concept looks at the varied layers of research techniques that can be peeled away to reveal more encompassing data and understanding the philosophical rationale behind each level </w:t>
      </w:r>
      <w:sdt>
        <w:sdtPr>
          <w:rPr>
            <w:rFonts w:ascii="Arial" w:hAnsi="Arial" w:cs="Arial"/>
            <w:sz w:val="24"/>
            <w:szCs w:val="24"/>
          </w:rPr>
          <w:id w:val="-33924266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Cam09 \l 2057 </w:instrText>
          </w:r>
          <w:r w:rsidRPr="00D358EC">
            <w:rPr>
              <w:rFonts w:ascii="Arial" w:hAnsi="Arial" w:cs="Arial"/>
              <w:sz w:val="24"/>
              <w:szCs w:val="24"/>
            </w:rPr>
            <w:fldChar w:fldCharType="separate"/>
          </w:r>
          <w:r w:rsidRPr="00D358EC">
            <w:rPr>
              <w:rFonts w:ascii="Arial" w:hAnsi="Arial" w:cs="Arial"/>
              <w:noProof/>
              <w:sz w:val="24"/>
              <w:szCs w:val="24"/>
            </w:rPr>
            <w:t>(Cameron &amp; Price, 2009)</w:t>
          </w:r>
          <w:r w:rsidRPr="00D358EC">
            <w:rPr>
              <w:rFonts w:ascii="Arial" w:hAnsi="Arial" w:cs="Arial"/>
              <w:sz w:val="24"/>
              <w:szCs w:val="24"/>
            </w:rPr>
            <w:fldChar w:fldCharType="end"/>
          </w:r>
        </w:sdtContent>
      </w:sdt>
      <w:r w:rsidRPr="00D358EC">
        <w:rPr>
          <w:rFonts w:ascii="Arial" w:hAnsi="Arial" w:cs="Arial"/>
          <w:sz w:val="24"/>
          <w:szCs w:val="24"/>
        </w:rPr>
        <w:t>. This research will use both quantitative and qualitative methods of research in order to identify any patterns or correlations with the rich data</w:t>
      </w:r>
      <w:sdt>
        <w:sdtPr>
          <w:rPr>
            <w:rFonts w:ascii="Arial" w:hAnsi="Arial" w:cs="Arial"/>
            <w:sz w:val="24"/>
            <w:szCs w:val="24"/>
          </w:rPr>
          <w:id w:val="84288255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w:t>
          </w:r>
          <w:r w:rsidRPr="00D358EC">
            <w:rPr>
              <w:rFonts w:ascii="Arial" w:hAnsi="Arial" w:cs="Arial"/>
              <w:sz w:val="24"/>
              <w:szCs w:val="24"/>
            </w:rPr>
            <w:fldChar w:fldCharType="end"/>
          </w:r>
        </w:sdtContent>
      </w:sdt>
      <w:r w:rsidRPr="00D358EC">
        <w:rPr>
          <w:rFonts w:ascii="Arial" w:hAnsi="Arial" w:cs="Arial"/>
          <w:sz w:val="24"/>
          <w:szCs w:val="24"/>
        </w:rPr>
        <w:t xml:space="preserve">. As a subsequence of this, the researcher will be able to examine the individual responses to ultimately understand what actions can be done to reduce the perceived harm in problem gambling, specifically caused by fixed odds betting terminals. </w:t>
      </w:r>
    </w:p>
    <w:p w:rsidR="000A679E" w:rsidRPr="00D358EC" w:rsidRDefault="000A679E" w:rsidP="000A679E">
      <w:pPr>
        <w:jc w:val="both"/>
        <w:rPr>
          <w:rFonts w:ascii="Arial" w:hAnsi="Arial" w:cs="Arial"/>
          <w:sz w:val="24"/>
          <w:szCs w:val="24"/>
        </w:rPr>
      </w:pPr>
    </w:p>
    <w:p w:rsidR="000A679E" w:rsidRPr="0003327E" w:rsidRDefault="000A679E" w:rsidP="000A679E">
      <w:pPr>
        <w:pStyle w:val="Heading3"/>
      </w:pPr>
      <w:bookmarkStart w:id="38" w:name="_Toc513881228"/>
      <w:r w:rsidRPr="0003327E">
        <w:t>3.1.1 Research Strategy</w:t>
      </w:r>
      <w:bookmarkEnd w:id="38"/>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research strategy is the methodology that will be followed through the investigatory process </w:t>
      </w:r>
      <w:sdt>
        <w:sdtPr>
          <w:rPr>
            <w:rFonts w:ascii="Arial" w:hAnsi="Arial" w:cs="Arial"/>
            <w:sz w:val="24"/>
            <w:szCs w:val="24"/>
          </w:rPr>
          <w:id w:val="154039682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Cam09 \l 2057 </w:instrText>
          </w:r>
          <w:r w:rsidRPr="00D358EC">
            <w:rPr>
              <w:rFonts w:ascii="Arial" w:hAnsi="Arial" w:cs="Arial"/>
              <w:sz w:val="24"/>
              <w:szCs w:val="24"/>
            </w:rPr>
            <w:fldChar w:fldCharType="separate"/>
          </w:r>
          <w:r w:rsidRPr="00D358EC">
            <w:rPr>
              <w:rFonts w:ascii="Arial" w:hAnsi="Arial" w:cs="Arial"/>
              <w:noProof/>
              <w:sz w:val="24"/>
              <w:szCs w:val="24"/>
            </w:rPr>
            <w:t>(Cameron &amp; Price, 2009)</w:t>
          </w:r>
          <w:r w:rsidRPr="00D358EC">
            <w:rPr>
              <w:rFonts w:ascii="Arial" w:hAnsi="Arial" w:cs="Arial"/>
              <w:sz w:val="24"/>
              <w:szCs w:val="24"/>
            </w:rPr>
            <w:fldChar w:fldCharType="end"/>
          </w:r>
        </w:sdtContent>
      </w:sdt>
      <w:r w:rsidRPr="00D358EC">
        <w:rPr>
          <w:rFonts w:ascii="Arial" w:hAnsi="Arial" w:cs="Arial"/>
          <w:sz w:val="24"/>
          <w:szCs w:val="24"/>
        </w:rPr>
        <w:t>. This study will conduct qualitative interviews with customers and bookmakers to gauge their opinion of whether the proposed reduction in FOBT maximum stakes would result in a reduction of FOBT players. The questions posed will be non-obtrusive and can be anonymous in response. There will also be secondary data collected in the form of a Survey regarding the frequency of play of FOBT’s. These questions will be aiming to better understand what makes customers play FOBT machines. The questions pose a direct link to ethnography</w:t>
      </w:r>
      <w:sdt>
        <w:sdtPr>
          <w:rPr>
            <w:rFonts w:ascii="Arial" w:hAnsi="Arial" w:cs="Arial"/>
            <w:sz w:val="24"/>
            <w:szCs w:val="24"/>
          </w:rPr>
          <w:id w:val="14391335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Bab07 \l 2057 </w:instrText>
          </w:r>
          <w:r w:rsidRPr="00D358EC">
            <w:rPr>
              <w:rFonts w:ascii="Arial" w:hAnsi="Arial" w:cs="Arial"/>
              <w:sz w:val="24"/>
              <w:szCs w:val="24"/>
            </w:rPr>
            <w:fldChar w:fldCharType="separate"/>
          </w:r>
          <w:r w:rsidRPr="00D358EC">
            <w:rPr>
              <w:rFonts w:ascii="Arial" w:hAnsi="Arial" w:cs="Arial"/>
              <w:noProof/>
              <w:sz w:val="24"/>
              <w:szCs w:val="24"/>
            </w:rPr>
            <w:t xml:space="preserve"> (Babbie, 2007)</w:t>
          </w:r>
          <w:r w:rsidRPr="00D358EC">
            <w:rPr>
              <w:rFonts w:ascii="Arial" w:hAnsi="Arial" w:cs="Arial"/>
              <w:sz w:val="24"/>
              <w:szCs w:val="24"/>
            </w:rPr>
            <w:fldChar w:fldCharType="end"/>
          </w:r>
        </w:sdtContent>
      </w:sdt>
      <w:r w:rsidRPr="00D358EC">
        <w:rPr>
          <w:rFonts w:ascii="Arial" w:hAnsi="Arial" w:cs="Arial"/>
          <w:sz w:val="24"/>
          <w:szCs w:val="24"/>
        </w:rPr>
        <w:t xml:space="preserve"> and the underpinning emotional response </w:t>
      </w:r>
      <w:r w:rsidRPr="00D358EC">
        <w:rPr>
          <w:rFonts w:ascii="Arial" w:hAnsi="Arial" w:cs="Arial"/>
          <w:sz w:val="24"/>
          <w:szCs w:val="24"/>
        </w:rPr>
        <w:lastRenderedPageBreak/>
        <w:t>generated from gambling from a customer perspective</w:t>
      </w:r>
      <w:sdt>
        <w:sdtPr>
          <w:rPr>
            <w:rFonts w:ascii="Arial" w:hAnsi="Arial" w:cs="Arial"/>
            <w:sz w:val="24"/>
            <w:szCs w:val="24"/>
          </w:rPr>
          <w:id w:val="-147714008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Placeholder1 \t  \l 2057  </w:instrText>
          </w:r>
          <w:r w:rsidRPr="00D358EC">
            <w:rPr>
              <w:rFonts w:ascii="Arial" w:hAnsi="Arial" w:cs="Arial"/>
              <w:sz w:val="24"/>
              <w:szCs w:val="24"/>
            </w:rPr>
            <w:fldChar w:fldCharType="separate"/>
          </w:r>
          <w:r w:rsidRPr="00D358EC">
            <w:rPr>
              <w:rFonts w:ascii="Arial" w:hAnsi="Arial" w:cs="Arial"/>
              <w:noProof/>
              <w:sz w:val="24"/>
              <w:szCs w:val="24"/>
            </w:rPr>
            <w:t xml:space="preserve"> (Saunders, Lewis, &amp; Thornhill, 2009)</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In order to promote both arguments of the proposed thesis, an interview will be conducted with an area manager from within the betting industry in order to gain more information with regards to machine profits and the volume of customers using FOBT’s. The advantage of an interview technique is that with a conversational method </w:t>
      </w:r>
      <w:sdt>
        <w:sdtPr>
          <w:rPr>
            <w:rFonts w:ascii="Arial" w:hAnsi="Arial" w:cs="Arial"/>
            <w:sz w:val="24"/>
            <w:szCs w:val="24"/>
          </w:rPr>
          <w:id w:val="-172743906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Cam09 \l 2057 </w:instrText>
          </w:r>
          <w:r w:rsidRPr="00D358EC">
            <w:rPr>
              <w:rFonts w:ascii="Arial" w:hAnsi="Arial" w:cs="Arial"/>
              <w:sz w:val="24"/>
              <w:szCs w:val="24"/>
            </w:rPr>
            <w:fldChar w:fldCharType="separate"/>
          </w:r>
          <w:r w:rsidRPr="00D358EC">
            <w:rPr>
              <w:rFonts w:ascii="Arial" w:hAnsi="Arial" w:cs="Arial"/>
              <w:noProof/>
              <w:sz w:val="24"/>
              <w:szCs w:val="24"/>
            </w:rPr>
            <w:t>(Cameron &amp; Price, 2009)</w:t>
          </w:r>
          <w:r w:rsidRPr="00D358EC">
            <w:rPr>
              <w:rFonts w:ascii="Arial" w:hAnsi="Arial" w:cs="Arial"/>
              <w:sz w:val="24"/>
              <w:szCs w:val="24"/>
            </w:rPr>
            <w:fldChar w:fldCharType="end"/>
          </w:r>
        </w:sdtContent>
      </w:sdt>
      <w:r w:rsidRPr="00D358EC">
        <w:rPr>
          <w:rFonts w:ascii="Arial" w:hAnsi="Arial" w:cs="Arial"/>
          <w:sz w:val="24"/>
          <w:szCs w:val="24"/>
        </w:rPr>
        <w:t xml:space="preserve">, the interviewee responses would be natural and without the interviewer leading the discussion. Sapsford and Jupp describe the interview segment of data collection as </w:t>
      </w:r>
      <w:r w:rsidRPr="00D358EC">
        <w:rPr>
          <w:rFonts w:ascii="Arial" w:hAnsi="Arial" w:cs="Arial"/>
          <w:i/>
          <w:sz w:val="24"/>
          <w:szCs w:val="24"/>
        </w:rPr>
        <w:t>‘the most naturalistic form’</w:t>
      </w:r>
      <w:r w:rsidRPr="00D358EC">
        <w:rPr>
          <w:rFonts w:ascii="Arial" w:hAnsi="Arial" w:cs="Arial"/>
          <w:sz w:val="24"/>
          <w:szCs w:val="24"/>
        </w:rPr>
        <w:t xml:space="preserve"> and promotes a degree of structure </w:t>
      </w:r>
      <w:sdt>
        <w:sdtPr>
          <w:rPr>
            <w:rFonts w:ascii="Arial" w:hAnsi="Arial" w:cs="Arial"/>
            <w:sz w:val="24"/>
            <w:szCs w:val="24"/>
          </w:rPr>
          <w:id w:val="-308097974"/>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Sap06 \p 114 \n  \l 2057 </w:instrText>
          </w:r>
          <w:r w:rsidRPr="00D358EC">
            <w:rPr>
              <w:rFonts w:ascii="Arial" w:hAnsi="Arial" w:cs="Arial"/>
              <w:sz w:val="24"/>
              <w:szCs w:val="24"/>
            </w:rPr>
            <w:fldChar w:fldCharType="separate"/>
          </w:r>
          <w:r w:rsidRPr="00D358EC">
            <w:rPr>
              <w:rFonts w:ascii="Arial" w:hAnsi="Arial" w:cs="Arial"/>
              <w:noProof/>
              <w:sz w:val="24"/>
              <w:szCs w:val="24"/>
            </w:rPr>
            <w:t>(2006, p. 114)</w:t>
          </w:r>
          <w:r w:rsidRPr="00D358EC">
            <w:rPr>
              <w:rFonts w:ascii="Arial" w:hAnsi="Arial" w:cs="Arial"/>
              <w:sz w:val="24"/>
              <w:szCs w:val="24"/>
            </w:rPr>
            <w:fldChar w:fldCharType="end"/>
          </w:r>
        </w:sdtContent>
      </w:sdt>
      <w:r w:rsidRPr="00D358EC">
        <w:rPr>
          <w:rFonts w:ascii="Arial" w:hAnsi="Arial" w:cs="Arial"/>
          <w:sz w:val="24"/>
          <w:szCs w:val="24"/>
        </w:rPr>
        <w:t xml:space="preserve"> and subsequently should have the most focus due to its in-depth nature.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jc w:val="both"/>
      </w:pPr>
      <w:bookmarkStart w:id="39" w:name="_Toc498946507"/>
      <w:bookmarkStart w:id="40" w:name="_Toc513881229"/>
      <w:r w:rsidRPr="00D358EC">
        <w:t>3.1.2 Research Philosophy</w:t>
      </w:r>
      <w:bookmarkEnd w:id="39"/>
      <w:bookmarkEnd w:id="40"/>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Saunders et al, write that the outer most layer of the research onion is the philosophy and is followed by the research approach. The philosophical aspect looks at the development of the initial knowledge into a more tangible theory. These initial assumptions will </w:t>
      </w:r>
      <w:r w:rsidRPr="00D358EC">
        <w:rPr>
          <w:rFonts w:ascii="Arial" w:hAnsi="Arial" w:cs="Arial"/>
          <w:i/>
          <w:sz w:val="24"/>
          <w:szCs w:val="24"/>
        </w:rPr>
        <w:t>‘underpin any subsequent research’</w:t>
      </w:r>
      <w:sdt>
        <w:sdtPr>
          <w:rPr>
            <w:rFonts w:ascii="Arial" w:hAnsi="Arial" w:cs="Arial"/>
            <w:sz w:val="24"/>
            <w:szCs w:val="24"/>
          </w:rPr>
          <w:id w:val="-26307954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Placeholder1 \p 108 \n  \y  \l 2057  </w:instrText>
          </w:r>
          <w:r w:rsidRPr="00D358EC">
            <w:rPr>
              <w:rFonts w:ascii="Arial" w:hAnsi="Arial" w:cs="Arial"/>
              <w:sz w:val="24"/>
              <w:szCs w:val="24"/>
            </w:rPr>
            <w:fldChar w:fldCharType="separate"/>
          </w:r>
          <w:r w:rsidRPr="00D358EC">
            <w:rPr>
              <w:rFonts w:ascii="Arial" w:hAnsi="Arial" w:cs="Arial"/>
              <w:noProof/>
              <w:sz w:val="24"/>
              <w:szCs w:val="24"/>
            </w:rPr>
            <w:t xml:space="preserve"> (p. 108)</w:t>
          </w:r>
          <w:r w:rsidRPr="00D358EC">
            <w:rPr>
              <w:rFonts w:ascii="Arial" w:hAnsi="Arial" w:cs="Arial"/>
              <w:sz w:val="24"/>
              <w:szCs w:val="24"/>
            </w:rPr>
            <w:fldChar w:fldCharType="end"/>
          </w:r>
        </w:sdtContent>
      </w:sdt>
      <w:r w:rsidRPr="00D358EC">
        <w:rPr>
          <w:rFonts w:ascii="Arial" w:hAnsi="Arial" w:cs="Arial"/>
          <w:sz w:val="24"/>
          <w:szCs w:val="24"/>
        </w:rPr>
        <w:t xml:space="preserve"> , investigatory responses and the interpretation of data.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41" w:name="_Toc513204082"/>
      <w:bookmarkStart w:id="42" w:name="_Toc513881230"/>
      <w:r w:rsidRPr="00D358EC">
        <w:rPr>
          <w:rFonts w:ascii="Arial" w:hAnsi="Arial" w:cs="Arial"/>
          <w:sz w:val="24"/>
          <w:szCs w:val="24"/>
        </w:rPr>
        <w:t>3.2 Survey</w:t>
      </w:r>
      <w:bookmarkEnd w:id="41"/>
      <w:bookmarkEnd w:id="42"/>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3314700" cy="2437442"/>
            <wp:effectExtent l="0" t="0" r="0" b="127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rto="http://schemas.microsoft.com/office/word/2006/arto"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48887" cy="2462581"/>
                    </a:xfrm>
                    <a:prstGeom prst="rect">
                      <a:avLst/>
                    </a:prstGeom>
                    <a:noFill/>
                    <a:ln>
                      <a:noFill/>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 xml:space="preserve">Figure 5 - The Research Onion </w:t>
      </w:r>
      <w:sdt>
        <w:sdtPr>
          <w:rPr>
            <w:rFonts w:ascii="Arial" w:hAnsi="Arial" w:cs="Arial"/>
            <w:i/>
            <w:sz w:val="16"/>
            <w:szCs w:val="16"/>
          </w:rPr>
          <w:id w:val="-834984982"/>
          <w:citation/>
        </w:sdtPr>
        <w:sdtContent>
          <w:r w:rsidRPr="00D358EC">
            <w:rPr>
              <w:rFonts w:ascii="Arial" w:hAnsi="Arial" w:cs="Arial"/>
              <w:i/>
              <w:sz w:val="16"/>
              <w:szCs w:val="16"/>
            </w:rPr>
            <w:fldChar w:fldCharType="begin"/>
          </w:r>
          <w:r w:rsidRPr="00D358EC">
            <w:rPr>
              <w:rFonts w:ascii="Arial" w:hAnsi="Arial" w:cs="Arial"/>
              <w:i/>
              <w:sz w:val="16"/>
              <w:szCs w:val="16"/>
            </w:rPr>
            <w:instrText xml:space="preserve"> CITATION Placeholder1 \l 2057  </w:instrText>
          </w:r>
          <w:r w:rsidRPr="00D358EC">
            <w:rPr>
              <w:rFonts w:ascii="Arial" w:hAnsi="Arial" w:cs="Arial"/>
              <w:i/>
              <w:sz w:val="16"/>
              <w:szCs w:val="16"/>
            </w:rPr>
            <w:fldChar w:fldCharType="separate"/>
          </w:r>
          <w:r w:rsidRPr="00D358EC">
            <w:rPr>
              <w:rFonts w:ascii="Arial" w:hAnsi="Arial" w:cs="Arial"/>
              <w:noProof/>
              <w:sz w:val="16"/>
              <w:szCs w:val="16"/>
            </w:rPr>
            <w:t>(Saunders, Lewis, &amp; Thornhill, Research methods for business students, 2009)</w:t>
          </w:r>
          <w:r w:rsidRPr="00D358EC">
            <w:rPr>
              <w:rFonts w:ascii="Arial" w:hAnsi="Arial" w:cs="Arial"/>
              <w:i/>
              <w:sz w:val="16"/>
              <w:szCs w:val="16"/>
            </w:rPr>
            <w:fldChar w:fldCharType="end"/>
          </w:r>
        </w:sdtContent>
      </w:sdt>
      <w:r w:rsidRPr="00D358EC">
        <w:rPr>
          <w:rFonts w:ascii="Arial" w:hAnsi="Arial" w:cs="Arial"/>
          <w:i/>
          <w:sz w:val="16"/>
          <w:szCs w:val="16"/>
        </w:rPr>
        <w:t>. Adopted for specific methodology pathways – Survey</w:t>
      </w:r>
    </w:p>
    <w:p w:rsidR="000A679E" w:rsidRPr="00D358EC" w:rsidRDefault="000A679E" w:rsidP="000A679E">
      <w:pPr>
        <w:pStyle w:val="Heading3"/>
      </w:pPr>
      <w:bookmarkStart w:id="43" w:name="_Toc513204083"/>
      <w:bookmarkStart w:id="44" w:name="_Toc513881231"/>
      <w:r w:rsidRPr="00D358EC">
        <w:t>3.2.1 Deductive</w:t>
      </w:r>
      <w:bookmarkEnd w:id="43"/>
      <w:bookmarkEnd w:id="44"/>
    </w:p>
    <w:p w:rsidR="000A679E" w:rsidRPr="00D358EC" w:rsidRDefault="000A679E" w:rsidP="000A679E">
      <w:pPr>
        <w:jc w:val="both"/>
        <w:rPr>
          <w:rFonts w:ascii="Arial" w:hAnsi="Arial" w:cs="Arial"/>
          <w:sz w:val="24"/>
          <w:szCs w:val="24"/>
        </w:rPr>
      </w:pPr>
      <w:r w:rsidRPr="00D358EC">
        <w:rPr>
          <w:rFonts w:ascii="Arial" w:hAnsi="Arial" w:cs="Arial"/>
          <w:sz w:val="24"/>
          <w:szCs w:val="24"/>
        </w:rPr>
        <w:t>Saunders et al state that a deductive approach shapes the qualitative research process and builds on a grounded established theory</w:t>
      </w:r>
      <w:sdt>
        <w:sdtPr>
          <w:rPr>
            <w:rFonts w:ascii="Arial" w:hAnsi="Arial" w:cs="Arial"/>
            <w:sz w:val="24"/>
            <w:szCs w:val="24"/>
          </w:rPr>
          <w:id w:val="67068426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Sau09 \n  \l 2057  </w:instrText>
          </w:r>
          <w:r w:rsidRPr="00D358EC">
            <w:rPr>
              <w:rFonts w:ascii="Arial" w:hAnsi="Arial" w:cs="Arial"/>
              <w:sz w:val="24"/>
              <w:szCs w:val="24"/>
            </w:rPr>
            <w:fldChar w:fldCharType="separate"/>
          </w:r>
          <w:r w:rsidRPr="00D358EC">
            <w:rPr>
              <w:rFonts w:ascii="Arial" w:hAnsi="Arial" w:cs="Arial"/>
              <w:noProof/>
              <w:sz w:val="24"/>
              <w:szCs w:val="24"/>
            </w:rPr>
            <w:t xml:space="preserve"> (Research Methods for Business Students, 2009)</w:t>
          </w:r>
          <w:r w:rsidRPr="00D358EC">
            <w:rPr>
              <w:rFonts w:ascii="Arial" w:hAnsi="Arial" w:cs="Arial"/>
              <w:sz w:val="24"/>
              <w:szCs w:val="24"/>
            </w:rPr>
            <w:fldChar w:fldCharType="end"/>
          </w:r>
        </w:sdtContent>
      </w:sdt>
      <w:r w:rsidRPr="00D358EC">
        <w:rPr>
          <w:rFonts w:ascii="Arial" w:hAnsi="Arial" w:cs="Arial"/>
          <w:sz w:val="24"/>
          <w:szCs w:val="24"/>
        </w:rPr>
        <w:t>. Using Carroll’s corporate social responsibility pyramid it provides the initial analytical framework and structure</w:t>
      </w:r>
      <w:sdt>
        <w:sdtPr>
          <w:rPr>
            <w:rFonts w:ascii="Arial" w:hAnsi="Arial" w:cs="Arial"/>
            <w:sz w:val="24"/>
            <w:szCs w:val="24"/>
          </w:rPr>
          <w:id w:val="67068425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\n  \t  \l 2057  </w:instrText>
          </w:r>
          <w:r w:rsidRPr="00D358EC">
            <w:rPr>
              <w:rFonts w:ascii="Arial" w:hAnsi="Arial" w:cs="Arial"/>
              <w:sz w:val="24"/>
              <w:szCs w:val="24"/>
            </w:rPr>
            <w:fldChar w:fldCharType="separate"/>
          </w:r>
          <w:r w:rsidRPr="00D358EC">
            <w:rPr>
              <w:rFonts w:ascii="Arial" w:hAnsi="Arial" w:cs="Arial"/>
              <w:noProof/>
              <w:sz w:val="24"/>
              <w:szCs w:val="24"/>
            </w:rPr>
            <w:t xml:space="preserve"> (1991)</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45" w:name="_Toc513204084"/>
      <w:bookmarkStart w:id="46" w:name="_Toc513881232"/>
      <w:r w:rsidRPr="00D358EC">
        <w:t>3.2.2 Cross sectional</w:t>
      </w:r>
      <w:bookmarkEnd w:id="45"/>
      <w:bookmarkEnd w:id="46"/>
    </w:p>
    <w:p w:rsidR="000A679E" w:rsidRPr="00D358EC" w:rsidRDefault="000A679E" w:rsidP="000A679E">
      <w:pPr>
        <w:jc w:val="both"/>
        <w:rPr>
          <w:rFonts w:ascii="Arial" w:hAnsi="Arial" w:cs="Arial"/>
          <w:sz w:val="24"/>
          <w:szCs w:val="24"/>
        </w:rPr>
      </w:pPr>
      <w:r w:rsidRPr="00D358EC">
        <w:rPr>
          <w:rFonts w:ascii="Arial" w:hAnsi="Arial" w:cs="Arial"/>
          <w:sz w:val="24"/>
          <w:szCs w:val="24"/>
        </w:rPr>
        <w:t>The data gathered by the researcher will be collated during a short period of time and as a result, a cross sectional method is appropriate</w:t>
      </w:r>
      <w:sdt>
        <w:sdtPr>
          <w:rPr>
            <w:rFonts w:ascii="Arial" w:hAnsi="Arial" w:cs="Arial"/>
            <w:sz w:val="24"/>
            <w:szCs w:val="24"/>
          </w:rPr>
          <w:id w:val="118039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w:t>
          </w:r>
          <w:r w:rsidRPr="00D358EC">
            <w:rPr>
              <w:rFonts w:ascii="Arial" w:hAnsi="Arial" w:cs="Arial"/>
              <w:sz w:val="24"/>
              <w:szCs w:val="24"/>
            </w:rPr>
            <w:fldChar w:fldCharType="end"/>
          </w:r>
        </w:sdtContent>
      </w:sdt>
      <w:r w:rsidRPr="00D358EC">
        <w:rPr>
          <w:rFonts w:ascii="Arial" w:hAnsi="Arial" w:cs="Arial"/>
          <w:sz w:val="24"/>
          <w:szCs w:val="24"/>
        </w:rPr>
        <w:t xml:space="preserve">. As such, </w:t>
      </w:r>
      <w:r w:rsidRPr="00D358EC">
        <w:rPr>
          <w:rFonts w:ascii="Arial" w:hAnsi="Arial" w:cs="Arial"/>
          <w:i/>
          <w:sz w:val="24"/>
          <w:szCs w:val="24"/>
        </w:rPr>
        <w:t xml:space="preserve">“time is not considered one of the study variables” </w:t>
      </w:r>
      <w:sdt>
        <w:sdtPr>
          <w:rPr>
            <w:rFonts w:ascii="Arial" w:hAnsi="Arial" w:cs="Arial"/>
            <w:i/>
            <w:sz w:val="24"/>
            <w:szCs w:val="24"/>
          </w:rPr>
          <w:id w:val="670684251"/>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Lav08 \p 170 \l 2057  </w:instrText>
          </w:r>
          <w:r w:rsidRPr="00D358EC">
            <w:rPr>
              <w:rFonts w:ascii="Arial" w:hAnsi="Arial" w:cs="Arial"/>
              <w:i/>
              <w:sz w:val="24"/>
              <w:szCs w:val="24"/>
            </w:rPr>
            <w:fldChar w:fldCharType="separate"/>
          </w:r>
          <w:r w:rsidRPr="00D358EC">
            <w:rPr>
              <w:rFonts w:ascii="Arial" w:hAnsi="Arial" w:cs="Arial"/>
              <w:noProof/>
              <w:sz w:val="24"/>
              <w:szCs w:val="24"/>
            </w:rPr>
            <w:t>(Lavrakas, 2008, p. 170)</w:t>
          </w:r>
          <w:r w:rsidRPr="00D358EC">
            <w:rPr>
              <w:rFonts w:ascii="Arial" w:hAnsi="Arial" w:cs="Arial"/>
              <w:i/>
              <w:sz w:val="24"/>
              <w:szCs w:val="24"/>
            </w:rPr>
            <w:fldChar w:fldCharType="end"/>
          </w:r>
        </w:sdtContent>
      </w:sdt>
      <w:r w:rsidRPr="00D358EC">
        <w:rPr>
          <w:rFonts w:ascii="Arial" w:hAnsi="Arial" w:cs="Arial"/>
          <w:sz w:val="24"/>
          <w:szCs w:val="24"/>
        </w:rPr>
        <w:t>. The data gathered allows for opinions to be characterised as a summary of the immediate population</w:t>
      </w:r>
      <w:sdt>
        <w:sdtPr>
          <w:rPr>
            <w:rFonts w:ascii="Arial" w:hAnsi="Arial" w:cs="Arial"/>
            <w:sz w:val="24"/>
            <w:szCs w:val="24"/>
          </w:rPr>
          <w:id w:val="67068425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Sau09 \l 2057 </w:instrText>
          </w:r>
          <w:r w:rsidRPr="00D358EC">
            <w:rPr>
              <w:rFonts w:ascii="Arial" w:hAnsi="Arial" w:cs="Arial"/>
              <w:sz w:val="24"/>
              <w:szCs w:val="24"/>
            </w:rPr>
            <w:fldChar w:fldCharType="separate"/>
          </w:r>
          <w:r w:rsidRPr="00D358EC">
            <w:rPr>
              <w:rFonts w:ascii="Arial" w:hAnsi="Arial" w:cs="Arial"/>
              <w:noProof/>
              <w:sz w:val="24"/>
              <w:szCs w:val="24"/>
            </w:rPr>
            <w:t xml:space="preserve"> (Saunders, Lewis, &amp; Thornhill, Research Methods for Business Students, 2009)</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47" w:name="_Toc513204085"/>
      <w:bookmarkStart w:id="48" w:name="_Toc513881233"/>
      <w:r w:rsidRPr="00D358EC">
        <w:t>3.2.3 Multi method</w:t>
      </w:r>
      <w:bookmarkEnd w:id="47"/>
      <w:bookmarkEnd w:id="48"/>
    </w:p>
    <w:p w:rsidR="000A679E" w:rsidRPr="00D358EC" w:rsidRDefault="000A679E" w:rsidP="000A679E">
      <w:pPr>
        <w:jc w:val="both"/>
        <w:rPr>
          <w:rFonts w:ascii="Arial" w:hAnsi="Arial" w:cs="Arial"/>
          <w:sz w:val="24"/>
          <w:szCs w:val="24"/>
        </w:rPr>
      </w:pPr>
      <w:r w:rsidRPr="00D358EC">
        <w:rPr>
          <w:rFonts w:ascii="Arial" w:hAnsi="Arial" w:cs="Arial"/>
          <w:sz w:val="24"/>
          <w:szCs w:val="24"/>
        </w:rPr>
        <w:t>As a mono-method would provide limited scope for this type of analysis, a multi method has been chosen. The multi method involves the qualitative and quantitative research methodologies in order to sufficiently answer the research questions</w:t>
      </w:r>
      <w:sdt>
        <w:sdtPr>
          <w:rPr>
            <w:rFonts w:ascii="Arial" w:hAnsi="Arial" w:cs="Arial"/>
            <w:sz w:val="24"/>
            <w:szCs w:val="24"/>
          </w:rPr>
          <w:id w:val="67068425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Lav08 \l 2057 </w:instrText>
          </w:r>
          <w:r w:rsidRPr="00D358EC">
            <w:rPr>
              <w:rFonts w:ascii="Arial" w:hAnsi="Arial" w:cs="Arial"/>
              <w:sz w:val="24"/>
              <w:szCs w:val="24"/>
            </w:rPr>
            <w:fldChar w:fldCharType="separate"/>
          </w:r>
          <w:r w:rsidRPr="00D358EC">
            <w:rPr>
              <w:rFonts w:ascii="Arial" w:hAnsi="Arial" w:cs="Arial"/>
              <w:noProof/>
              <w:sz w:val="24"/>
              <w:szCs w:val="24"/>
            </w:rPr>
            <w:t xml:space="preserve"> (Lavrakas, 2008)</w:t>
          </w:r>
          <w:r w:rsidRPr="00D358EC">
            <w:rPr>
              <w:rFonts w:ascii="Arial" w:hAnsi="Arial" w:cs="Arial"/>
              <w:sz w:val="24"/>
              <w:szCs w:val="24"/>
            </w:rPr>
            <w:fldChar w:fldCharType="end"/>
          </w:r>
        </w:sdtContent>
      </w:sdt>
      <w:r w:rsidRPr="00D358EC">
        <w:rPr>
          <w:rFonts w:ascii="Arial" w:hAnsi="Arial" w:cs="Arial"/>
          <w:sz w:val="24"/>
          <w:szCs w:val="24"/>
        </w:rPr>
        <w:t>and as a result uses both inductive inquiries and in greater detail deductive reasoning.  Lavrakas highlights that the primary advantage of a multi method design is that it “</w:t>
      </w:r>
      <w:r w:rsidRPr="00D358EC">
        <w:rPr>
          <w:rFonts w:ascii="Arial" w:hAnsi="Arial" w:cs="Arial"/>
          <w:i/>
          <w:sz w:val="24"/>
          <w:szCs w:val="24"/>
        </w:rPr>
        <w:t>provides a more comprehensive and enhances image of the research problem”</w:t>
      </w:r>
      <w:sdt>
        <w:sdtPr>
          <w:rPr>
            <w:rFonts w:ascii="Arial" w:hAnsi="Arial" w:cs="Arial"/>
            <w:i/>
            <w:sz w:val="24"/>
            <w:szCs w:val="24"/>
          </w:rPr>
          <w:id w:val="670684254"/>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Lav08 \p 750 \n  \y  \t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(p. 750)</w:t>
          </w:r>
          <w:r w:rsidRPr="00D358EC">
            <w:rPr>
              <w:rFonts w:ascii="Arial" w:hAnsi="Arial" w:cs="Arial"/>
              <w:i/>
              <w:sz w:val="24"/>
              <w:szCs w:val="24"/>
            </w:rPr>
            <w:fldChar w:fldCharType="end"/>
          </w:r>
        </w:sdtContent>
      </w:sdt>
      <w:r w:rsidRPr="00D358EC">
        <w:rPr>
          <w:rFonts w:ascii="Arial" w:hAnsi="Arial" w:cs="Arial"/>
          <w:i/>
          <w:sz w:val="24"/>
          <w:szCs w:val="24"/>
        </w:rPr>
        <w:t xml:space="preserve">. </w:t>
      </w:r>
      <w:r w:rsidRPr="00D358EC">
        <w:rPr>
          <w:rFonts w:ascii="Arial" w:hAnsi="Arial" w:cs="Arial"/>
          <w:sz w:val="24"/>
          <w:szCs w:val="24"/>
        </w:rPr>
        <w:t>Due to limitations in time, a third method was not incorporated and as a result, triangulation was not considered.</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49" w:name="_Toc513204086"/>
      <w:bookmarkStart w:id="50" w:name="_Toc513881234"/>
      <w:r w:rsidRPr="00D358EC">
        <w:t>3.2.4 Positivism</w:t>
      </w:r>
      <w:bookmarkEnd w:id="49"/>
      <w:bookmarkEnd w:id="50"/>
    </w:p>
    <w:p w:rsidR="000A679E" w:rsidRPr="00D358EC" w:rsidRDefault="000A679E" w:rsidP="000A679E">
      <w:pPr>
        <w:jc w:val="both"/>
        <w:rPr>
          <w:rFonts w:ascii="Arial" w:hAnsi="Arial" w:cs="Arial"/>
          <w:sz w:val="24"/>
          <w:szCs w:val="24"/>
        </w:rPr>
      </w:pPr>
      <w:r w:rsidRPr="00D358EC">
        <w:rPr>
          <w:rFonts w:ascii="Arial" w:hAnsi="Arial" w:cs="Arial"/>
          <w:sz w:val="24"/>
          <w:szCs w:val="24"/>
        </w:rPr>
        <w:t>The fundamental aspect of positivism is that it remains objective and free from bias</w:t>
      </w:r>
      <w:sdt>
        <w:sdtPr>
          <w:rPr>
            <w:rFonts w:ascii="Arial" w:hAnsi="Arial" w:cs="Arial"/>
            <w:sz w:val="24"/>
            <w:szCs w:val="24"/>
          </w:rPr>
          <w:id w:val="67068425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McN04 \l 2057 </w:instrText>
          </w:r>
          <w:r w:rsidRPr="00D358EC">
            <w:rPr>
              <w:rFonts w:ascii="Arial" w:hAnsi="Arial" w:cs="Arial"/>
              <w:sz w:val="24"/>
              <w:szCs w:val="24"/>
            </w:rPr>
            <w:fldChar w:fldCharType="separate"/>
          </w:r>
          <w:r w:rsidRPr="00D358EC">
            <w:rPr>
              <w:rFonts w:ascii="Arial" w:hAnsi="Arial" w:cs="Arial"/>
              <w:noProof/>
              <w:sz w:val="24"/>
              <w:szCs w:val="24"/>
            </w:rPr>
            <w:t xml:space="preserve"> (David, 2004)</w:t>
          </w:r>
          <w:r w:rsidRPr="00D358EC">
            <w:rPr>
              <w:rFonts w:ascii="Arial" w:hAnsi="Arial" w:cs="Arial"/>
              <w:sz w:val="24"/>
              <w:szCs w:val="24"/>
            </w:rPr>
            <w:fldChar w:fldCharType="end"/>
          </w:r>
        </w:sdtContent>
      </w:sdt>
      <w:r w:rsidRPr="00D358EC">
        <w:rPr>
          <w:rFonts w:ascii="Arial" w:hAnsi="Arial" w:cs="Arial"/>
          <w:sz w:val="24"/>
          <w:szCs w:val="24"/>
        </w:rPr>
        <w:t>. By utilising quantitative data a variety of statistics and analyse can be produced by the researcher. Houghton argues that a single paradigm will subliminally encourage the researcher to interpret the results in a way that fits the overall narrative</w:t>
      </w:r>
      <w:sdt>
        <w:sdtPr>
          <w:rPr>
            <w:rFonts w:ascii="Arial" w:hAnsi="Arial" w:cs="Arial"/>
            <w:sz w:val="24"/>
            <w:szCs w:val="24"/>
          </w:rPr>
          <w:id w:val="84288255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Hou11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(2011)</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51" w:name="_Toc513881235"/>
      <w:r w:rsidRPr="00D358EC">
        <w:t>3.2.5 Survey Question Matrix</w:t>
      </w:r>
      <w:bookmarkEnd w:id="51"/>
    </w:p>
    <w:p w:rsidR="000A679E" w:rsidRPr="00D358EC" w:rsidRDefault="000A679E" w:rsidP="000A679E">
      <w:pPr>
        <w:jc w:val="both"/>
        <w:rPr>
          <w:rFonts w:ascii="Arial" w:hAnsi="Arial" w:cs="Arial"/>
        </w:rPr>
      </w:pPr>
    </w:p>
    <w:tbl>
      <w:tblPr>
        <w:tblStyle w:val="TableGrid"/>
        <w:tblW w:w="9016" w:type="dxa"/>
        <w:tblLook w:val="04A0"/>
      </w:tblPr>
      <w:tblGrid>
        <w:gridCol w:w="3005"/>
        <w:gridCol w:w="3005"/>
        <w:gridCol w:w="3006"/>
      </w:tblGrid>
      <w:tr w:rsidR="000A679E" w:rsidRPr="00D358EC" w:rsidTr="00811444">
        <w:tc>
          <w:tcPr>
            <w:tcW w:w="3005" w:type="dxa"/>
          </w:tcPr>
          <w:p w:rsidR="000A679E" w:rsidRPr="00D358EC" w:rsidRDefault="000A679E" w:rsidP="00811444">
            <w:pPr>
              <w:spacing w:line="276" w:lineRule="auto"/>
              <w:jc w:val="both"/>
              <w:rPr>
                <w:rFonts w:ascii="Arial" w:hAnsi="Arial" w:cs="Arial"/>
                <w:b/>
              </w:rPr>
            </w:pPr>
            <w:r w:rsidRPr="00D358EC">
              <w:rPr>
                <w:rFonts w:ascii="Arial" w:hAnsi="Arial" w:cs="Arial"/>
                <w:b/>
              </w:rPr>
              <w:t>Question</w:t>
            </w:r>
          </w:p>
        </w:tc>
        <w:tc>
          <w:tcPr>
            <w:tcW w:w="3005" w:type="dxa"/>
          </w:tcPr>
          <w:p w:rsidR="000A679E" w:rsidRPr="00D358EC" w:rsidRDefault="000A679E" w:rsidP="00811444">
            <w:pPr>
              <w:spacing w:line="276" w:lineRule="auto"/>
              <w:jc w:val="both"/>
              <w:rPr>
                <w:rFonts w:ascii="Arial" w:hAnsi="Arial" w:cs="Arial"/>
                <w:b/>
              </w:rPr>
            </w:pPr>
            <w:r w:rsidRPr="00D358EC">
              <w:rPr>
                <w:rFonts w:ascii="Arial" w:hAnsi="Arial" w:cs="Arial"/>
                <w:b/>
              </w:rPr>
              <w:t>Reasoning</w:t>
            </w:r>
          </w:p>
        </w:tc>
        <w:tc>
          <w:tcPr>
            <w:tcW w:w="3006" w:type="dxa"/>
          </w:tcPr>
          <w:p w:rsidR="000A679E" w:rsidRPr="00D358EC" w:rsidRDefault="000A679E" w:rsidP="00811444">
            <w:pPr>
              <w:spacing w:line="276" w:lineRule="auto"/>
              <w:jc w:val="both"/>
              <w:rPr>
                <w:rFonts w:ascii="Arial" w:hAnsi="Arial" w:cs="Arial"/>
                <w:b/>
              </w:rPr>
            </w:pPr>
            <w:r w:rsidRPr="00D358EC">
              <w:rPr>
                <w:rFonts w:ascii="Arial" w:hAnsi="Arial" w:cs="Arial"/>
                <w:b/>
              </w:rPr>
              <w:t>Source</w:t>
            </w:r>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What is your gender</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To better understand the difference in betting patterns between genders</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000924872"/>
                <w:citation/>
              </w:sdtPr>
              <w:sdtContent>
                <w:r w:rsidRPr="00D358EC">
                  <w:rPr>
                    <w:rFonts w:ascii="Arial" w:hAnsi="Arial" w:cs="Arial"/>
                  </w:rPr>
                  <w:fldChar w:fldCharType="begin"/>
                </w:r>
                <w:r w:rsidRPr="00D358EC">
                  <w:rPr>
                    <w:rFonts w:ascii="Arial" w:hAnsi="Arial" w:cs="Arial"/>
                  </w:rPr>
                  <w:instrText xml:space="preserve"> CITATION Jaw10 \l 2057 </w:instrText>
                </w:r>
                <w:r w:rsidRPr="00D358EC">
                  <w:rPr>
                    <w:rFonts w:ascii="Arial" w:hAnsi="Arial" w:cs="Arial"/>
                  </w:rPr>
                  <w:fldChar w:fldCharType="separate"/>
                </w:r>
                <w:r w:rsidRPr="00D358EC">
                  <w:rPr>
                    <w:rFonts w:ascii="Arial" w:hAnsi="Arial" w:cs="Arial"/>
                    <w:noProof/>
                  </w:rPr>
                  <w:t>(Jawad, 2010)</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Age grouping</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To gauge if age is a mitigating variable in responsible gambling</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2084409430"/>
                <w:citation/>
              </w:sdtPr>
              <w:sdtContent>
                <w:r w:rsidRPr="00D358EC">
                  <w:rPr>
                    <w:rFonts w:ascii="Arial" w:hAnsi="Arial" w:cs="Arial"/>
                  </w:rPr>
                  <w:fldChar w:fldCharType="begin"/>
                </w:r>
                <w:r w:rsidRPr="00D358EC">
                  <w:rPr>
                    <w:rFonts w:ascii="Arial" w:hAnsi="Arial" w:cs="Arial"/>
                  </w:rPr>
                  <w:instrText xml:space="preserve"> CITATION Jaw10 \l 2057 </w:instrText>
                </w:r>
                <w:r w:rsidRPr="00D358EC">
                  <w:rPr>
                    <w:rFonts w:ascii="Arial" w:hAnsi="Arial" w:cs="Arial"/>
                  </w:rPr>
                  <w:fldChar w:fldCharType="separate"/>
                </w:r>
                <w:r w:rsidRPr="00D358EC">
                  <w:rPr>
                    <w:rFonts w:ascii="Arial" w:hAnsi="Arial" w:cs="Arial"/>
                    <w:noProof/>
                  </w:rPr>
                  <w:t>(Jawad, 2010)</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Frequency of FOBT usage</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To understand how often FOBT customers use the machines</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418981195"/>
                <w:citation/>
              </w:sdtPr>
              <w:sdtContent>
                <w:r w:rsidRPr="00D358EC">
                  <w:rPr>
                    <w:rFonts w:ascii="Arial" w:hAnsi="Arial" w:cs="Arial"/>
                  </w:rPr>
                  <w:fldChar w:fldCharType="begin"/>
                </w:r>
                <w:r w:rsidRPr="00D358EC">
                  <w:rPr>
                    <w:rFonts w:ascii="Arial" w:hAnsi="Arial" w:cs="Arial"/>
                  </w:rPr>
                  <w:instrText xml:space="preserve"> CITATION Jaw10 \l 2057 </w:instrText>
                </w:r>
                <w:r w:rsidRPr="00D358EC">
                  <w:rPr>
                    <w:rFonts w:ascii="Arial" w:hAnsi="Arial" w:cs="Arial"/>
                  </w:rPr>
                  <w:fldChar w:fldCharType="separate"/>
                </w:r>
                <w:r w:rsidRPr="00D358EC">
                  <w:rPr>
                    <w:rFonts w:ascii="Arial" w:hAnsi="Arial" w:cs="Arial"/>
                    <w:noProof/>
                  </w:rPr>
                  <w:t>(Jawad, 2010)</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 xml:space="preserve">Frequency of gambling </w:t>
            </w:r>
            <w:r w:rsidRPr="00D358EC">
              <w:rPr>
                <w:rFonts w:ascii="Arial" w:hAnsi="Arial" w:cs="Arial"/>
              </w:rPr>
              <w:lastRenderedPageBreak/>
              <w:t>online</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lastRenderedPageBreak/>
              <w:t xml:space="preserve">To analyse similarities </w:t>
            </w:r>
            <w:r w:rsidRPr="00D358EC">
              <w:rPr>
                <w:rFonts w:ascii="Arial" w:hAnsi="Arial" w:cs="Arial"/>
              </w:rPr>
              <w:lastRenderedPageBreak/>
              <w:t>between FOBT usage and online gambling</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432052555"/>
                <w:citation/>
              </w:sdtPr>
              <w:sdtContent>
                <w:r w:rsidRPr="00D358EC">
                  <w:rPr>
                    <w:rFonts w:ascii="Arial" w:hAnsi="Arial" w:cs="Arial"/>
                  </w:rPr>
                  <w:fldChar w:fldCharType="begin"/>
                </w:r>
                <w:r w:rsidRPr="00D358EC">
                  <w:rPr>
                    <w:rFonts w:ascii="Arial" w:hAnsi="Arial" w:cs="Arial"/>
                  </w:rPr>
                  <w:instrText xml:space="preserve">CITATION Gri15 \t  \l 2057 </w:instrText>
                </w:r>
                <w:r w:rsidRPr="00D358EC">
                  <w:rPr>
                    <w:rFonts w:ascii="Arial" w:hAnsi="Arial" w:cs="Arial"/>
                  </w:rPr>
                  <w:fldChar w:fldCharType="separate"/>
                </w:r>
                <w:r w:rsidRPr="00D358EC">
                  <w:rPr>
                    <w:rFonts w:ascii="Arial" w:hAnsi="Arial" w:cs="Arial"/>
                    <w:noProof/>
                  </w:rPr>
                  <w:t>(Griffiths, 2015)</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lastRenderedPageBreak/>
              <w:t>Other product usage</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See what other products FOBT customers use</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537465440"/>
                <w:citation/>
              </w:sdtPr>
              <w:sdtContent>
                <w:r w:rsidRPr="00D358EC">
                  <w:rPr>
                    <w:rFonts w:ascii="Arial" w:hAnsi="Arial" w:cs="Arial"/>
                  </w:rPr>
                  <w:fldChar w:fldCharType="begin"/>
                </w:r>
                <w:r w:rsidRPr="00D358EC">
                  <w:rPr>
                    <w:rFonts w:ascii="Arial" w:hAnsi="Arial" w:cs="Arial"/>
                  </w:rPr>
                  <w:instrText xml:space="preserve">CITATION Gri15 \t  \l 2057 </w:instrText>
                </w:r>
                <w:r w:rsidRPr="00D358EC">
                  <w:rPr>
                    <w:rFonts w:ascii="Arial" w:hAnsi="Arial" w:cs="Arial"/>
                  </w:rPr>
                  <w:fldChar w:fldCharType="separate"/>
                </w:r>
                <w:r w:rsidRPr="00D358EC">
                  <w:rPr>
                    <w:rFonts w:ascii="Arial" w:hAnsi="Arial" w:cs="Arial"/>
                    <w:noProof/>
                  </w:rPr>
                  <w:t>(Griffiths, 2015)</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Appealing aspects of FOBT</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Critically evaluate what are the primary driving forces behind playing these machines</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169141129"/>
                <w:citation/>
              </w:sdtPr>
              <w:sdtContent>
                <w:r w:rsidRPr="00D358EC">
                  <w:rPr>
                    <w:rFonts w:ascii="Arial" w:hAnsi="Arial" w:cs="Arial"/>
                  </w:rPr>
                  <w:fldChar w:fldCharType="begin"/>
                </w:r>
                <w:r w:rsidRPr="00D358EC">
                  <w:rPr>
                    <w:rFonts w:ascii="Arial" w:hAnsi="Arial" w:cs="Arial"/>
                  </w:rPr>
                  <w:instrText xml:space="preserve"> CITATION Jaw10 \l 2057 </w:instrText>
                </w:r>
                <w:r w:rsidRPr="00D358EC">
                  <w:rPr>
                    <w:rFonts w:ascii="Arial" w:hAnsi="Arial" w:cs="Arial"/>
                  </w:rPr>
                  <w:fldChar w:fldCharType="separate"/>
                </w:r>
                <w:r w:rsidRPr="00D358EC">
                  <w:rPr>
                    <w:rFonts w:ascii="Arial" w:hAnsi="Arial" w:cs="Arial"/>
                    <w:noProof/>
                  </w:rPr>
                  <w:t>(Jawad, 2010)</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Session Spend</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How much do FOBT customers spend in a typical session</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301803013"/>
                <w:citation/>
              </w:sdtPr>
              <w:sdtContent>
                <w:r w:rsidRPr="00D358EC">
                  <w:rPr>
                    <w:rFonts w:ascii="Arial" w:hAnsi="Arial" w:cs="Arial"/>
                  </w:rPr>
                  <w:fldChar w:fldCharType="begin"/>
                </w:r>
                <w:r w:rsidRPr="00D358EC">
                  <w:rPr>
                    <w:rFonts w:ascii="Arial" w:hAnsi="Arial" w:cs="Arial"/>
                  </w:rPr>
                  <w:instrText xml:space="preserve"> CITATION The18 \l 2057 </w:instrText>
                </w:r>
                <w:r w:rsidRPr="00D358EC">
                  <w:rPr>
                    <w:rFonts w:ascii="Arial" w:hAnsi="Arial" w:cs="Arial"/>
                  </w:rPr>
                  <w:fldChar w:fldCharType="separate"/>
                </w:r>
                <w:r w:rsidRPr="00D358EC">
                  <w:rPr>
                    <w:rFonts w:ascii="Arial" w:hAnsi="Arial" w:cs="Arial"/>
                    <w:noProof/>
                  </w:rPr>
                  <w:t>(Monaghan, 2018)</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Over limits</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How regularly do customers go over their own predetermined limit</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62212245"/>
                <w:citation/>
              </w:sdtPr>
              <w:sdtContent>
                <w:r w:rsidRPr="00D358EC">
                  <w:rPr>
                    <w:rFonts w:ascii="Arial" w:hAnsi="Arial" w:cs="Arial"/>
                  </w:rPr>
                  <w:fldChar w:fldCharType="begin"/>
                </w:r>
                <w:r w:rsidRPr="00D358EC">
                  <w:rPr>
                    <w:rFonts w:ascii="Arial" w:hAnsi="Arial" w:cs="Arial"/>
                  </w:rPr>
                  <w:instrText xml:space="preserve"> CITATION Sha16 \l 2057 </w:instrText>
                </w:r>
                <w:r w:rsidRPr="00D358EC">
                  <w:rPr>
                    <w:rFonts w:ascii="Arial" w:hAnsi="Arial" w:cs="Arial"/>
                  </w:rPr>
                  <w:fldChar w:fldCharType="separate"/>
                </w:r>
                <w:r w:rsidRPr="00D358EC">
                  <w:rPr>
                    <w:rFonts w:ascii="Arial" w:hAnsi="Arial" w:cs="Arial"/>
                    <w:noProof/>
                  </w:rPr>
                  <w:t>(Shaw, 2016)</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Government proposal awareness</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To explore is machine users are aware of the current government proposal to reduce the maximum allowed stake</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805126914"/>
                <w:citation/>
              </w:sdtPr>
              <w:sdtContent>
                <w:r w:rsidRPr="00D358EC">
                  <w:rPr>
                    <w:rFonts w:ascii="Arial" w:hAnsi="Arial" w:cs="Arial"/>
                  </w:rPr>
                  <w:fldChar w:fldCharType="begin"/>
                </w:r>
                <w:r w:rsidRPr="00D358EC">
                  <w:rPr>
                    <w:rFonts w:ascii="Arial" w:hAnsi="Arial" w:cs="Arial"/>
                  </w:rPr>
                  <w:instrText xml:space="preserve"> CITATION ABB17 \l 2057 </w:instrText>
                </w:r>
                <w:r w:rsidRPr="00D358EC">
                  <w:rPr>
                    <w:rFonts w:ascii="Arial" w:hAnsi="Arial" w:cs="Arial"/>
                  </w:rPr>
                  <w:fldChar w:fldCharType="separate"/>
                </w:r>
                <w:r w:rsidRPr="00D358EC">
                  <w:rPr>
                    <w:rFonts w:ascii="Arial" w:hAnsi="Arial" w:cs="Arial"/>
                    <w:noProof/>
                  </w:rPr>
                  <w:t>(ABB, 2017)</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Is the proposal a good idea</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Gauge customer opinions on the matter</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432819103"/>
                <w:citation/>
              </w:sdtPr>
              <w:sdtContent>
                <w:r w:rsidRPr="00D358EC">
                  <w:rPr>
                    <w:rFonts w:ascii="Arial" w:hAnsi="Arial" w:cs="Arial"/>
                  </w:rPr>
                  <w:fldChar w:fldCharType="begin"/>
                </w:r>
                <w:r w:rsidRPr="00D358EC">
                  <w:rPr>
                    <w:rFonts w:ascii="Arial" w:hAnsi="Arial" w:cs="Arial"/>
                  </w:rPr>
                  <w:instrText xml:space="preserve"> CITATION ABB17 \l 2057 </w:instrText>
                </w:r>
                <w:r w:rsidRPr="00D358EC">
                  <w:rPr>
                    <w:rFonts w:ascii="Arial" w:hAnsi="Arial" w:cs="Arial"/>
                  </w:rPr>
                  <w:fldChar w:fldCharType="separate"/>
                </w:r>
                <w:r w:rsidRPr="00D358EC">
                  <w:rPr>
                    <w:rFonts w:ascii="Arial" w:hAnsi="Arial" w:cs="Arial"/>
                    <w:noProof/>
                  </w:rPr>
                  <w:t>(ABB, 2017)</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Are FOBT’s harmful</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Do customers agree with the governments summary</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973787976"/>
                <w:citation/>
              </w:sdtPr>
              <w:sdtContent>
                <w:r w:rsidRPr="00D358EC">
                  <w:rPr>
                    <w:rFonts w:ascii="Arial" w:hAnsi="Arial" w:cs="Arial"/>
                  </w:rPr>
                  <w:fldChar w:fldCharType="begin"/>
                </w:r>
                <w:r w:rsidRPr="00D358EC">
                  <w:rPr>
                    <w:rFonts w:ascii="Arial" w:hAnsi="Arial" w:cs="Arial"/>
                  </w:rPr>
                  <w:instrText xml:space="preserve">CITATION Dav16 \t  \l 2057 </w:instrText>
                </w:r>
                <w:r w:rsidRPr="00D358EC">
                  <w:rPr>
                    <w:rFonts w:ascii="Arial" w:hAnsi="Arial" w:cs="Arial"/>
                  </w:rPr>
                  <w:fldChar w:fldCharType="separate"/>
                </w:r>
                <w:r w:rsidRPr="00D358EC">
                  <w:rPr>
                    <w:rFonts w:ascii="Arial" w:hAnsi="Arial" w:cs="Arial"/>
                    <w:noProof/>
                  </w:rPr>
                  <w:t>(Davies, 2017)</w:t>
                </w:r>
                <w:r w:rsidRPr="00D358EC">
                  <w:rPr>
                    <w:rFonts w:ascii="Arial" w:hAnsi="Arial" w:cs="Arial"/>
                  </w:rPr>
                  <w:fldChar w:fldCharType="end"/>
                </w:r>
              </w:sdtContent>
            </w:sdt>
          </w:p>
        </w:tc>
      </w:tr>
      <w:tr w:rsidR="000A679E" w:rsidRPr="00D358EC" w:rsidTr="00811444">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What can reduce this harm</w:t>
            </w:r>
          </w:p>
        </w:tc>
        <w:tc>
          <w:tcPr>
            <w:tcW w:w="3005" w:type="dxa"/>
          </w:tcPr>
          <w:p w:rsidR="000A679E" w:rsidRPr="00D358EC" w:rsidRDefault="000A679E" w:rsidP="00811444">
            <w:pPr>
              <w:spacing w:line="276" w:lineRule="auto"/>
              <w:jc w:val="both"/>
              <w:rPr>
                <w:rFonts w:ascii="Arial" w:hAnsi="Arial" w:cs="Arial"/>
              </w:rPr>
            </w:pPr>
            <w:r w:rsidRPr="00D358EC">
              <w:rPr>
                <w:rFonts w:ascii="Arial" w:hAnsi="Arial" w:cs="Arial"/>
              </w:rPr>
              <w:t>What be done to the current state of FOBT’s to reduce the perceived harm</w:t>
            </w:r>
          </w:p>
        </w:tc>
        <w:tc>
          <w:tcPr>
            <w:tcW w:w="3006" w:type="dxa"/>
          </w:tcPr>
          <w:p w:rsidR="000A679E" w:rsidRPr="00D358EC" w:rsidRDefault="000A679E" w:rsidP="00811444">
            <w:pPr>
              <w:spacing w:line="276" w:lineRule="auto"/>
              <w:jc w:val="both"/>
              <w:rPr>
                <w:rFonts w:ascii="Arial" w:hAnsi="Arial" w:cs="Arial"/>
              </w:rPr>
            </w:pPr>
            <w:sdt>
              <w:sdtPr>
                <w:rPr>
                  <w:rFonts w:ascii="Arial" w:hAnsi="Arial" w:cs="Arial"/>
                </w:rPr>
                <w:id w:val="-1774622121"/>
                <w:citation/>
              </w:sdtPr>
              <w:sdtContent>
                <w:r w:rsidRPr="00D358EC">
                  <w:rPr>
                    <w:rFonts w:ascii="Arial" w:hAnsi="Arial" w:cs="Arial"/>
                  </w:rPr>
                  <w:fldChar w:fldCharType="begin"/>
                </w:r>
                <w:r w:rsidRPr="00D358EC">
                  <w:rPr>
                    <w:rFonts w:ascii="Arial" w:hAnsi="Arial" w:cs="Arial"/>
                  </w:rPr>
                  <w:instrText xml:space="preserve"> CITATION ABB17 \l 2057 </w:instrText>
                </w:r>
                <w:r w:rsidRPr="00D358EC">
                  <w:rPr>
                    <w:rFonts w:ascii="Arial" w:hAnsi="Arial" w:cs="Arial"/>
                  </w:rPr>
                  <w:fldChar w:fldCharType="separate"/>
                </w:r>
                <w:r w:rsidRPr="00D358EC">
                  <w:rPr>
                    <w:rFonts w:ascii="Arial" w:hAnsi="Arial" w:cs="Arial"/>
                    <w:noProof/>
                  </w:rPr>
                  <w:t>(ABB, 2017)</w:t>
                </w:r>
                <w:r w:rsidRPr="00D358EC">
                  <w:rPr>
                    <w:rFonts w:ascii="Arial" w:hAnsi="Arial" w:cs="Arial"/>
                  </w:rPr>
                  <w:fldChar w:fldCharType="end"/>
                </w:r>
              </w:sdtContent>
            </w:sdt>
          </w:p>
        </w:tc>
      </w:tr>
    </w:tbl>
    <w:p w:rsidR="000A679E" w:rsidRPr="00D358EC" w:rsidRDefault="000A679E" w:rsidP="000A679E">
      <w:pPr>
        <w:jc w:val="both"/>
        <w:rPr>
          <w:rFonts w:ascii="Arial" w:hAnsi="Arial" w:cs="Arial"/>
        </w:rPr>
      </w:pP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52" w:name="_Toc513204087"/>
      <w:bookmarkStart w:id="53" w:name="_Toc513881236"/>
      <w:r w:rsidRPr="00D358EC">
        <w:rPr>
          <w:rFonts w:ascii="Arial" w:hAnsi="Arial" w:cs="Arial"/>
          <w:sz w:val="24"/>
          <w:szCs w:val="24"/>
        </w:rPr>
        <w:t>3.3 Interview</w:t>
      </w:r>
      <w:bookmarkEnd w:id="52"/>
      <w:bookmarkEnd w:id="53"/>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3517074" cy="2571750"/>
            <wp:effectExtent l="0" t="0" r="7620" b="0"/>
            <wp:docPr id="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rto="http://schemas.microsoft.com/office/word/2006/arto"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529151" cy="2580581"/>
                    </a:xfrm>
                    <a:prstGeom prst="rect">
                      <a:avLst/>
                    </a:prstGeom>
                    <a:noFill/>
                    <a:ln>
                      <a:noFill/>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 xml:space="preserve">Figure 6 - The Research Onion </w:t>
      </w:r>
      <w:sdt>
        <w:sdtPr>
          <w:rPr>
            <w:rFonts w:ascii="Arial" w:hAnsi="Arial" w:cs="Arial"/>
            <w:i/>
            <w:sz w:val="16"/>
            <w:szCs w:val="16"/>
          </w:rPr>
          <w:id w:val="1564669765"/>
          <w:citation/>
        </w:sdtPr>
        <w:sdtContent>
          <w:r w:rsidRPr="00D358EC">
            <w:rPr>
              <w:rFonts w:ascii="Arial" w:hAnsi="Arial" w:cs="Arial"/>
              <w:i/>
              <w:sz w:val="16"/>
              <w:szCs w:val="16"/>
            </w:rPr>
            <w:fldChar w:fldCharType="begin"/>
          </w:r>
          <w:r w:rsidRPr="00D358EC">
            <w:rPr>
              <w:rFonts w:ascii="Arial" w:hAnsi="Arial" w:cs="Arial"/>
              <w:i/>
              <w:sz w:val="16"/>
              <w:szCs w:val="16"/>
            </w:rPr>
            <w:instrText xml:space="preserve"> CITATION Placeholder1 \l 2057  </w:instrText>
          </w:r>
          <w:r w:rsidRPr="00D358EC">
            <w:rPr>
              <w:rFonts w:ascii="Arial" w:hAnsi="Arial" w:cs="Arial"/>
              <w:i/>
              <w:sz w:val="16"/>
              <w:szCs w:val="16"/>
            </w:rPr>
            <w:fldChar w:fldCharType="separate"/>
          </w:r>
          <w:r w:rsidRPr="00D358EC">
            <w:rPr>
              <w:rFonts w:ascii="Arial" w:hAnsi="Arial" w:cs="Arial"/>
              <w:noProof/>
              <w:sz w:val="16"/>
              <w:szCs w:val="16"/>
            </w:rPr>
            <w:t>(Saunders, Lewis, &amp; Thornhill, Research methods for business students, 2009)</w:t>
          </w:r>
          <w:r w:rsidRPr="00D358EC">
            <w:rPr>
              <w:rFonts w:ascii="Arial" w:hAnsi="Arial" w:cs="Arial"/>
              <w:i/>
              <w:sz w:val="16"/>
              <w:szCs w:val="16"/>
            </w:rPr>
            <w:fldChar w:fldCharType="end"/>
          </w:r>
        </w:sdtContent>
      </w:sdt>
      <w:r w:rsidRPr="00D358EC">
        <w:rPr>
          <w:rFonts w:ascii="Arial" w:hAnsi="Arial" w:cs="Arial"/>
          <w:i/>
          <w:sz w:val="16"/>
          <w:szCs w:val="16"/>
        </w:rPr>
        <w:t>. Adopted for specific methodology pathways – Interview</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An inductive method is done after the deductive quantitative stage in order to provide the researcher with greater insight into the research parameters</w:t>
      </w:r>
      <w:sdt>
        <w:sdtPr>
          <w:rPr>
            <w:rFonts w:ascii="Arial" w:hAnsi="Arial" w:cs="Arial"/>
            <w:sz w:val="24"/>
            <w:szCs w:val="24"/>
          </w:rPr>
          <w:id w:val="67068426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Placeholder1 \t  \l 2057  </w:instrText>
          </w:r>
          <w:r w:rsidRPr="00D358EC">
            <w:rPr>
              <w:rFonts w:ascii="Arial" w:hAnsi="Arial" w:cs="Arial"/>
              <w:sz w:val="24"/>
              <w:szCs w:val="24"/>
            </w:rPr>
            <w:fldChar w:fldCharType="separate"/>
          </w:r>
          <w:r w:rsidRPr="00D358EC">
            <w:rPr>
              <w:rFonts w:ascii="Arial" w:hAnsi="Arial" w:cs="Arial"/>
              <w:noProof/>
              <w:sz w:val="24"/>
              <w:szCs w:val="24"/>
            </w:rPr>
            <w:t xml:space="preserve"> (Saunders, Lewis, &amp; Thornhill, 2009)</w:t>
          </w:r>
          <w:r w:rsidRPr="00D358EC">
            <w:rPr>
              <w:rFonts w:ascii="Arial" w:hAnsi="Arial" w:cs="Arial"/>
              <w:sz w:val="24"/>
              <w:szCs w:val="24"/>
            </w:rPr>
            <w:fldChar w:fldCharType="end"/>
          </w:r>
        </w:sdtContent>
      </w:sdt>
      <w:r w:rsidRPr="00D358EC">
        <w:rPr>
          <w:rFonts w:ascii="Arial" w:hAnsi="Arial" w:cs="Arial"/>
          <w:sz w:val="24"/>
          <w:szCs w:val="24"/>
        </w:rPr>
        <w:t xml:space="preserve">. This allows any themes or patterns discovered in the customer surveys to be explored further in the interviews.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54" w:name="_Toc513204088"/>
      <w:bookmarkStart w:id="55" w:name="_Toc513881237"/>
      <w:r w:rsidRPr="00D358EC">
        <w:t>3.3.1 Interviews</w:t>
      </w:r>
      <w:bookmarkEnd w:id="54"/>
      <w:bookmarkEnd w:id="55"/>
    </w:p>
    <w:p w:rsidR="000A679E" w:rsidRPr="00D358EC" w:rsidRDefault="000A679E" w:rsidP="000A679E">
      <w:pPr>
        <w:jc w:val="both"/>
        <w:rPr>
          <w:rFonts w:ascii="Arial" w:hAnsi="Arial" w:cs="Arial"/>
          <w:sz w:val="24"/>
          <w:szCs w:val="24"/>
        </w:rPr>
      </w:pPr>
      <w:r w:rsidRPr="00D358EC">
        <w:rPr>
          <w:rFonts w:ascii="Arial" w:hAnsi="Arial" w:cs="Arial"/>
          <w:sz w:val="24"/>
          <w:szCs w:val="24"/>
        </w:rPr>
        <w:t>Two interviews will be conducted after the data from the survey has been gathered. This approach of quantitative data before qualitative data allows the researcher to see the numerical statistics and facts before undertaking any interpretive research. A semi structured interview allows for the researcher to have specific questions relating to the primary research in addition to unstructured questions that arise as part of the conversation</w:t>
      </w:r>
      <w:sdt>
        <w:sdtPr>
          <w:rPr>
            <w:rFonts w:ascii="Arial" w:hAnsi="Arial" w:cs="Arial"/>
            <w:sz w:val="24"/>
            <w:szCs w:val="24"/>
          </w:rPr>
          <w:id w:val="67068425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Sau09 \t  \l 2057  </w:instrText>
          </w:r>
          <w:r w:rsidRPr="00D358EC">
            <w:rPr>
              <w:rFonts w:ascii="Arial" w:hAnsi="Arial" w:cs="Arial"/>
              <w:sz w:val="24"/>
              <w:szCs w:val="24"/>
            </w:rPr>
            <w:fldChar w:fldCharType="separate"/>
          </w:r>
          <w:r w:rsidRPr="00D358EC">
            <w:rPr>
              <w:rFonts w:ascii="Arial" w:hAnsi="Arial" w:cs="Arial"/>
              <w:noProof/>
              <w:sz w:val="24"/>
              <w:szCs w:val="24"/>
            </w:rPr>
            <w:t xml:space="preserve"> (Saunders, Lewis, &amp; Thornhill, 2009)</w:t>
          </w:r>
          <w:r w:rsidRPr="00D358EC">
            <w:rPr>
              <w:rFonts w:ascii="Arial" w:hAnsi="Arial" w:cs="Arial"/>
              <w:sz w:val="24"/>
              <w:szCs w:val="24"/>
            </w:rPr>
            <w:fldChar w:fldCharType="end"/>
          </w:r>
        </w:sdtContent>
      </w:sdt>
      <w:r w:rsidRPr="00D358EC">
        <w:rPr>
          <w:rFonts w:ascii="Arial" w:hAnsi="Arial" w:cs="Arial"/>
          <w:sz w:val="24"/>
          <w:szCs w:val="24"/>
        </w:rPr>
        <w:t xml:space="preserve">. The interview mixed method of research uses inductive reasoning in order to better interpret any available data sourced </w:t>
      </w:r>
      <w:sdt>
        <w:sdtPr>
          <w:rPr>
            <w:rFonts w:ascii="Arial" w:hAnsi="Arial" w:cs="Arial"/>
            <w:sz w:val="24"/>
            <w:szCs w:val="24"/>
          </w:rPr>
          <w:id w:val="-44099047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Cam09 \l 2057 </w:instrText>
          </w:r>
          <w:r w:rsidRPr="00D358EC">
            <w:rPr>
              <w:rFonts w:ascii="Arial" w:hAnsi="Arial" w:cs="Arial"/>
              <w:sz w:val="24"/>
              <w:szCs w:val="24"/>
            </w:rPr>
            <w:fldChar w:fldCharType="separate"/>
          </w:r>
          <w:r w:rsidRPr="00D358EC">
            <w:rPr>
              <w:rFonts w:ascii="Arial" w:hAnsi="Arial" w:cs="Arial"/>
              <w:noProof/>
              <w:sz w:val="24"/>
              <w:szCs w:val="24"/>
            </w:rPr>
            <w:t>(Cameron &amp; Price, 2009)</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56" w:name="_Toc513204089"/>
      <w:bookmarkStart w:id="57" w:name="_Toc513881238"/>
      <w:r w:rsidRPr="00D358EC">
        <w:t>3.3.2 Interpretive</w:t>
      </w:r>
      <w:bookmarkEnd w:id="56"/>
      <w:bookmarkEnd w:id="57"/>
    </w:p>
    <w:p w:rsidR="000A679E" w:rsidRPr="00D358EC" w:rsidRDefault="000A679E" w:rsidP="000A679E">
      <w:pPr>
        <w:jc w:val="both"/>
        <w:rPr>
          <w:rFonts w:ascii="Arial" w:hAnsi="Arial" w:cs="Arial"/>
          <w:sz w:val="24"/>
          <w:szCs w:val="24"/>
        </w:rPr>
      </w:pPr>
      <w:r w:rsidRPr="00D358EC">
        <w:rPr>
          <w:rFonts w:ascii="Arial" w:hAnsi="Arial" w:cs="Arial"/>
          <w:sz w:val="24"/>
          <w:szCs w:val="24"/>
        </w:rPr>
        <w:t>Unlike quantitative data in which the credible factual statistics represent the gathered data to set questions, with interpretive questioning the responses given by the respondent can be explored further for elaboration or clarification</w:t>
      </w:r>
      <w:sdt>
        <w:sdtPr>
          <w:rPr>
            <w:rFonts w:ascii="Arial" w:hAnsi="Arial" w:cs="Arial"/>
            <w:sz w:val="24"/>
            <w:szCs w:val="24"/>
          </w:rPr>
          <w:id w:val="145557544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 xml:space="preserve"> (Shaw, 2016)</w:t>
          </w:r>
          <w:r w:rsidRPr="00D358EC">
            <w:rPr>
              <w:rFonts w:ascii="Arial" w:hAnsi="Arial" w:cs="Arial"/>
              <w:sz w:val="24"/>
              <w:szCs w:val="24"/>
            </w:rPr>
            <w:fldChar w:fldCharType="end"/>
          </w:r>
        </w:sdtContent>
      </w:sdt>
      <w:r w:rsidRPr="00D358EC">
        <w:rPr>
          <w:rFonts w:ascii="Arial" w:hAnsi="Arial" w:cs="Arial"/>
          <w:sz w:val="24"/>
          <w:szCs w:val="24"/>
        </w:rPr>
        <w:t xml:space="preserve">. By following the established semi structured interview pattern, the interpretive response should be value free from bias and avoid generalisations.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58" w:name="_Toc513204090"/>
      <w:bookmarkStart w:id="59" w:name="_Toc513881239"/>
      <w:r w:rsidRPr="00D358EC">
        <w:t>3.3.3 Secondary Research</w:t>
      </w:r>
      <w:bookmarkEnd w:id="58"/>
      <w:bookmarkEnd w:id="59"/>
    </w:p>
    <w:p w:rsidR="000A679E" w:rsidRDefault="000A679E" w:rsidP="000A679E">
      <w:pPr>
        <w:jc w:val="both"/>
        <w:rPr>
          <w:rFonts w:ascii="Arial" w:hAnsi="Arial" w:cs="Arial"/>
          <w:sz w:val="24"/>
          <w:szCs w:val="24"/>
        </w:rPr>
      </w:pPr>
      <w:r w:rsidRPr="00D358EC">
        <w:rPr>
          <w:rFonts w:ascii="Arial" w:hAnsi="Arial" w:cs="Arial"/>
          <w:sz w:val="24"/>
          <w:szCs w:val="24"/>
        </w:rPr>
        <w:t xml:space="preserve">In order for the researcher to gain greater understanding within the chosen topic, a wide variety of literature was reviewed prior to the primary research stage. This is imperative to provide a clear framework for the future research methods in addition to the reasoning behind each decision </w:t>
      </w:r>
      <w:sdt>
        <w:sdtPr>
          <w:rPr>
            <w:rFonts w:ascii="Arial" w:hAnsi="Arial" w:cs="Arial"/>
            <w:sz w:val="24"/>
            <w:szCs w:val="24"/>
          </w:rPr>
          <w:id w:val="145557544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Bab07 \l 2057 </w:instrText>
          </w:r>
          <w:r w:rsidRPr="00D358EC">
            <w:rPr>
              <w:rFonts w:ascii="Arial" w:hAnsi="Arial" w:cs="Arial"/>
              <w:sz w:val="24"/>
              <w:szCs w:val="24"/>
            </w:rPr>
            <w:fldChar w:fldCharType="separate"/>
          </w:r>
          <w:r w:rsidRPr="00D358EC">
            <w:rPr>
              <w:rFonts w:ascii="Arial" w:hAnsi="Arial" w:cs="Arial"/>
              <w:noProof/>
              <w:sz w:val="24"/>
              <w:szCs w:val="24"/>
            </w:rPr>
            <w:t>(Babbie, 2007)</w:t>
          </w:r>
          <w:r w:rsidRPr="00D358EC">
            <w:rPr>
              <w:rFonts w:ascii="Arial" w:hAnsi="Arial" w:cs="Arial"/>
              <w:sz w:val="24"/>
              <w:szCs w:val="24"/>
            </w:rPr>
            <w:fldChar w:fldCharType="end"/>
          </w:r>
        </w:sdtContent>
      </w:sdt>
      <w:r w:rsidRPr="00D358EC">
        <w:rPr>
          <w:rFonts w:ascii="Arial" w:hAnsi="Arial" w:cs="Arial"/>
          <w:sz w:val="24"/>
          <w:szCs w:val="24"/>
        </w:rPr>
        <w:t xml:space="preserve">. An extensive literature review was conducted in Chapter 2. </w:t>
      </w:r>
    </w:p>
    <w:p w:rsidR="000A679E" w:rsidRPr="00D358EC" w:rsidRDefault="000A679E" w:rsidP="000A679E">
      <w:pPr>
        <w:pStyle w:val="Heading3"/>
      </w:pPr>
      <w:bookmarkStart w:id="60" w:name="_Toc513204091"/>
      <w:bookmarkStart w:id="61" w:name="_Toc513881240"/>
      <w:r w:rsidRPr="00D358EC">
        <w:t>3.3.4 Interview Design</w:t>
      </w:r>
      <w:bookmarkEnd w:id="60"/>
      <w:bookmarkEnd w:id="61"/>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two interviews carried out in the primary data collecting stage will be semi structured and as a result, allows for greater flow and less bias than a full structured interview </w:t>
      </w:r>
      <w:sdt>
        <w:sdtPr>
          <w:rPr>
            <w:rFonts w:ascii="Arial" w:hAnsi="Arial" w:cs="Arial"/>
            <w:sz w:val="24"/>
            <w:szCs w:val="24"/>
          </w:rPr>
          <w:id w:val="145557544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\l 2057 </w:instrText>
          </w:r>
          <w:r w:rsidRPr="00D358EC">
            <w:rPr>
              <w:rFonts w:ascii="Arial" w:hAnsi="Arial" w:cs="Arial"/>
              <w:sz w:val="24"/>
              <w:szCs w:val="24"/>
            </w:rPr>
            <w:fldChar w:fldCharType="separate"/>
          </w:r>
          <w:r w:rsidRPr="00D358EC">
            <w:rPr>
              <w:rFonts w:ascii="Arial" w:hAnsi="Arial" w:cs="Arial"/>
              <w:noProof/>
              <w:sz w:val="24"/>
              <w:szCs w:val="24"/>
            </w:rPr>
            <w:t>(Shaw, 2016)</w:t>
          </w:r>
          <w:r w:rsidRPr="00D358EC">
            <w:rPr>
              <w:rFonts w:ascii="Arial" w:hAnsi="Arial" w:cs="Arial"/>
              <w:sz w:val="24"/>
              <w:szCs w:val="24"/>
            </w:rPr>
            <w:fldChar w:fldCharType="end"/>
          </w:r>
        </w:sdtContent>
      </w:sdt>
      <w:r w:rsidRPr="00D358EC">
        <w:rPr>
          <w:rFonts w:ascii="Arial" w:hAnsi="Arial" w:cs="Arial"/>
          <w:sz w:val="24"/>
          <w:szCs w:val="24"/>
        </w:rPr>
        <w:t>. Saunders et al infer that the initial preparation of the questions is the most important aspect of the interview</w:t>
      </w:r>
      <w:sdt>
        <w:sdtPr>
          <w:rPr>
            <w:rFonts w:ascii="Arial" w:hAnsi="Arial" w:cs="Arial"/>
            <w:sz w:val="24"/>
            <w:szCs w:val="24"/>
          </w:rPr>
          <w:id w:val="67068427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Placeholder1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(2009)</w:t>
          </w:r>
          <w:r w:rsidRPr="00D358EC">
            <w:rPr>
              <w:rFonts w:ascii="Arial" w:hAnsi="Arial" w:cs="Arial"/>
              <w:sz w:val="24"/>
              <w:szCs w:val="24"/>
            </w:rPr>
            <w:fldChar w:fldCharType="end"/>
          </w:r>
        </w:sdtContent>
      </w:sdt>
      <w:r w:rsidRPr="00D358EC">
        <w:rPr>
          <w:rFonts w:ascii="Arial" w:hAnsi="Arial" w:cs="Arial"/>
          <w:sz w:val="24"/>
          <w:szCs w:val="24"/>
        </w:rPr>
        <w:t xml:space="preserve">. The semi structured format allows for personal interpretation and follow up questions to explore the personal experiences for the respondent. Galletta states that the semi structured interview incorporates the research goals through </w:t>
      </w:r>
      <w:r w:rsidRPr="00D358EC">
        <w:rPr>
          <w:rFonts w:ascii="Arial" w:hAnsi="Arial" w:cs="Arial"/>
          <w:i/>
          <w:sz w:val="24"/>
          <w:szCs w:val="24"/>
        </w:rPr>
        <w:t xml:space="preserve">“theoretically driven questions </w:t>
      </w:r>
      <w:sdt>
        <w:sdtPr>
          <w:rPr>
            <w:rFonts w:ascii="Arial" w:hAnsi="Arial" w:cs="Arial"/>
            <w:i/>
            <w:sz w:val="24"/>
            <w:szCs w:val="24"/>
          </w:rPr>
          <w:id w:val="670684270"/>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Gal13 \p 45 \n  \l 2057  </w:instrText>
          </w:r>
          <w:r w:rsidRPr="00D358EC">
            <w:rPr>
              <w:rFonts w:ascii="Arial" w:hAnsi="Arial" w:cs="Arial"/>
              <w:i/>
              <w:sz w:val="24"/>
              <w:szCs w:val="24"/>
            </w:rPr>
            <w:fldChar w:fldCharType="separate"/>
          </w:r>
          <w:r w:rsidRPr="00D358EC">
            <w:rPr>
              <w:rFonts w:ascii="Arial" w:hAnsi="Arial" w:cs="Arial"/>
              <w:noProof/>
              <w:sz w:val="24"/>
              <w:szCs w:val="24"/>
            </w:rPr>
            <w:t>(2013, p. 45)</w:t>
          </w:r>
          <w:r w:rsidRPr="00D358EC">
            <w:rPr>
              <w:rFonts w:ascii="Arial" w:hAnsi="Arial" w:cs="Arial"/>
              <w:i/>
              <w:sz w:val="24"/>
              <w:szCs w:val="24"/>
            </w:rPr>
            <w:fldChar w:fldCharType="end"/>
          </w:r>
        </w:sdtContent>
      </w:sdt>
      <w:r w:rsidRPr="00D358EC">
        <w:rPr>
          <w:rFonts w:ascii="Arial" w:hAnsi="Arial" w:cs="Arial"/>
          <w:i/>
          <w:sz w:val="24"/>
          <w:szCs w:val="24"/>
        </w:rPr>
        <w:t xml:space="preserve">” and </w:t>
      </w:r>
      <w:r w:rsidRPr="00D358EC">
        <w:rPr>
          <w:rFonts w:ascii="Arial" w:hAnsi="Arial" w:cs="Arial"/>
          <w:sz w:val="24"/>
          <w:szCs w:val="24"/>
        </w:rPr>
        <w:t xml:space="preserve">encourages the interpretation of a respondents personal experiences. A formal approach will be considered over informal due to the over </w:t>
      </w:r>
      <w:r w:rsidRPr="00D358EC">
        <w:rPr>
          <w:rFonts w:ascii="Arial" w:hAnsi="Arial" w:cs="Arial"/>
          <w:sz w:val="24"/>
          <w:szCs w:val="24"/>
        </w:rPr>
        <w:lastRenderedPageBreak/>
        <w:t xml:space="preserve">flexibility of an informal discussion and </w:t>
      </w:r>
      <w:r w:rsidRPr="00D358EC">
        <w:rPr>
          <w:rFonts w:ascii="Arial" w:hAnsi="Arial" w:cs="Arial"/>
          <w:i/>
          <w:sz w:val="24"/>
          <w:szCs w:val="24"/>
        </w:rPr>
        <w:t>maximise “generating meaningful responses”</w:t>
      </w:r>
      <w:sdt>
        <w:sdtPr>
          <w:rPr>
            <w:rFonts w:ascii="Arial" w:hAnsi="Arial" w:cs="Arial"/>
            <w:i/>
            <w:sz w:val="24"/>
            <w:szCs w:val="24"/>
          </w:rPr>
          <w:id w:val="670684271"/>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Gal13 \p 46 \n  \y  \t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(p. 46)</w:t>
          </w:r>
          <w:r w:rsidRPr="00D358EC">
            <w:rPr>
              <w:rFonts w:ascii="Arial" w:hAnsi="Arial" w:cs="Arial"/>
              <w:i/>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62" w:name="_Toc513204092"/>
      <w:bookmarkStart w:id="63" w:name="_Toc513881241"/>
      <w:r w:rsidRPr="00D358EC">
        <w:rPr>
          <w:rFonts w:ascii="Arial" w:hAnsi="Arial" w:cs="Arial"/>
          <w:sz w:val="24"/>
          <w:szCs w:val="24"/>
        </w:rPr>
        <w:t>3.4 Ethical / Moral considerations</w:t>
      </w:r>
      <w:bookmarkEnd w:id="62"/>
      <w:bookmarkEnd w:id="63"/>
    </w:p>
    <w:p w:rsidR="000A679E" w:rsidRPr="00D358EC" w:rsidRDefault="000A679E" w:rsidP="000A679E">
      <w:pPr>
        <w:jc w:val="both"/>
        <w:rPr>
          <w:rFonts w:ascii="Arial" w:hAnsi="Arial" w:cs="Arial"/>
          <w:sz w:val="24"/>
          <w:szCs w:val="24"/>
        </w:rPr>
      </w:pPr>
      <w:r w:rsidRPr="00D358EC">
        <w:rPr>
          <w:rFonts w:ascii="Arial" w:hAnsi="Arial" w:cs="Arial"/>
          <w:sz w:val="24"/>
          <w:szCs w:val="24"/>
        </w:rPr>
        <w:t>As highlighted in the extensive literature review, FOBT’s are still viewed as a stigma within society and as such careful consideration will be taken by the researcher when conducting both surveys and interviews. Shaw suggests that gamblers may find it uncomfortable or difficult to discuss openly regarding their betting patterns</w:t>
      </w:r>
      <w:sdt>
        <w:sdtPr>
          <w:rPr>
            <w:rFonts w:ascii="Arial" w:hAnsi="Arial" w:cs="Arial"/>
            <w:sz w:val="24"/>
            <w:szCs w:val="24"/>
          </w:rPr>
          <w:id w:val="67068427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Sha16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(2016)</w:t>
          </w:r>
          <w:r w:rsidRPr="00D358EC">
            <w:rPr>
              <w:rFonts w:ascii="Arial" w:hAnsi="Arial" w:cs="Arial"/>
              <w:sz w:val="24"/>
              <w:szCs w:val="24"/>
            </w:rPr>
            <w:fldChar w:fldCharType="end"/>
          </w:r>
        </w:sdtContent>
      </w:sdt>
      <w:r w:rsidRPr="00D358EC">
        <w:rPr>
          <w:rFonts w:ascii="Arial" w:hAnsi="Arial" w:cs="Arial"/>
          <w:sz w:val="24"/>
          <w:szCs w:val="24"/>
        </w:rPr>
        <w:t xml:space="preserve"> in a public setting. As such, of the 100 planned surveys, none will be undertaken if the betting shop is considered busy due to the public awareness of the situation and the sensitive subject matter. Due to this high level of sensitivity, anonymity will be guaranteed for all participants. An anonymised and ethics form has been attached [See Appendix h] and all steps have been validated by a supervisor.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64" w:name="_Toc513204093"/>
      <w:bookmarkStart w:id="65" w:name="_Toc513881242"/>
      <w:r w:rsidRPr="00D358EC">
        <w:rPr>
          <w:rFonts w:ascii="Arial" w:hAnsi="Arial" w:cs="Arial"/>
          <w:sz w:val="24"/>
          <w:szCs w:val="24"/>
        </w:rPr>
        <w:t>3.5 Questioning</w:t>
      </w:r>
      <w:bookmarkEnd w:id="64"/>
      <w:bookmarkEnd w:id="65"/>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survey questions will use a variety of questioning techniques </w:t>
      </w:r>
      <w:sdt>
        <w:sdtPr>
          <w:rPr>
            <w:rFonts w:ascii="Arial" w:hAnsi="Arial" w:cs="Arial"/>
            <w:sz w:val="24"/>
            <w:szCs w:val="24"/>
          </w:rPr>
          <w:id w:val="145557544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Cam09 \l 2057 </w:instrText>
          </w:r>
          <w:r w:rsidRPr="00D358EC">
            <w:rPr>
              <w:rFonts w:ascii="Arial" w:hAnsi="Arial" w:cs="Arial"/>
              <w:sz w:val="24"/>
              <w:szCs w:val="24"/>
            </w:rPr>
            <w:fldChar w:fldCharType="separate"/>
          </w:r>
          <w:r w:rsidRPr="00D358EC">
            <w:rPr>
              <w:rFonts w:ascii="Arial" w:hAnsi="Arial" w:cs="Arial"/>
              <w:noProof/>
              <w:sz w:val="24"/>
              <w:szCs w:val="24"/>
            </w:rPr>
            <w:t>(Cameron &amp; Price, 2009)</w:t>
          </w:r>
          <w:r w:rsidRPr="00D358EC">
            <w:rPr>
              <w:rFonts w:ascii="Arial" w:hAnsi="Arial" w:cs="Arial"/>
              <w:sz w:val="24"/>
              <w:szCs w:val="24"/>
            </w:rPr>
            <w:fldChar w:fldCharType="end"/>
          </w:r>
        </w:sdtContent>
      </w:sdt>
      <w:r w:rsidRPr="00D358EC">
        <w:rPr>
          <w:rFonts w:ascii="Arial" w:hAnsi="Arial" w:cs="Arial"/>
          <w:sz w:val="24"/>
          <w:szCs w:val="24"/>
        </w:rPr>
        <w:t xml:space="preserve"> such as dichotomous, likert-type scale questions and multiple choice questions with the primary view of gaining a better understanding from the customer perspective of their habitual betting requirements. A likert scale has been used to register the attitudes towards specific aspects of fixed odds betting terminals as a way to perceive any suggested harm. This scaling method </w:t>
      </w:r>
      <w:sdt>
        <w:sdtPr>
          <w:rPr>
            <w:rFonts w:ascii="Arial" w:hAnsi="Arial" w:cs="Arial"/>
            <w:sz w:val="24"/>
            <w:szCs w:val="24"/>
          </w:rPr>
          <w:id w:val="145557544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Kot12 \l 2057 </w:instrText>
          </w:r>
          <w:r w:rsidRPr="00D358EC">
            <w:rPr>
              <w:rFonts w:ascii="Arial" w:hAnsi="Arial" w:cs="Arial"/>
              <w:sz w:val="24"/>
              <w:szCs w:val="24"/>
            </w:rPr>
            <w:fldChar w:fldCharType="separate"/>
          </w:r>
          <w:r w:rsidRPr="00D358EC">
            <w:rPr>
              <w:rFonts w:ascii="Arial" w:hAnsi="Arial" w:cs="Arial"/>
              <w:noProof/>
              <w:sz w:val="24"/>
              <w:szCs w:val="24"/>
            </w:rPr>
            <w:t>(Kothari, 2012)</w:t>
          </w:r>
          <w:r w:rsidRPr="00D358EC">
            <w:rPr>
              <w:rFonts w:ascii="Arial" w:hAnsi="Arial" w:cs="Arial"/>
              <w:sz w:val="24"/>
              <w:szCs w:val="24"/>
            </w:rPr>
            <w:fldChar w:fldCharType="end"/>
          </w:r>
        </w:sdtContent>
      </w:sdt>
      <w:r w:rsidRPr="00D358EC">
        <w:rPr>
          <w:rFonts w:ascii="Arial" w:hAnsi="Arial" w:cs="Arial"/>
          <w:sz w:val="24"/>
          <w:szCs w:val="24"/>
        </w:rPr>
        <w:t xml:space="preserve">allows the researcher to better understand particular viewpoints to many aspects of the FOBT’s. This type of question also removes any underlying central tendency bias and includes neither as a formatted response available.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66" w:name="_Toc513881243"/>
      <w:r w:rsidRPr="00D358EC">
        <w:rPr>
          <w:rFonts w:ascii="Arial" w:hAnsi="Arial" w:cs="Arial"/>
          <w:sz w:val="24"/>
          <w:szCs w:val="24"/>
        </w:rPr>
        <w:t>3.6 Conclusion</w:t>
      </w:r>
      <w:bookmarkEnd w:id="66"/>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Using both quantitative and qualitative research methods this will allow the research to gain further access to information than if a singular method of research was undertaken. By utilising both a large survey and experience driven personal interviews this will allow for a broader understanding of the subject matter in addition to generating a greater field of responses. </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following chapter surmises the data analysis of both quantitative and qualitative research methods in addition to statistical testing. The aim of Chapter 4 is to align the key theory as outlined in Chapter 2 to the primary research results.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p>
    <w:p w:rsidR="000A679E" w:rsidRPr="00D358EC" w:rsidRDefault="000A679E" w:rsidP="000A679E">
      <w:pPr>
        <w:pStyle w:val="Heading1"/>
        <w:jc w:val="both"/>
        <w:rPr>
          <w:rFonts w:ascii="Arial" w:hAnsi="Arial" w:cs="Arial"/>
        </w:rPr>
      </w:pPr>
      <w:r w:rsidRPr="00D358EC">
        <w:rPr>
          <w:rFonts w:ascii="Arial" w:hAnsi="Arial" w:cs="Arial"/>
        </w:rPr>
        <w:br w:type="page"/>
      </w:r>
      <w:bookmarkStart w:id="67" w:name="_Toc513204094"/>
      <w:bookmarkStart w:id="68" w:name="_Toc513881244"/>
      <w:r w:rsidRPr="00D358EC">
        <w:rPr>
          <w:rFonts w:ascii="Arial" w:hAnsi="Arial" w:cs="Arial"/>
        </w:rPr>
        <w:lastRenderedPageBreak/>
        <w:t>Chapter 4 - Data analysis and findings</w:t>
      </w:r>
      <w:bookmarkEnd w:id="67"/>
      <w:bookmarkEnd w:id="68"/>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following chapter contains data collected from customers within betting shops by the researcher. 100 participants were surveyed over a four day period [Wednesday to Saturday] in order to provide the researcher with different types of customer. Three betting shops and as such three different companies were explored over the four day period with a variety of customers within the Swansea area. The data collected has been analysed in Microsoft Excel using a variety of data analytical tools with primary conclusions stemming from the underlying thesis as outlined in Chapter 2. The transcripts of both interviews can be found in the appendix to this dissertation in addition to the number survey results [See Appendix 1-4). </w:t>
      </w:r>
    </w:p>
    <w:p w:rsidR="000A679E" w:rsidRPr="00D358EC" w:rsidRDefault="000A679E" w:rsidP="000A679E">
      <w:pPr>
        <w:jc w:val="both"/>
        <w:rPr>
          <w:rFonts w:ascii="Arial" w:hAnsi="Arial" w:cs="Arial"/>
          <w:b/>
          <w:sz w:val="24"/>
          <w:szCs w:val="24"/>
        </w:rPr>
      </w:pPr>
    </w:p>
    <w:p w:rsidR="000A679E" w:rsidRPr="00D358EC" w:rsidRDefault="000A679E" w:rsidP="000A679E">
      <w:pPr>
        <w:pStyle w:val="Heading2"/>
        <w:jc w:val="both"/>
        <w:rPr>
          <w:rFonts w:ascii="Arial" w:hAnsi="Arial" w:cs="Arial"/>
          <w:sz w:val="24"/>
          <w:szCs w:val="24"/>
        </w:rPr>
      </w:pPr>
      <w:bookmarkStart w:id="69" w:name="_Toc513204095"/>
      <w:bookmarkStart w:id="70" w:name="_Toc513881245"/>
      <w:r w:rsidRPr="00D358EC">
        <w:rPr>
          <w:rFonts w:ascii="Arial" w:hAnsi="Arial" w:cs="Arial"/>
          <w:sz w:val="24"/>
          <w:szCs w:val="24"/>
        </w:rPr>
        <w:t>4.1 Sample characteristics</w:t>
      </w:r>
      <w:bookmarkEnd w:id="69"/>
      <w:bookmarkEnd w:id="70"/>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Babbie </w:t>
      </w:r>
      <w:sdt>
        <w:sdtPr>
          <w:rPr>
            <w:rFonts w:ascii="Arial" w:hAnsi="Arial" w:cs="Arial"/>
            <w:sz w:val="24"/>
            <w:szCs w:val="24"/>
          </w:rPr>
          <w:id w:val="1766198119"/>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Bab07 \n  \t  \l 2057 </w:instrText>
          </w:r>
          <w:r w:rsidRPr="00D358EC">
            <w:rPr>
              <w:rFonts w:ascii="Arial" w:hAnsi="Arial" w:cs="Arial"/>
              <w:sz w:val="24"/>
              <w:szCs w:val="24"/>
            </w:rPr>
            <w:fldChar w:fldCharType="separate"/>
          </w:r>
          <w:r w:rsidRPr="00D358EC">
            <w:rPr>
              <w:rFonts w:ascii="Arial" w:hAnsi="Arial" w:cs="Arial"/>
              <w:noProof/>
              <w:sz w:val="24"/>
              <w:szCs w:val="24"/>
            </w:rPr>
            <w:t>(2007)</w:t>
          </w:r>
          <w:r w:rsidRPr="00D358EC">
            <w:rPr>
              <w:rFonts w:ascii="Arial" w:hAnsi="Arial" w:cs="Arial"/>
              <w:sz w:val="24"/>
              <w:szCs w:val="24"/>
            </w:rPr>
            <w:fldChar w:fldCharType="end"/>
          </w:r>
        </w:sdtContent>
      </w:sdt>
      <w:r w:rsidRPr="00D358EC">
        <w:rPr>
          <w:rFonts w:ascii="Arial" w:hAnsi="Arial" w:cs="Arial"/>
          <w:sz w:val="24"/>
          <w:szCs w:val="24"/>
        </w:rPr>
        <w:t>writes that in order to fundamentally understand research, a fair cross sectional gender selection should always be present if applicable. The sample was projected to be a 75 / 25 split with regards to gender however, across the four days where primary data was gathered, only three females were sampled. This can be attributed to the predominantly male dominated gambling industry</w:t>
      </w:r>
      <w:sdt>
        <w:sdtPr>
          <w:rPr>
            <w:rFonts w:ascii="Arial" w:hAnsi="Arial" w:cs="Arial"/>
            <w:sz w:val="24"/>
            <w:szCs w:val="24"/>
          </w:rPr>
          <w:id w:val="84288255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Gam17 \l 2057 </w:instrText>
          </w:r>
          <w:r w:rsidRPr="00D358EC">
            <w:rPr>
              <w:rFonts w:ascii="Arial" w:hAnsi="Arial" w:cs="Arial"/>
              <w:sz w:val="24"/>
              <w:szCs w:val="24"/>
            </w:rPr>
            <w:fldChar w:fldCharType="separate"/>
          </w:r>
          <w:r w:rsidRPr="00D358EC">
            <w:rPr>
              <w:rFonts w:ascii="Arial" w:hAnsi="Arial" w:cs="Arial"/>
              <w:noProof/>
              <w:sz w:val="24"/>
              <w:szCs w:val="24"/>
            </w:rPr>
            <w:t xml:space="preserve"> (Gambling Commission, Industry statistics, 2017)</w:t>
          </w:r>
          <w:r w:rsidRPr="00D358EC">
            <w:rPr>
              <w:rFonts w:ascii="Arial" w:hAnsi="Arial" w:cs="Arial"/>
              <w:sz w:val="24"/>
              <w:szCs w:val="24"/>
            </w:rPr>
            <w:fldChar w:fldCharType="end"/>
          </w:r>
        </w:sdtContent>
      </w:sdt>
      <w:r w:rsidRPr="00D358EC">
        <w:rPr>
          <w:rFonts w:ascii="Arial" w:hAnsi="Arial" w:cs="Arial"/>
          <w:sz w:val="24"/>
          <w:szCs w:val="24"/>
        </w:rPr>
        <w:t xml:space="preserve"> and as such Babbie’s gender representation is not applicable to this form of research. The minimum age for the survey due to legal requirements is 18 years old with no maximum allowed age permitted. All 100 participants had gambled on the fixed odds betting terminals before being approached by the researcher.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71" w:name="_Toc513204096"/>
      <w:bookmarkStart w:id="72" w:name="_Toc513881246"/>
      <w:r w:rsidRPr="00D358EC">
        <w:rPr>
          <w:rFonts w:ascii="Arial" w:hAnsi="Arial" w:cs="Arial"/>
          <w:sz w:val="24"/>
          <w:szCs w:val="24"/>
        </w:rPr>
        <w:lastRenderedPageBreak/>
        <w:t>4.2 Data Analysis - Survey</w:t>
      </w:r>
      <w:bookmarkEnd w:id="71"/>
      <w:bookmarkEnd w:id="72"/>
    </w:p>
    <w:p w:rsidR="000A679E" w:rsidRPr="00D358EC" w:rsidRDefault="000A679E" w:rsidP="000A679E">
      <w:pPr>
        <w:pStyle w:val="Heading3"/>
      </w:pPr>
      <w:bookmarkStart w:id="73" w:name="_Toc513204097"/>
      <w:bookmarkStart w:id="74" w:name="_Toc513881247"/>
      <w:r w:rsidRPr="00D358EC">
        <w:t>4.2.1 Age / Frequency of playing</w:t>
      </w:r>
      <w:bookmarkEnd w:id="73"/>
      <w:bookmarkEnd w:id="74"/>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34050" cy="2371725"/>
            <wp:effectExtent l="19050" t="0" r="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734050" cy="237172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sz w:val="16"/>
          <w:szCs w:val="16"/>
        </w:rPr>
      </w:pPr>
      <w:r w:rsidRPr="00D358EC">
        <w:rPr>
          <w:rFonts w:ascii="Arial" w:hAnsi="Arial" w:cs="Arial"/>
          <w:sz w:val="16"/>
          <w:szCs w:val="16"/>
        </w:rPr>
        <w:t>Figure 7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This cross sectional analysis looks at age in relation to the overall frequency of FOBT usage during a typical week. The analysed data has been highlighted to show that all 18 respondents between age bracket 18 – 25 gamble every day and 56% have more than one FOBT session daily. It has been grounded in chapter 2 by Gerda Reith that the gambling act of 2005 has failed since it was created to “</w:t>
      </w:r>
      <w:r w:rsidRPr="00D358EC">
        <w:rPr>
          <w:rFonts w:ascii="Arial" w:hAnsi="Arial" w:cs="Arial"/>
          <w:i/>
          <w:sz w:val="24"/>
          <w:szCs w:val="24"/>
        </w:rPr>
        <w:t>satisfy, but not stimulate existing demand’</w:t>
      </w:r>
      <w:sdt>
        <w:sdtPr>
          <w:rPr>
            <w:rFonts w:ascii="Arial" w:hAnsi="Arial" w:cs="Arial"/>
            <w:i/>
            <w:sz w:val="24"/>
            <w:szCs w:val="24"/>
          </w:rPr>
          <w:id w:val="842882556"/>
          <w:citation/>
        </w:sdtPr>
        <w:sdtContent>
          <w:r w:rsidRPr="00D358EC">
            <w:rPr>
              <w:rFonts w:ascii="Arial" w:hAnsi="Arial" w:cs="Arial"/>
              <w:i/>
              <w:sz w:val="24"/>
              <w:szCs w:val="24"/>
            </w:rPr>
            <w:fldChar w:fldCharType="begin"/>
          </w:r>
          <w:r w:rsidRPr="00D358EC">
            <w:rPr>
              <w:rFonts w:ascii="Arial" w:hAnsi="Arial" w:cs="Arial"/>
              <w:i/>
              <w:sz w:val="24"/>
              <w:szCs w:val="24"/>
            </w:rPr>
            <w:instrText xml:space="preserve"> CITATION DrG06 \p 75 \n  \l 2057  </w:instrText>
          </w:r>
          <w:r w:rsidRPr="00D358EC">
            <w:rPr>
              <w:rFonts w:ascii="Arial" w:hAnsi="Arial" w:cs="Arial"/>
              <w:i/>
              <w:sz w:val="24"/>
              <w:szCs w:val="24"/>
            </w:rPr>
            <w:fldChar w:fldCharType="separate"/>
          </w:r>
          <w:r w:rsidRPr="00D358EC">
            <w:rPr>
              <w:rFonts w:ascii="Arial" w:hAnsi="Arial" w:cs="Arial"/>
              <w:i/>
              <w:noProof/>
              <w:sz w:val="24"/>
              <w:szCs w:val="24"/>
            </w:rPr>
            <w:t xml:space="preserve"> </w:t>
          </w:r>
          <w:r w:rsidRPr="00D358EC">
            <w:rPr>
              <w:rFonts w:ascii="Arial" w:hAnsi="Arial" w:cs="Arial"/>
              <w:noProof/>
              <w:sz w:val="24"/>
              <w:szCs w:val="24"/>
            </w:rPr>
            <w:t>(2006, p. 75)</w:t>
          </w:r>
          <w:r w:rsidRPr="00D358EC">
            <w:rPr>
              <w:rFonts w:ascii="Arial" w:hAnsi="Arial" w:cs="Arial"/>
              <w:i/>
              <w:sz w:val="24"/>
              <w:szCs w:val="24"/>
            </w:rPr>
            <w:fldChar w:fldCharType="end"/>
          </w:r>
        </w:sdtContent>
      </w:sdt>
      <w:r w:rsidRPr="00D358EC">
        <w:rPr>
          <w:rFonts w:ascii="Arial" w:hAnsi="Arial" w:cs="Arial"/>
          <w:sz w:val="24"/>
          <w:szCs w:val="24"/>
        </w:rPr>
        <w:t xml:space="preserve">. The data collected shows that FOBT’s are stimulating a new generation of gamblers which it directly opposing what it was created to do. It was designed to give existing gamblers the option, not prospective gamblers the means.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75" w:name="_Toc513204098"/>
      <w:bookmarkStart w:id="76" w:name="_Toc513881248"/>
      <w:r w:rsidRPr="00D358EC">
        <w:t>4.2.2 Session spend / voluntary limit exceeded</w:t>
      </w:r>
      <w:bookmarkEnd w:id="75"/>
      <w:bookmarkEnd w:id="76"/>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4781550" cy="2038350"/>
            <wp:effectExtent l="19050" t="0" r="0" b="0"/>
            <wp:docPr id="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a:stretch>
                      <a:fillRect/>
                    </a:stretch>
                  </pic:blipFill>
                  <pic:spPr bwMode="auto">
                    <a:xfrm>
                      <a:off x="0" y="0"/>
                      <a:ext cx="4781550" cy="203835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sz w:val="16"/>
          <w:szCs w:val="16"/>
        </w:rPr>
      </w:pPr>
      <w:r w:rsidRPr="00D358EC">
        <w:rPr>
          <w:rFonts w:ascii="Arial" w:hAnsi="Arial" w:cs="Arial"/>
          <w:sz w:val="16"/>
          <w:szCs w:val="16"/>
        </w:rPr>
        <w:t>Figure 8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This cross section looks at the relationship between going over a predetermined set fiscal limit and the average sessions spend per customer. The data collated highlights that the customers that spend the least amount on FOBT games do not go </w:t>
      </w:r>
      <w:r w:rsidRPr="00D358EC">
        <w:rPr>
          <w:rFonts w:ascii="Arial" w:hAnsi="Arial" w:cs="Arial"/>
          <w:sz w:val="24"/>
          <w:szCs w:val="24"/>
        </w:rPr>
        <w:lastRenderedPageBreak/>
        <w:t xml:space="preserve">over the pre-determined limit. All 52 surveyed customers who spend more than £41 per session substantiate that they frequently spend more than they are initially wanting to. This indicates to the researcher a lack of internal controls in place to minimise customer excessive spending on FOBT’s and as a direct result.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Style w:val="Heading3Char"/>
          <w:rFonts w:cs="Arial"/>
          <w:szCs w:val="24"/>
        </w:rPr>
      </w:pPr>
      <w:bookmarkStart w:id="77" w:name="_Toc513881249"/>
      <w:r w:rsidRPr="00D358EC">
        <w:rPr>
          <w:rStyle w:val="Heading3Char"/>
          <w:rFonts w:cs="Arial"/>
          <w:szCs w:val="24"/>
        </w:rPr>
        <w:t>4.2.3 Harmful Effects – strongly agree and agree</w:t>
      </w:r>
      <w:bookmarkEnd w:id="77"/>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648325" cy="2743200"/>
            <wp:effectExtent l="19050" t="0" r="9525" b="0"/>
            <wp:docPr id="1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9 – Data sourced and analysed by Steward (2018)</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above bar graph shows the collected responses regarding question 12 filtered for </w:t>
      </w:r>
      <w:r w:rsidRPr="00D358EC">
        <w:rPr>
          <w:rFonts w:ascii="Arial" w:hAnsi="Arial" w:cs="Arial"/>
          <w:i/>
          <w:sz w:val="24"/>
          <w:szCs w:val="24"/>
        </w:rPr>
        <w:t>strongly agree and agree</w:t>
      </w:r>
      <w:r w:rsidRPr="00D358EC">
        <w:rPr>
          <w:rFonts w:ascii="Arial" w:hAnsi="Arial" w:cs="Arial"/>
          <w:sz w:val="24"/>
          <w:szCs w:val="24"/>
        </w:rPr>
        <w:t xml:space="preserve"> with the aforementioned statements. The participant responses show that 88% believe that removing debit card transactions from fixed odds betting terminal sessions would reduce assist in reducing the perceived harm in FOBT’s. The results also indicate that over 90% of respondents feel the removed of bonus features would also reduce the harm of FOBT’s. This draws a comparison to the conclusion drawn by Lindberg et al suggesting that by removing the bonus features from within games would reduce the overall appeal to at risk customers </w:t>
      </w:r>
      <w:sdt>
        <w:sdtPr>
          <w:rPr>
            <w:rFonts w:ascii="Arial" w:hAnsi="Arial" w:cs="Arial"/>
            <w:sz w:val="24"/>
            <w:szCs w:val="24"/>
          </w:rPr>
          <w:id w:val="84288254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Lin14 \n  \l 2057  </w:instrText>
          </w:r>
          <w:r w:rsidRPr="00D358EC">
            <w:rPr>
              <w:rFonts w:ascii="Arial" w:hAnsi="Arial" w:cs="Arial"/>
              <w:sz w:val="24"/>
              <w:szCs w:val="24"/>
            </w:rPr>
            <w:fldChar w:fldCharType="separate"/>
          </w:r>
          <w:r w:rsidRPr="00D358EC">
            <w:rPr>
              <w:rFonts w:ascii="Arial" w:hAnsi="Arial" w:cs="Arial"/>
              <w:noProof/>
              <w:sz w:val="24"/>
              <w:szCs w:val="24"/>
            </w:rPr>
            <w:t>(Impulsivity and Cognitive Distortions in Problem Gambling: Theory and Application, 2014)</w:t>
          </w:r>
          <w:r w:rsidRPr="00D358EC">
            <w:rPr>
              <w:rFonts w:ascii="Arial" w:hAnsi="Arial" w:cs="Arial"/>
              <w:sz w:val="24"/>
              <w:szCs w:val="24"/>
            </w:rPr>
            <w:fldChar w:fldCharType="end"/>
          </w:r>
        </w:sdtContent>
      </w:sdt>
      <w:r w:rsidRPr="00D358EC">
        <w:rPr>
          <w:rFonts w:ascii="Arial" w:hAnsi="Arial" w:cs="Arial"/>
          <w:sz w:val="24"/>
          <w:szCs w:val="24"/>
        </w:rPr>
        <w:t>. It is also affirmed by Fabricatore</w:t>
      </w:r>
      <w:sdt>
        <w:sdtPr>
          <w:rPr>
            <w:rFonts w:ascii="Arial" w:hAnsi="Arial" w:cs="Arial"/>
            <w:sz w:val="24"/>
            <w:szCs w:val="24"/>
          </w:rPr>
          <w:id w:val="84288255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Fab14 \n  \l 2057  </w:instrText>
          </w:r>
          <w:r w:rsidRPr="00D358EC">
            <w:rPr>
              <w:rFonts w:ascii="Arial" w:hAnsi="Arial" w:cs="Arial"/>
              <w:sz w:val="24"/>
              <w:szCs w:val="24"/>
            </w:rPr>
            <w:fldChar w:fldCharType="separate"/>
          </w:r>
          <w:r w:rsidRPr="00D358EC">
            <w:rPr>
              <w:rFonts w:ascii="Arial" w:hAnsi="Arial" w:cs="Arial"/>
              <w:noProof/>
              <w:sz w:val="24"/>
              <w:szCs w:val="24"/>
            </w:rPr>
            <w:t xml:space="preserve"> (Gameplay and game mechanics design, 2014)</w:t>
          </w:r>
          <w:r w:rsidRPr="00D358EC">
            <w:rPr>
              <w:rFonts w:ascii="Arial" w:hAnsi="Arial" w:cs="Arial"/>
              <w:sz w:val="24"/>
              <w:szCs w:val="24"/>
            </w:rPr>
            <w:fldChar w:fldCharType="end"/>
          </w:r>
        </w:sdtContent>
      </w:sdt>
      <w:r w:rsidRPr="00D358EC">
        <w:rPr>
          <w:rFonts w:ascii="Arial" w:hAnsi="Arial" w:cs="Arial"/>
          <w:sz w:val="24"/>
          <w:szCs w:val="24"/>
        </w:rPr>
        <w:t xml:space="preserve"> that bonuses allow the customer to feel they have won even if the returns are lower than they have put </w:t>
      </w:r>
      <w:proofErr w:type="gramStart"/>
      <w:r w:rsidRPr="00D358EC">
        <w:rPr>
          <w:rFonts w:ascii="Arial" w:hAnsi="Arial" w:cs="Arial"/>
          <w:sz w:val="24"/>
          <w:szCs w:val="24"/>
        </w:rPr>
        <w:t>in,</w:t>
      </w:r>
      <w:proofErr w:type="gramEnd"/>
      <w:r w:rsidRPr="00D358EC">
        <w:rPr>
          <w:rFonts w:ascii="Arial" w:hAnsi="Arial" w:cs="Arial"/>
          <w:sz w:val="24"/>
          <w:szCs w:val="24"/>
        </w:rPr>
        <w:t xml:space="preserve"> this only encourages them to play more. As discussed in Chapter 2, a key proponent on business in recent is years is the term corporate social responsibility</w:t>
      </w:r>
      <w:sdt>
        <w:sdtPr>
          <w:rPr>
            <w:rFonts w:ascii="Arial" w:hAnsi="Arial" w:cs="Arial"/>
            <w:sz w:val="24"/>
            <w:szCs w:val="24"/>
          </w:rPr>
          <w:id w:val="84288255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86% of questioned customers believe that the bookmaker should do more to identify problem gamblers. This mirrors the ethical paradox of profit over responsibility</w:t>
      </w:r>
      <w:sdt>
        <w:sdtPr>
          <w:rPr>
            <w:rFonts w:ascii="Arial" w:hAnsi="Arial" w:cs="Arial"/>
            <w:sz w:val="24"/>
            <w:szCs w:val="24"/>
          </w:rPr>
          <w:id w:val="84290980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Fre84 \l 2057 </w:instrText>
          </w:r>
          <w:r w:rsidRPr="00D358EC">
            <w:rPr>
              <w:rFonts w:ascii="Arial" w:hAnsi="Arial" w:cs="Arial"/>
              <w:sz w:val="24"/>
              <w:szCs w:val="24"/>
            </w:rPr>
            <w:fldChar w:fldCharType="separate"/>
          </w:r>
          <w:r w:rsidRPr="00D358EC">
            <w:rPr>
              <w:rFonts w:ascii="Arial" w:hAnsi="Arial" w:cs="Arial"/>
              <w:noProof/>
              <w:sz w:val="24"/>
              <w:szCs w:val="24"/>
            </w:rPr>
            <w:t xml:space="preserve"> (Friedman, 1970)</w:t>
          </w:r>
          <w:r w:rsidRPr="00D358EC">
            <w:rPr>
              <w:rFonts w:ascii="Arial" w:hAnsi="Arial" w:cs="Arial"/>
              <w:sz w:val="24"/>
              <w:szCs w:val="24"/>
            </w:rPr>
            <w:fldChar w:fldCharType="end"/>
          </w:r>
        </w:sdtContent>
      </w:sdt>
      <w:r w:rsidRPr="00D358EC">
        <w:rPr>
          <w:rFonts w:ascii="Arial" w:hAnsi="Arial" w:cs="Arial"/>
          <w:sz w:val="24"/>
          <w:szCs w:val="24"/>
        </w:rPr>
        <w:t>. However, Mark Griffiths infers that the identification of problem gamblers by bookmakers would not prevail due to the accessibility of online gambling</w:t>
      </w:r>
      <w:sdt>
        <w:sdtPr>
          <w:rPr>
            <w:rFonts w:ascii="Arial" w:hAnsi="Arial" w:cs="Arial"/>
            <w:sz w:val="24"/>
            <w:szCs w:val="24"/>
          </w:rPr>
          <w:id w:val="84288255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Gri18 \n  \l 2057  </w:instrText>
          </w:r>
          <w:r w:rsidRPr="00D358EC">
            <w:rPr>
              <w:rFonts w:ascii="Arial" w:hAnsi="Arial" w:cs="Arial"/>
              <w:sz w:val="24"/>
              <w:szCs w:val="24"/>
            </w:rPr>
            <w:fldChar w:fldCharType="separate"/>
          </w:r>
          <w:r w:rsidRPr="00D358EC">
            <w:rPr>
              <w:rFonts w:ascii="Arial" w:hAnsi="Arial" w:cs="Arial"/>
              <w:noProof/>
              <w:sz w:val="24"/>
              <w:szCs w:val="24"/>
            </w:rPr>
            <w:t xml:space="preserve"> (Should virtual roulette machines be banned from </w:t>
          </w:r>
          <w:r w:rsidRPr="00D358EC">
            <w:rPr>
              <w:rFonts w:ascii="Arial" w:hAnsi="Arial" w:cs="Arial"/>
              <w:noProof/>
              <w:sz w:val="24"/>
              <w:szCs w:val="24"/>
            </w:rPr>
            <w:lastRenderedPageBreak/>
            <w:t>high street bookmakers?, 2018)</w:t>
          </w:r>
          <w:r w:rsidRPr="00D358EC">
            <w:rPr>
              <w:rFonts w:ascii="Arial" w:hAnsi="Arial" w:cs="Arial"/>
              <w:sz w:val="24"/>
              <w:szCs w:val="24"/>
            </w:rPr>
            <w:fldChar w:fldCharType="end"/>
          </w:r>
        </w:sdtContent>
      </w:sdt>
      <w:r w:rsidRPr="00D358EC">
        <w:rPr>
          <w:rFonts w:ascii="Arial" w:hAnsi="Arial" w:cs="Arial"/>
          <w:sz w:val="24"/>
          <w:szCs w:val="24"/>
        </w:rPr>
        <w:t xml:space="preserve"> and would only minimise a shop’s profit in the short term.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78" w:name="_Toc513204100"/>
      <w:bookmarkStart w:id="79" w:name="_Toc513881250"/>
      <w:r w:rsidRPr="00D358EC">
        <w:t xml:space="preserve">4.2.4 Harmful effects – Strongly disagree and </w:t>
      </w:r>
      <w:bookmarkEnd w:id="78"/>
      <w:r w:rsidRPr="00D358EC">
        <w:t>disagree</w:t>
      </w:r>
      <w:bookmarkEnd w:id="79"/>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648325" cy="2743200"/>
            <wp:effectExtent l="19050" t="0" r="9525" b="0"/>
            <wp:docPr id="16"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10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above bar graph shows the collected responses regarding question 12 [What else can be done (other than reducing the maximum allowed stake) in order to reduce the harmfulness of fixed odds betting terminals] filtered for strongly disagree and disagree with the aforementioned statements.  With B2 category games, a customer is able to get up to £100 every 20 seconds. 72% of respondents believe that decreasing game variety would not reduce the harm in fixed odds betting terminals. The data collected affirms this as 98 / 100 respondents chose their FOBT game because they have played it before. Highlighting the time and day on the screen retained almost 30%, mirroring the established theme in casinos of not showing the time or day</w:t>
      </w:r>
      <w:sdt>
        <w:sdtPr>
          <w:rPr>
            <w:rFonts w:ascii="Arial" w:hAnsi="Arial" w:cs="Arial"/>
            <w:sz w:val="24"/>
            <w:szCs w:val="24"/>
          </w:rPr>
          <w:id w:val="842882553"/>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Str18 \l 2057 </w:instrText>
          </w:r>
          <w:r w:rsidRPr="00D358EC">
            <w:rPr>
              <w:rFonts w:ascii="Arial" w:hAnsi="Arial" w:cs="Arial"/>
              <w:sz w:val="24"/>
              <w:szCs w:val="24"/>
            </w:rPr>
            <w:fldChar w:fldCharType="separate"/>
          </w:r>
          <w:r w:rsidRPr="00D358EC">
            <w:rPr>
              <w:rFonts w:ascii="Arial" w:hAnsi="Arial" w:cs="Arial"/>
              <w:noProof/>
              <w:sz w:val="24"/>
              <w:szCs w:val="24"/>
            </w:rPr>
            <w:t xml:space="preserve"> (Streeter, 2018)</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80" w:name="_Toc513204101"/>
      <w:bookmarkStart w:id="81" w:name="_Toc513881251"/>
      <w:r w:rsidRPr="00D358EC">
        <w:lastRenderedPageBreak/>
        <w:t>4.2.5 Specific appeal triggers</w:t>
      </w:r>
      <w:bookmarkEnd w:id="80"/>
      <w:bookmarkEnd w:id="81"/>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4638675" cy="2238375"/>
            <wp:effectExtent l="19050" t="0" r="9525" b="0"/>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srcRect/>
                    <a:stretch>
                      <a:fillRect/>
                    </a:stretch>
                  </pic:blipFill>
                  <pic:spPr bwMode="auto">
                    <a:xfrm>
                      <a:off x="0" y="0"/>
                      <a:ext cx="4638675" cy="223837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11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Question 6 of the survey looks at the individual aspects that appeal to an FOBT user as to what draws them to play it. 98% of respondents said they chose their game because they have played it before. Betting shops add new games each week to their machines</w:t>
      </w:r>
      <w:sdt>
        <w:sdtPr>
          <w:rPr>
            <w:rFonts w:ascii="Arial" w:hAnsi="Arial" w:cs="Arial"/>
            <w:sz w:val="24"/>
            <w:szCs w:val="24"/>
          </w:rPr>
          <w:id w:val="84288255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Ass13 \l 2057 </w:instrText>
          </w:r>
          <w:r w:rsidRPr="00D358EC">
            <w:rPr>
              <w:rFonts w:ascii="Arial" w:hAnsi="Arial" w:cs="Arial"/>
              <w:sz w:val="24"/>
              <w:szCs w:val="24"/>
            </w:rPr>
            <w:fldChar w:fldCharType="separate"/>
          </w:r>
          <w:r w:rsidRPr="00D358EC">
            <w:rPr>
              <w:rFonts w:ascii="Arial" w:hAnsi="Arial" w:cs="Arial"/>
              <w:noProof/>
              <w:sz w:val="24"/>
              <w:szCs w:val="24"/>
            </w:rPr>
            <w:t xml:space="preserve"> (Bookmakers, 2017)</w:t>
          </w:r>
          <w:r w:rsidRPr="00D358EC">
            <w:rPr>
              <w:rFonts w:ascii="Arial" w:hAnsi="Arial" w:cs="Arial"/>
              <w:sz w:val="24"/>
              <w:szCs w:val="24"/>
            </w:rPr>
            <w:fldChar w:fldCharType="end"/>
          </w:r>
        </w:sdtContent>
      </w:sdt>
      <w:r w:rsidRPr="00D358EC">
        <w:rPr>
          <w:rFonts w:ascii="Arial" w:hAnsi="Arial" w:cs="Arial"/>
          <w:sz w:val="24"/>
          <w:szCs w:val="24"/>
        </w:rPr>
        <w:t xml:space="preserve"> however, the vast majority of those responded said this does not impact their decision making process as they will choose to play the same game each time. Fabricatore suggests that graphics and audio are key indicators</w:t>
      </w:r>
      <w:sdt>
        <w:sdtPr>
          <w:rPr>
            <w:rFonts w:ascii="Arial" w:hAnsi="Arial" w:cs="Arial"/>
            <w:sz w:val="24"/>
            <w:szCs w:val="24"/>
          </w:rPr>
          <w:id w:val="84288255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Fab14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(2014)</w:t>
          </w:r>
          <w:r w:rsidRPr="00D358EC">
            <w:rPr>
              <w:rFonts w:ascii="Arial" w:hAnsi="Arial" w:cs="Arial"/>
              <w:sz w:val="24"/>
              <w:szCs w:val="24"/>
            </w:rPr>
            <w:fldChar w:fldCharType="end"/>
          </w:r>
        </w:sdtContent>
      </w:sdt>
      <w:r w:rsidRPr="00D358EC">
        <w:rPr>
          <w:rFonts w:ascii="Arial" w:hAnsi="Arial" w:cs="Arial"/>
          <w:sz w:val="24"/>
          <w:szCs w:val="24"/>
        </w:rPr>
        <w:t xml:space="preserve"> when deciding whether to play a machine however, the primary data suggests that this is not applicable to a betting shop customer over a standard casino customer. 72% of customers replied that the specific bonus features are the underlying reason for playing a certain game which mirrors the 92% that believe that bonus features ultimately provide harm to players.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82" w:name="_Toc513204102"/>
      <w:bookmarkStart w:id="83" w:name="_Toc513881252"/>
      <w:r w:rsidRPr="00D358EC">
        <w:t>4.2.6 Online / In-store frequency</w:t>
      </w:r>
      <w:bookmarkEnd w:id="82"/>
      <w:bookmarkEnd w:id="83"/>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629275" cy="1190625"/>
            <wp:effectExtent l="19050" t="0" r="9525" b="0"/>
            <wp:docPr id="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srcRect/>
                    <a:stretch>
                      <a:fillRect/>
                    </a:stretch>
                  </pic:blipFill>
                  <pic:spPr bwMode="auto">
                    <a:xfrm>
                      <a:off x="0" y="0"/>
                      <a:ext cx="5629275" cy="119062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12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above table shows the frequency of gambling in store on the vertical axis, and the frequency of online gambling on the horizontal axis. The data gathered shows that of the 26 people that have gambled online, 92% gamble in store more than once a week in addition to multiple times a week online. This further highlights the access available for people to gamble as inferred by Griffiths</w:t>
      </w:r>
      <w:sdt>
        <w:sdtPr>
          <w:rPr>
            <w:rFonts w:ascii="Arial" w:hAnsi="Arial" w:cs="Arial"/>
            <w:sz w:val="24"/>
            <w:szCs w:val="24"/>
          </w:rPr>
          <w:id w:val="84290980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Gri15 \n  \t  \l 2057  </w:instrText>
          </w:r>
          <w:r w:rsidRPr="00D358EC">
            <w:rPr>
              <w:rFonts w:ascii="Arial" w:hAnsi="Arial" w:cs="Arial"/>
              <w:sz w:val="24"/>
              <w:szCs w:val="24"/>
            </w:rPr>
            <w:fldChar w:fldCharType="separate"/>
          </w:r>
          <w:r w:rsidRPr="00D358EC">
            <w:rPr>
              <w:rFonts w:ascii="Arial" w:hAnsi="Arial" w:cs="Arial"/>
              <w:noProof/>
              <w:sz w:val="24"/>
              <w:szCs w:val="24"/>
            </w:rPr>
            <w:t xml:space="preserve"> (2015)</w:t>
          </w:r>
          <w:r w:rsidRPr="00D358EC">
            <w:rPr>
              <w:rFonts w:ascii="Arial" w:hAnsi="Arial" w:cs="Arial"/>
              <w:sz w:val="24"/>
              <w:szCs w:val="24"/>
            </w:rPr>
            <w:fldChar w:fldCharType="end"/>
          </w:r>
        </w:sdtContent>
      </w:sdt>
      <w:r w:rsidRPr="00D358EC">
        <w:rPr>
          <w:rFonts w:ascii="Arial" w:hAnsi="Arial" w:cs="Arial"/>
          <w:sz w:val="24"/>
          <w:szCs w:val="24"/>
        </w:rPr>
        <w:t>.</w:t>
      </w:r>
    </w:p>
    <w:p w:rsidR="000A679E" w:rsidRPr="00D358EC" w:rsidRDefault="000A679E" w:rsidP="000A679E">
      <w:pPr>
        <w:pStyle w:val="Heading2"/>
        <w:jc w:val="both"/>
        <w:rPr>
          <w:rFonts w:ascii="Arial" w:hAnsi="Arial" w:cs="Arial"/>
          <w:sz w:val="24"/>
          <w:szCs w:val="24"/>
        </w:rPr>
      </w:pPr>
      <w:bookmarkStart w:id="84" w:name="_Toc513204103"/>
      <w:bookmarkStart w:id="85" w:name="_Toc513881253"/>
      <w:r w:rsidRPr="00D358EC">
        <w:rPr>
          <w:rFonts w:ascii="Arial" w:hAnsi="Arial" w:cs="Arial"/>
          <w:sz w:val="24"/>
          <w:szCs w:val="24"/>
        </w:rPr>
        <w:t>4.3 Statistical Analysis – Survey</w:t>
      </w:r>
      <w:bookmarkEnd w:id="84"/>
      <w:bookmarkEnd w:id="85"/>
    </w:p>
    <w:p w:rsidR="000A679E" w:rsidRPr="00D358EC" w:rsidRDefault="000A679E" w:rsidP="000A679E">
      <w:pPr>
        <w:jc w:val="both"/>
        <w:rPr>
          <w:rFonts w:ascii="Arial" w:hAnsi="Arial" w:cs="Arial"/>
        </w:rPr>
      </w:pPr>
    </w:p>
    <w:p w:rsidR="000A679E" w:rsidRPr="00D358EC" w:rsidRDefault="000A679E" w:rsidP="000A679E">
      <w:pPr>
        <w:pStyle w:val="Heading2"/>
        <w:jc w:val="both"/>
        <w:rPr>
          <w:rFonts w:ascii="Arial" w:hAnsi="Arial" w:cs="Arial"/>
          <w:sz w:val="24"/>
          <w:szCs w:val="24"/>
        </w:rPr>
      </w:pPr>
      <w:bookmarkStart w:id="86" w:name="_Toc513881254"/>
      <w:r w:rsidRPr="00D358EC">
        <w:rPr>
          <w:rFonts w:ascii="Arial" w:hAnsi="Arial" w:cs="Arial"/>
          <w:sz w:val="24"/>
          <w:szCs w:val="24"/>
        </w:rPr>
        <w:lastRenderedPageBreak/>
        <w:t>4.3.1 The Average Customer</w:t>
      </w:r>
      <w:bookmarkEnd w:id="86"/>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As specific customer ages were not specified but characterised within age group brackets, an average age can be estimated out using the mean age groups resulting in 21.5; 30.5; 40.5; 50.5; 60.5 and 70.5. The average customer age can therefore be extrapolated from the 100 surveys to produce an average customer age of 39.4 and through the 97/3 male to female respondent ratio it can be assumed that the gender of the average customer would be male. Using the mathematical statistical assumption discipline whereby using real statistics to conclude an assumption based on similar outcomes it can be presented with a high probability that the average customer would also have played his chosen FOBT game previously and to a lesser </w:t>
      </w:r>
      <w:r>
        <w:rPr>
          <w:rFonts w:ascii="Arial" w:hAnsi="Arial" w:cs="Arial"/>
          <w:sz w:val="24"/>
          <w:szCs w:val="24"/>
        </w:rPr>
        <w:t xml:space="preserve">but still likely </w:t>
      </w:r>
      <w:r w:rsidRPr="00D358EC">
        <w:rPr>
          <w:rFonts w:ascii="Arial" w:hAnsi="Arial" w:cs="Arial"/>
          <w:sz w:val="24"/>
          <w:szCs w:val="24"/>
        </w:rPr>
        <w:t>probability would choose this FOBT game for its quick wins (98% and 86% respectively - Section 4.2.5) over any other specific appeal trigger. It can also be assumed with 93% probability that since the average customer is aged between 36 and 45 and the quantitative survey highlighted 1 in  14 customer</w:t>
      </w:r>
      <w:r>
        <w:rPr>
          <w:rFonts w:ascii="Arial" w:hAnsi="Arial" w:cs="Arial"/>
          <w:sz w:val="24"/>
          <w:szCs w:val="24"/>
        </w:rPr>
        <w:t xml:space="preserve"> within that age grouping </w:t>
      </w:r>
      <w:r w:rsidRPr="00D358EC">
        <w:rPr>
          <w:rFonts w:ascii="Arial" w:hAnsi="Arial" w:cs="Arial"/>
          <w:sz w:val="24"/>
          <w:szCs w:val="24"/>
        </w:rPr>
        <w:t xml:space="preserve"> have </w:t>
      </w:r>
      <w:r>
        <w:rPr>
          <w:rFonts w:ascii="Arial" w:hAnsi="Arial" w:cs="Arial"/>
          <w:sz w:val="24"/>
          <w:szCs w:val="24"/>
        </w:rPr>
        <w:t xml:space="preserve">never </w:t>
      </w:r>
      <w:r w:rsidRPr="00D358EC">
        <w:rPr>
          <w:rFonts w:ascii="Arial" w:hAnsi="Arial" w:cs="Arial"/>
          <w:sz w:val="24"/>
          <w:szCs w:val="24"/>
        </w:rPr>
        <w:t xml:space="preserve">gambled online </w:t>
      </w:r>
      <w:r>
        <w:rPr>
          <w:rFonts w:ascii="Arial" w:hAnsi="Arial" w:cs="Arial"/>
          <w:sz w:val="24"/>
          <w:szCs w:val="24"/>
        </w:rPr>
        <w:t xml:space="preserve">it can be assumed </w:t>
      </w:r>
      <w:r w:rsidRPr="00D358EC">
        <w:rPr>
          <w:rFonts w:ascii="Arial" w:hAnsi="Arial" w:cs="Arial"/>
          <w:sz w:val="24"/>
          <w:szCs w:val="24"/>
        </w:rPr>
        <w:t>that the average customer does not gamble online. It can also be supposed based off the primary research data that the average FOBT customer believes removing debit card transactions  from FOBT’s would reduce the harm (88% Section 4.2.3)</w:t>
      </w:r>
    </w:p>
    <w:p w:rsidR="000A679E" w:rsidRPr="00D358EC" w:rsidRDefault="000A679E" w:rsidP="000A679E">
      <w:pPr>
        <w:jc w:val="both"/>
        <w:rPr>
          <w:rFonts w:ascii="Arial" w:hAnsi="Arial" w:cs="Arial"/>
        </w:rPr>
      </w:pPr>
    </w:p>
    <w:p w:rsidR="000A679E" w:rsidRPr="00D358EC" w:rsidRDefault="000A679E" w:rsidP="000A679E">
      <w:pPr>
        <w:pStyle w:val="Heading2"/>
        <w:jc w:val="both"/>
        <w:rPr>
          <w:rFonts w:ascii="Arial" w:hAnsi="Arial" w:cs="Arial"/>
          <w:sz w:val="24"/>
          <w:szCs w:val="24"/>
        </w:rPr>
      </w:pPr>
      <w:bookmarkStart w:id="87" w:name="_Toc513881255"/>
      <w:r w:rsidRPr="00D358EC">
        <w:rPr>
          <w:rFonts w:ascii="Arial" w:hAnsi="Arial" w:cs="Arial"/>
          <w:sz w:val="24"/>
          <w:szCs w:val="24"/>
        </w:rPr>
        <w:t>4.3.2 Chi Square Statistical Testing</w:t>
      </w:r>
      <w:bookmarkEnd w:id="87"/>
    </w:p>
    <w:p w:rsidR="000A679E" w:rsidRPr="00D358EC" w:rsidRDefault="000A679E" w:rsidP="000A679E">
      <w:pPr>
        <w:jc w:val="both"/>
        <w:rPr>
          <w:rFonts w:ascii="Arial" w:hAnsi="Arial" w:cs="Arial"/>
          <w:sz w:val="24"/>
          <w:szCs w:val="24"/>
        </w:rPr>
      </w:pPr>
      <w:r w:rsidRPr="00D358EC">
        <w:rPr>
          <w:rFonts w:ascii="Arial" w:hAnsi="Arial" w:cs="Arial"/>
          <w:sz w:val="24"/>
          <w:szCs w:val="24"/>
        </w:rPr>
        <w:t>A chi square test for independence can be used in order to view any correlation between two inconsequential variables</w:t>
      </w:r>
      <w:sdt>
        <w:sdtPr>
          <w:rPr>
            <w:rFonts w:ascii="Arial" w:hAnsi="Arial" w:cs="Arial"/>
            <w:sz w:val="24"/>
            <w:szCs w:val="24"/>
          </w:rPr>
          <w:id w:val="1188282349"/>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Gre96 \l 2057 </w:instrText>
          </w:r>
          <w:r w:rsidRPr="00D358EC">
            <w:rPr>
              <w:rFonts w:ascii="Arial" w:hAnsi="Arial" w:cs="Arial"/>
              <w:sz w:val="24"/>
              <w:szCs w:val="24"/>
            </w:rPr>
            <w:fldChar w:fldCharType="separate"/>
          </w:r>
          <w:r w:rsidRPr="00D358EC">
            <w:rPr>
              <w:rFonts w:ascii="Arial" w:hAnsi="Arial" w:cs="Arial"/>
              <w:noProof/>
              <w:sz w:val="24"/>
              <w:szCs w:val="24"/>
            </w:rPr>
            <w:t xml:space="preserve"> (Greenwood &amp; Nikulin, 1996)</w:t>
          </w:r>
          <w:r w:rsidRPr="00D358EC">
            <w:rPr>
              <w:rFonts w:ascii="Arial" w:hAnsi="Arial" w:cs="Arial"/>
              <w:sz w:val="24"/>
              <w:szCs w:val="24"/>
            </w:rPr>
            <w:fldChar w:fldCharType="end"/>
          </w:r>
        </w:sdtContent>
      </w:sdt>
      <w:r w:rsidRPr="00D358EC">
        <w:rPr>
          <w:rFonts w:ascii="Arial" w:hAnsi="Arial" w:cs="Arial"/>
          <w:sz w:val="24"/>
          <w:szCs w:val="24"/>
        </w:rPr>
        <w:t xml:space="preserve">. The tests can be used to analyse any numerical value stemming from primary research and look at these variables between two data figures. Using a 2 x 2 squared method, the research is able to analyse the following tables to indicate any significance.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88" w:name="_Toc513204104"/>
      <w:bookmarkStart w:id="89" w:name="_Toc513881256"/>
      <w:r w:rsidRPr="00D358EC">
        <w:t>4.3.2.1 Chi Square 1</w:t>
      </w:r>
      <w:bookmarkEnd w:id="88"/>
      <w:bookmarkEnd w:id="89"/>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following chi square test highlights the ratios of age to gamble online frequency.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1123950"/>
            <wp:effectExtent l="19050" t="0" r="9525" b="0"/>
            <wp:docPr id="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srcRect/>
                    <a:stretch>
                      <a:fillRect/>
                    </a:stretch>
                  </pic:blipFill>
                  <pic:spPr bwMode="auto">
                    <a:xfrm>
                      <a:off x="0" y="0"/>
                      <a:ext cx="5724525" cy="112395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13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1057275"/>
            <wp:effectExtent l="19050" t="0" r="9525" b="0"/>
            <wp:docPr id="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srcRect/>
                    <a:stretch>
                      <a:fillRect/>
                    </a:stretch>
                  </pic:blipFill>
                  <pic:spPr bwMode="auto">
                    <a:xfrm>
                      <a:off x="0" y="0"/>
                      <a:ext cx="5724525" cy="105727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lastRenderedPageBreak/>
        <w:t>Figure 14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chi-square statistic is 22.8704. The p-value is .000002. This result is significant at p &lt; .05.</w:t>
      </w:r>
    </w:p>
    <w:p w:rsidR="000A679E" w:rsidRPr="00D358EC" w:rsidRDefault="000A679E" w:rsidP="000A679E">
      <w:pPr>
        <w:jc w:val="both"/>
        <w:rPr>
          <w:rFonts w:ascii="Arial" w:hAnsi="Arial" w:cs="Arial"/>
          <w:sz w:val="24"/>
          <w:szCs w:val="24"/>
        </w:rPr>
      </w:pPr>
    </w:p>
    <w:p w:rsidR="000A679E" w:rsidRPr="00D358EC" w:rsidRDefault="000A679E" w:rsidP="000A679E">
      <w:pPr>
        <w:pStyle w:val="Heading4"/>
        <w:jc w:val="both"/>
        <w:rPr>
          <w:rFonts w:ascii="Arial" w:hAnsi="Arial" w:cs="Arial"/>
          <w:sz w:val="24"/>
          <w:szCs w:val="24"/>
        </w:rPr>
      </w:pPr>
      <w:r w:rsidRPr="00D358EC">
        <w:rPr>
          <w:rFonts w:ascii="Arial" w:hAnsi="Arial" w:cs="Arial"/>
          <w:sz w:val="24"/>
          <w:szCs w:val="24"/>
        </w:rPr>
        <w:t>4.3.2.2 Summary of test results</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given significant p value indicates a strong correlation in ages 18-35 with reference to frequent gambling online in retrospect to the large proportion of customer over 36+ to whom have never gambled online. This significant result indicated a correlation to the researcher and as such may be indicative of a trend that younger people who gamble in store, also gamble frequently online.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90" w:name="_Toc513204105"/>
      <w:bookmarkStart w:id="91" w:name="_Toc513881257"/>
      <w:r w:rsidRPr="00D358EC">
        <w:t>4.3.3 Chi Square 2</w:t>
      </w:r>
      <w:bookmarkEnd w:id="90"/>
      <w:bookmarkEnd w:id="91"/>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following chi square test highlights the ratios of age to gamble in store daily frequency.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1133475"/>
            <wp:effectExtent l="19050" t="0" r="9525" b="0"/>
            <wp:docPr id="9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srcRect/>
                    <a:stretch>
                      <a:fillRect/>
                    </a:stretch>
                  </pic:blipFill>
                  <pic:spPr bwMode="auto">
                    <a:xfrm>
                      <a:off x="0" y="0"/>
                      <a:ext cx="5724525" cy="113347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15 – Data sourced and analysed by Steward (2018)</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1047750"/>
            <wp:effectExtent l="19050" t="0" r="9525" b="0"/>
            <wp:docPr id="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srcRect/>
                    <a:stretch>
                      <a:fillRect/>
                    </a:stretch>
                  </pic:blipFill>
                  <pic:spPr bwMode="auto">
                    <a:xfrm>
                      <a:off x="0" y="0"/>
                      <a:ext cx="5724525" cy="1047750"/>
                    </a:xfrm>
                    <a:prstGeom prst="rect">
                      <a:avLst/>
                    </a:prstGeom>
                    <a:noFill/>
                    <a:ln w="9525">
                      <a:noFill/>
                      <a:miter lim="800000"/>
                      <a:headEnd/>
                      <a:tailEnd/>
                    </a:ln>
                  </pic:spPr>
                </pic:pic>
              </a:graphicData>
            </a:graphic>
          </wp:inline>
        </w:drawing>
      </w:r>
      <w:r w:rsidRPr="00D358EC">
        <w:rPr>
          <w:rFonts w:ascii="Arial" w:hAnsi="Arial" w:cs="Arial"/>
          <w:sz w:val="24"/>
          <w:szCs w:val="24"/>
        </w:rPr>
        <w:t>.</w:t>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16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chi-square statistic is 0.3405. The p-value is .559515. This result is not significant at p &lt; .05.</w:t>
      </w:r>
    </w:p>
    <w:p w:rsidR="000A679E" w:rsidRPr="00D358EC" w:rsidRDefault="000A679E" w:rsidP="000A679E">
      <w:pPr>
        <w:jc w:val="both"/>
        <w:rPr>
          <w:rFonts w:ascii="Arial" w:hAnsi="Arial" w:cs="Arial"/>
          <w:sz w:val="24"/>
          <w:szCs w:val="24"/>
        </w:rPr>
      </w:pPr>
    </w:p>
    <w:p w:rsidR="000A679E" w:rsidRPr="00D358EC" w:rsidRDefault="000A679E" w:rsidP="000A679E">
      <w:pPr>
        <w:pStyle w:val="Heading4"/>
        <w:jc w:val="both"/>
        <w:rPr>
          <w:rFonts w:ascii="Arial" w:hAnsi="Arial" w:cs="Arial"/>
          <w:sz w:val="24"/>
          <w:szCs w:val="24"/>
        </w:rPr>
      </w:pPr>
      <w:r w:rsidRPr="00D358EC">
        <w:rPr>
          <w:rFonts w:ascii="Arial" w:hAnsi="Arial" w:cs="Arial"/>
          <w:sz w:val="24"/>
          <w:szCs w:val="24"/>
        </w:rPr>
        <w:t>4.3.3.1 Summary of test results</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value of P representing age to in store gambling is inconsequential and as such does not pose any significance to the findings. </w:t>
      </w:r>
    </w:p>
    <w:p w:rsidR="000A679E" w:rsidRPr="00D358EC" w:rsidRDefault="000A679E" w:rsidP="000A679E">
      <w:pPr>
        <w:jc w:val="both"/>
        <w:rPr>
          <w:rFonts w:ascii="Arial" w:hAnsi="Arial" w:cs="Arial"/>
          <w:sz w:val="24"/>
          <w:szCs w:val="24"/>
        </w:rPr>
      </w:pPr>
      <w:r w:rsidRPr="00D358EC">
        <w:rPr>
          <w:rFonts w:ascii="Arial" w:hAnsi="Arial" w:cs="Arial"/>
          <w:sz w:val="24"/>
          <w:szCs w:val="24"/>
        </w:rPr>
        <w:lastRenderedPageBreak/>
        <w:t xml:space="preserve">Due to the amount of 0 figures within the data findings no 5x5 calculated chi square tests can be performed without manipulating the data.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92" w:name="_Toc513204106"/>
      <w:bookmarkStart w:id="93" w:name="_Toc513881258"/>
      <w:r w:rsidRPr="00D358EC">
        <w:rPr>
          <w:rFonts w:ascii="Arial" w:hAnsi="Arial" w:cs="Arial"/>
          <w:sz w:val="24"/>
          <w:szCs w:val="24"/>
        </w:rPr>
        <w:t>4.4 Data analysis - Interview</w:t>
      </w:r>
      <w:bookmarkEnd w:id="92"/>
      <w:bookmarkEnd w:id="93"/>
    </w:p>
    <w:p w:rsidR="000A679E" w:rsidRPr="00D358EC" w:rsidRDefault="000A679E" w:rsidP="000A679E">
      <w:pPr>
        <w:jc w:val="both"/>
        <w:rPr>
          <w:rFonts w:ascii="Arial" w:hAnsi="Arial" w:cs="Arial"/>
          <w:sz w:val="24"/>
          <w:szCs w:val="24"/>
        </w:rPr>
      </w:pPr>
      <w:r w:rsidRPr="00D358EC">
        <w:rPr>
          <w:rFonts w:ascii="Arial" w:hAnsi="Arial" w:cs="Arial"/>
          <w:sz w:val="24"/>
          <w:szCs w:val="24"/>
        </w:rPr>
        <w:t>The following analysis is of two interview transcripts [See Appendix E and F] regarding a semi structured interview format as outlines in Appendix D.</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Both respondents interviewed said that they would like that more could be done to prevent those deemed at risk gamblers and agreed with the question that enough is not being done by bookmakers to assist in this (See Appendix G – Employee pamphlet).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94" w:name="_Toc513881259"/>
      <w:r w:rsidRPr="00D358EC">
        <w:t>4.4.1 Debit card transactions</w:t>
      </w:r>
      <w:bookmarkEnd w:id="94"/>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issue of using a debit card was raised by respondent Manager 1 as the primary shop they work in is affected by a high amount of money laundering due to its central location. They believe more should be done to prevent it. Through the quantitative survey data gained, it is evident that customers would prefer the option of using debit cards to be removed from the fixed odds betting terminals (88% see section 4.2.3).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95" w:name="_Toc513881260"/>
      <w:r w:rsidRPr="00D358EC">
        <w:rPr>
          <w:rFonts w:ascii="Arial" w:hAnsi="Arial" w:cs="Arial"/>
          <w:sz w:val="24"/>
          <w:szCs w:val="24"/>
        </w:rPr>
        <w:t>4.4.2 Free credit / tournaments</w:t>
      </w:r>
      <w:bookmarkEnd w:id="95"/>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The secondary literature research looked at what companies do to attract customers. It was noted that companies such as Coral introduce new games ever week and offer free credit and tournaments to appeal to a wider audience. This was exemplified in interview question 7.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2620" cy="961390"/>
            <wp:effectExtent l="19050" t="0" r="0" b="0"/>
            <wp:docPr id="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srcRect/>
                    <a:stretch>
                      <a:fillRect/>
                    </a:stretch>
                  </pic:blipFill>
                  <pic:spPr bwMode="auto">
                    <a:xfrm>
                      <a:off x="0" y="0"/>
                      <a:ext cx="5722620" cy="96139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18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Manager1’s responses show that the tournaments in fact do not offer long term sustainable machine usage from customers and instead create short term players.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34050" cy="1257300"/>
            <wp:effectExtent l="19050" t="0" r="0" b="0"/>
            <wp:docPr id="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srcRect/>
                    <a:stretch>
                      <a:fillRect/>
                    </a:stretch>
                  </pic:blipFill>
                  <pic:spPr bwMode="auto">
                    <a:xfrm>
                      <a:off x="0" y="0"/>
                      <a:ext cx="5734050" cy="125730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lastRenderedPageBreak/>
        <w:t>Figure 19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In agreement with Manager1, Manager2 also conferred that free to play tournaments and free credit promotions do not create more machine customers and could be argued to be detrimental to other aspects of gambling. This mirrors the quantitative survey data question (98/100 Section 4.2.5) where the vast majority of FOBT customers stated that they choose their game based on the fact that they have played it previously. </w:t>
      </w:r>
    </w:p>
    <w:p w:rsidR="000A679E" w:rsidRPr="00D358EC" w:rsidRDefault="000A679E" w:rsidP="000A679E">
      <w:pPr>
        <w:jc w:val="both"/>
        <w:rPr>
          <w:rFonts w:ascii="Arial" w:hAnsi="Arial" w:cs="Arial"/>
          <w:sz w:val="24"/>
          <w:szCs w:val="24"/>
        </w:rPr>
      </w:pPr>
    </w:p>
    <w:p w:rsidR="000A679E" w:rsidRPr="00D358EC" w:rsidRDefault="000A679E" w:rsidP="000A679E">
      <w:pPr>
        <w:pStyle w:val="Heading3"/>
      </w:pPr>
      <w:bookmarkStart w:id="96" w:name="_Toc513881261"/>
      <w:r w:rsidRPr="00D358EC">
        <w:t>4.4.3 Slowing down game play</w:t>
      </w:r>
      <w:bookmarkEnd w:id="96"/>
    </w:p>
    <w:p w:rsidR="000A679E" w:rsidRPr="00D358EC" w:rsidRDefault="000A679E" w:rsidP="000A679E">
      <w:pPr>
        <w:jc w:val="both"/>
        <w:rPr>
          <w:rFonts w:ascii="Arial" w:hAnsi="Arial" w:cs="Arial"/>
          <w:sz w:val="24"/>
          <w:szCs w:val="24"/>
        </w:rPr>
      </w:pPr>
      <w:r w:rsidRPr="00D358EC">
        <w:rPr>
          <w:rFonts w:ascii="Arial" w:hAnsi="Arial" w:cs="Arial"/>
          <w:sz w:val="24"/>
          <w:szCs w:val="24"/>
        </w:rPr>
        <w:t>The quantitative data collection analysis (Section 4.2.3) infers that 67% of FOBT users surveyed responded that slowing down gameplay on the terminals would reduce the harm in them. Manager2 brought up a similar proposal during the second qualitative interview.</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1466850"/>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srcRect/>
                    <a:stretch>
                      <a:fillRect/>
                    </a:stretch>
                  </pic:blipFill>
                  <pic:spPr bwMode="auto">
                    <a:xfrm>
                      <a:off x="0" y="0"/>
                      <a:ext cx="5724525" cy="146685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20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Both the survey and interview indicate that slowing down gameplay would be a factor in reducing he harm stemming from FOBT’s however, in a segmented industry that is regulated less than casino’s, younger players are actively playing the machines more. </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676900" cy="885825"/>
            <wp:effectExtent l="19050" t="0" r="0"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srcRect/>
                    <a:stretch>
                      <a:fillRect/>
                    </a:stretch>
                  </pic:blipFill>
                  <pic:spPr bwMode="auto">
                    <a:xfrm>
                      <a:off x="0" y="0"/>
                      <a:ext cx="5676900" cy="88582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21 – Data sourced and analysed by Steward (2018)</w:t>
      </w:r>
    </w:p>
    <w:p w:rsidR="000A679E" w:rsidRPr="00D358EC" w:rsidRDefault="000A679E" w:rsidP="000A679E">
      <w:pPr>
        <w:pStyle w:val="Heading3"/>
      </w:pPr>
      <w:bookmarkStart w:id="97" w:name="_Toc513881262"/>
      <w:r w:rsidRPr="00D358EC">
        <w:t>4.4.4 Reducing the maximum allowed stake</w:t>
      </w:r>
      <w:bookmarkEnd w:id="97"/>
    </w:p>
    <w:p w:rsidR="000A679E" w:rsidRPr="00D358EC" w:rsidRDefault="000A679E" w:rsidP="000A679E">
      <w:pPr>
        <w:jc w:val="both"/>
        <w:rPr>
          <w:rFonts w:ascii="Arial" w:hAnsi="Arial" w:cs="Arial"/>
          <w:sz w:val="24"/>
          <w:szCs w:val="24"/>
        </w:rPr>
      </w:pPr>
      <w:r w:rsidRPr="00D358EC">
        <w:rPr>
          <w:rFonts w:ascii="Arial" w:hAnsi="Arial" w:cs="Arial"/>
          <w:sz w:val="24"/>
          <w:szCs w:val="24"/>
        </w:rPr>
        <w:t>With the UK government’s decision on whether to reduce the maximum allowed FOBT stake due imminently, a question was asked to both interviewees whether the reduction of the stake should be done. Manager1 responded:</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lastRenderedPageBreak/>
        <w:drawing>
          <wp:inline distT="0" distB="0" distL="0" distR="0">
            <wp:extent cx="5724525" cy="1295400"/>
            <wp:effectExtent l="19050" t="0" r="9525" b="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srcRect/>
                    <a:stretch>
                      <a:fillRect/>
                    </a:stretch>
                  </pic:blipFill>
                  <pic:spPr bwMode="auto">
                    <a:xfrm>
                      <a:off x="0" y="0"/>
                      <a:ext cx="5724525" cy="1295400"/>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22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Manager2 responded:</w:t>
      </w:r>
    </w:p>
    <w:p w:rsidR="000A679E" w:rsidRPr="00D358EC" w:rsidRDefault="000A679E" w:rsidP="000A679E">
      <w:pPr>
        <w:jc w:val="both"/>
        <w:rPr>
          <w:rFonts w:ascii="Arial" w:hAnsi="Arial" w:cs="Arial"/>
          <w:sz w:val="24"/>
          <w:szCs w:val="24"/>
        </w:rPr>
      </w:pPr>
      <w:r w:rsidRPr="00D358EC">
        <w:rPr>
          <w:rFonts w:ascii="Arial" w:hAnsi="Arial" w:cs="Arial"/>
          <w:noProof/>
          <w:sz w:val="24"/>
          <w:szCs w:val="24"/>
          <w:lang w:eastAsia="en-GB"/>
        </w:rPr>
        <w:drawing>
          <wp:inline distT="0" distB="0" distL="0" distR="0">
            <wp:extent cx="5724525" cy="923925"/>
            <wp:effectExtent l="19050" t="0" r="9525" b="0"/>
            <wp:docPr id="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srcRect/>
                    <a:stretch>
                      <a:fillRect/>
                    </a:stretch>
                  </pic:blipFill>
                  <pic:spPr bwMode="auto">
                    <a:xfrm>
                      <a:off x="0" y="0"/>
                      <a:ext cx="5724525" cy="923925"/>
                    </a:xfrm>
                    <a:prstGeom prst="rect">
                      <a:avLst/>
                    </a:prstGeom>
                    <a:noFill/>
                    <a:ln w="9525">
                      <a:noFill/>
                      <a:miter lim="800000"/>
                      <a:headEnd/>
                      <a:tailEnd/>
                    </a:ln>
                  </pic:spPr>
                </pic:pic>
              </a:graphicData>
            </a:graphic>
          </wp:inline>
        </w:drawing>
      </w:r>
    </w:p>
    <w:p w:rsidR="000A679E" w:rsidRPr="00D358EC" w:rsidRDefault="000A679E" w:rsidP="000A679E">
      <w:pPr>
        <w:jc w:val="both"/>
        <w:rPr>
          <w:rFonts w:ascii="Arial" w:hAnsi="Arial" w:cs="Arial"/>
          <w:i/>
          <w:sz w:val="16"/>
          <w:szCs w:val="16"/>
        </w:rPr>
      </w:pPr>
      <w:r w:rsidRPr="00D358EC">
        <w:rPr>
          <w:rFonts w:ascii="Arial" w:hAnsi="Arial" w:cs="Arial"/>
          <w:i/>
          <w:sz w:val="16"/>
          <w:szCs w:val="16"/>
        </w:rPr>
        <w:t>Figure 23 – Data sourced and analysed by Steward (2018)</w:t>
      </w:r>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Manager1 surmises that no, reducing the stake would not as it simply eliminates one option of betting. The quantitative survey data showed only 26% of FOBT customers have gambled online and it could therefore be argued that reducing the stake would reduce the harm in FOBT’s. Manager2 offers a solution of greater monitoring capabilities on FOBT transactions over £30. Such policies exist within casinos whereby a players spending is constantly tracked and assessed as explored in chapter 2 however, it could be argued this would infringe on the freedoms that people associate with gambling. As discussed previously, in a casino where there is a lot more monitoring, many customers would not want their data stored for machine usage. The question regarding the current in store procedure of asking a customer if they want to play stakes over £50, both interviewees responded that it is not beneficial in reducing problem gambling due to the minority of players that play them. </w:t>
      </w:r>
    </w:p>
    <w:p w:rsidR="000A679E" w:rsidRPr="00D358EC" w:rsidRDefault="000A679E" w:rsidP="000A679E">
      <w:pPr>
        <w:jc w:val="both"/>
        <w:rPr>
          <w:rFonts w:ascii="Arial" w:hAnsi="Arial" w:cs="Arial"/>
          <w:sz w:val="24"/>
          <w:szCs w:val="24"/>
        </w:rPr>
      </w:pPr>
    </w:p>
    <w:p w:rsidR="000A679E" w:rsidRPr="00D358EC" w:rsidRDefault="000A679E" w:rsidP="000A679E">
      <w:pPr>
        <w:pStyle w:val="Heading2"/>
        <w:jc w:val="both"/>
        <w:rPr>
          <w:rFonts w:ascii="Arial" w:hAnsi="Arial" w:cs="Arial"/>
          <w:sz w:val="24"/>
          <w:szCs w:val="24"/>
        </w:rPr>
      </w:pPr>
      <w:bookmarkStart w:id="98" w:name="_Toc513881263"/>
      <w:r w:rsidRPr="00D358EC">
        <w:rPr>
          <w:rFonts w:ascii="Arial" w:hAnsi="Arial" w:cs="Arial"/>
          <w:sz w:val="24"/>
          <w:szCs w:val="24"/>
        </w:rPr>
        <w:t>4.5 Limitations of the study</w:t>
      </w:r>
      <w:bookmarkEnd w:id="98"/>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Due to the cross sectional data research method, time was a mitigating factor through the dissertation process and as such, it can be argued that a fair representation of society was not reflected in the main findings. This reaffirms the Gambling Commission’s view of a male dominated industry.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With respect to the sensitive subject matter, with greater experience to the researcher, more challenging open ended survey questions could be asked with regards to the customer feelings and emotions that would include secondary observations for non-auditory cues such as body language.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The sample data was also disproportionate to the gender divide in society and as such, a much large sample survey should incorporate more female opinions.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lastRenderedPageBreak/>
        <w:t xml:space="preserve">The study was conducted within a localised area and further studies would be necessary to gauge the opinions on a wider more national level to avoid data analysis bias through cultural differences. For example, if the age frequencies in other areas of the UK are similar to the customer base of FOBT’s within Swansea. </w:t>
      </w:r>
    </w:p>
    <w:p w:rsidR="000A679E" w:rsidRPr="00D358EC" w:rsidRDefault="000A679E" w:rsidP="000A679E">
      <w:pPr>
        <w:pStyle w:val="Heading2"/>
        <w:jc w:val="both"/>
        <w:rPr>
          <w:rFonts w:ascii="Arial" w:hAnsi="Arial" w:cs="Arial"/>
        </w:rPr>
      </w:pPr>
    </w:p>
    <w:p w:rsidR="000A679E" w:rsidRPr="00D358EC" w:rsidRDefault="000A679E" w:rsidP="000A679E">
      <w:pPr>
        <w:pStyle w:val="Heading2"/>
        <w:jc w:val="both"/>
        <w:rPr>
          <w:rFonts w:ascii="Arial" w:hAnsi="Arial" w:cs="Arial"/>
        </w:rPr>
      </w:pPr>
      <w:bookmarkStart w:id="99" w:name="_Toc513881264"/>
      <w:r w:rsidRPr="00D358EC">
        <w:rPr>
          <w:rFonts w:ascii="Arial" w:hAnsi="Arial" w:cs="Arial"/>
        </w:rPr>
        <w:t>4.6 Conclusion</w:t>
      </w:r>
      <w:bookmarkEnd w:id="99"/>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It is evident from the primary research that younger players are more frequently playing FOBT’s and as a result are resulting in greater industry FOBT usage than in previous years. As discussed earlier, the gambling act was established to allow the industry the same opportunity as others but it is instead a gateway for young people to start gambling with higher stakes. 99% responded in the quantitative survey that reducing the maximum allowed FOBT stake is a good idea and all 100 surveyed customers agreed with the statement that fixed odds betting terminals are harmful. There is a noted strong correlation between younger gamblers and the propensity to gamble online in addition to in store and as such could be viewed as problem gamblers. Younger gamblers, based off the primary research, are more likely to spend over their pre determined limit each session and are the largest age group (18 – 25) to gamble online and as such indicate a potential trend. </w:t>
      </w:r>
    </w:p>
    <w:p w:rsidR="000A679E" w:rsidRPr="00D358EC" w:rsidRDefault="000A679E" w:rsidP="000A679E">
      <w:pPr>
        <w:jc w:val="both"/>
        <w:rPr>
          <w:rFonts w:ascii="Arial" w:hAnsi="Arial" w:cs="Arial"/>
          <w:sz w:val="24"/>
          <w:szCs w:val="24"/>
        </w:rPr>
      </w:pPr>
      <w:r w:rsidRPr="00D358EC">
        <w:rPr>
          <w:rFonts w:ascii="Arial" w:hAnsi="Arial" w:cs="Arial"/>
          <w:sz w:val="24"/>
          <w:szCs w:val="24"/>
        </w:rPr>
        <w:t>The final chapter will conclude the dissertation and as such seek to surmise the analysed primary research with the grounded secondary research in retrospect to the initial objectives as outlines in Chapter 1.</w:t>
      </w:r>
    </w:p>
    <w:p w:rsidR="000A679E" w:rsidRPr="00D358EC" w:rsidRDefault="000A679E" w:rsidP="000A679E">
      <w:pPr>
        <w:jc w:val="both"/>
        <w:rPr>
          <w:rFonts w:ascii="Arial" w:eastAsiaTheme="majorEastAsia" w:hAnsi="Arial" w:cs="Arial"/>
          <w:b/>
          <w:bCs/>
          <w:color w:val="365F91" w:themeColor="accent1" w:themeShade="BF"/>
          <w:sz w:val="28"/>
          <w:szCs w:val="28"/>
          <w:lang w:val="en-US" w:bidi="en-US"/>
        </w:rPr>
      </w:pPr>
      <w:bookmarkStart w:id="100" w:name="_Toc513204107"/>
      <w:r w:rsidRPr="00D358EC">
        <w:rPr>
          <w:rFonts w:ascii="Arial" w:hAnsi="Arial" w:cs="Arial"/>
        </w:rPr>
        <w:br w:type="page"/>
      </w:r>
    </w:p>
    <w:p w:rsidR="000A679E" w:rsidRPr="00D358EC" w:rsidRDefault="000A679E" w:rsidP="000A679E">
      <w:pPr>
        <w:pStyle w:val="Heading1"/>
        <w:jc w:val="both"/>
        <w:rPr>
          <w:rFonts w:ascii="Arial" w:hAnsi="Arial" w:cs="Arial"/>
        </w:rPr>
      </w:pPr>
      <w:bookmarkStart w:id="101" w:name="_Toc513881265"/>
      <w:r w:rsidRPr="00D358EC">
        <w:rPr>
          <w:rFonts w:ascii="Arial" w:hAnsi="Arial" w:cs="Arial"/>
        </w:rPr>
        <w:lastRenderedPageBreak/>
        <w:t>Chapter 5 – Conclusion</w:t>
      </w:r>
      <w:bookmarkEnd w:id="100"/>
      <w:bookmarkEnd w:id="101"/>
    </w:p>
    <w:p w:rsidR="000A679E" w:rsidRPr="00D358EC" w:rsidRDefault="000A679E" w:rsidP="000A679E">
      <w:pPr>
        <w:jc w:val="both"/>
        <w:rPr>
          <w:rFonts w:ascii="Arial" w:hAnsi="Arial" w:cs="Arial"/>
          <w:lang w:val="en-US" w:bidi="en-US"/>
        </w:rPr>
      </w:pP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The following chapter will surmise the dissertation and seek to answer whether the primary objectives of the dissertation have been fulfilled. </w:t>
      </w:r>
    </w:p>
    <w:p w:rsidR="000A679E" w:rsidRPr="00D358EC" w:rsidRDefault="000A679E" w:rsidP="000A679E">
      <w:pPr>
        <w:jc w:val="both"/>
        <w:rPr>
          <w:rFonts w:ascii="Arial" w:hAnsi="Arial" w:cs="Arial"/>
          <w:i/>
          <w:sz w:val="24"/>
          <w:szCs w:val="24"/>
          <w:lang w:val="en-US" w:bidi="en-US"/>
        </w:rPr>
      </w:pPr>
      <w:proofErr w:type="gramStart"/>
      <w:r w:rsidRPr="00D358EC">
        <w:rPr>
          <w:rFonts w:ascii="Arial" w:hAnsi="Arial" w:cs="Arial"/>
          <w:i/>
          <w:sz w:val="24"/>
          <w:szCs w:val="24"/>
          <w:u w:val="single"/>
          <w:lang w:val="en-US" w:bidi="en-US"/>
        </w:rPr>
        <w:t>Objective 1 - To review existing literature on gambling, FOBT’s and any impact in the community</w:t>
      </w:r>
      <w:r w:rsidRPr="00D358EC">
        <w:rPr>
          <w:rFonts w:ascii="Arial" w:hAnsi="Arial" w:cs="Arial"/>
          <w:i/>
          <w:sz w:val="24"/>
          <w:szCs w:val="24"/>
          <w:lang w:val="en-US" w:bidi="en-US"/>
        </w:rPr>
        <w:t>.</w:t>
      </w:r>
      <w:proofErr w:type="gramEnd"/>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Archie Carroll believed that a business have an ethical and moral responsibility to its customers and as a result, the community </w:t>
      </w:r>
      <w:sdt>
        <w:sdtPr>
          <w:rPr>
            <w:rFonts w:ascii="Arial" w:hAnsi="Arial" w:cs="Arial"/>
            <w:sz w:val="24"/>
            <w:szCs w:val="24"/>
          </w:rPr>
          <w:id w:val="1455575438"/>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\n  \t  \l 2057  </w:instrText>
          </w:r>
          <w:r w:rsidRPr="00D358EC">
            <w:rPr>
              <w:rFonts w:ascii="Arial" w:hAnsi="Arial" w:cs="Arial"/>
              <w:sz w:val="24"/>
              <w:szCs w:val="24"/>
            </w:rPr>
            <w:fldChar w:fldCharType="separate"/>
          </w:r>
          <w:r w:rsidRPr="00D358EC">
            <w:rPr>
              <w:rFonts w:ascii="Arial" w:hAnsi="Arial" w:cs="Arial"/>
              <w:noProof/>
              <w:sz w:val="24"/>
              <w:szCs w:val="24"/>
            </w:rPr>
            <w:t>(1991)</w:t>
          </w:r>
          <w:r w:rsidRPr="00D358EC">
            <w:rPr>
              <w:rFonts w:ascii="Arial" w:hAnsi="Arial" w:cs="Arial"/>
              <w:sz w:val="24"/>
              <w:szCs w:val="24"/>
            </w:rPr>
            <w:fldChar w:fldCharType="end"/>
          </w:r>
        </w:sdtContent>
      </w:sdt>
      <w:r w:rsidRPr="00D358EC">
        <w:rPr>
          <w:rFonts w:ascii="Arial" w:hAnsi="Arial" w:cs="Arial"/>
          <w:sz w:val="24"/>
          <w:szCs w:val="24"/>
        </w:rPr>
        <w:t xml:space="preserve">. One of the primary objectives in this dissertation is to ascertain what the local bookmaker does for the local community. In Chapter 2 it was noted that several UK bookmakers claim to actively engage in corporate social responsibility </w:t>
      </w:r>
      <w:sdt>
        <w:sdtPr>
          <w:rPr>
            <w:rFonts w:ascii="Arial" w:hAnsi="Arial" w:cs="Arial"/>
            <w:sz w:val="24"/>
            <w:szCs w:val="24"/>
          </w:rPr>
          <w:id w:val="154200907"/>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Wil17 \l 2057 </w:instrText>
          </w:r>
          <w:r w:rsidRPr="00D358EC">
            <w:rPr>
              <w:rFonts w:ascii="Arial" w:hAnsi="Arial" w:cs="Arial"/>
              <w:sz w:val="24"/>
              <w:szCs w:val="24"/>
            </w:rPr>
            <w:fldChar w:fldCharType="separate"/>
          </w:r>
          <w:r w:rsidRPr="00D358EC">
            <w:rPr>
              <w:rFonts w:ascii="Arial" w:hAnsi="Arial" w:cs="Arial"/>
              <w:noProof/>
              <w:sz w:val="24"/>
              <w:szCs w:val="24"/>
            </w:rPr>
            <w:t>(William Hill, 2017)</w:t>
          </w:r>
          <w:r w:rsidRPr="00D358EC">
            <w:rPr>
              <w:rFonts w:ascii="Arial" w:hAnsi="Arial" w:cs="Arial"/>
              <w:sz w:val="24"/>
              <w:szCs w:val="24"/>
            </w:rPr>
            <w:fldChar w:fldCharType="end"/>
          </w:r>
        </w:sdtContent>
      </w:sdt>
      <w:sdt>
        <w:sdtPr>
          <w:rPr>
            <w:rFonts w:ascii="Arial" w:hAnsi="Arial" w:cs="Arial"/>
            <w:sz w:val="24"/>
            <w:szCs w:val="24"/>
          </w:rPr>
          <w:id w:val="1455575440"/>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Gal18 \l 2057 </w:instrText>
          </w:r>
          <w:r w:rsidRPr="00D358EC">
            <w:rPr>
              <w:rFonts w:ascii="Arial" w:hAnsi="Arial" w:cs="Arial"/>
              <w:sz w:val="24"/>
              <w:szCs w:val="24"/>
            </w:rPr>
            <w:fldChar w:fldCharType="separate"/>
          </w:r>
          <w:r w:rsidRPr="00D358EC">
            <w:rPr>
              <w:rFonts w:ascii="Arial" w:hAnsi="Arial" w:cs="Arial"/>
              <w:noProof/>
              <w:sz w:val="24"/>
              <w:szCs w:val="24"/>
            </w:rPr>
            <w:t>(Coral, 2018)</w:t>
          </w:r>
          <w:r w:rsidRPr="00D358EC">
            <w:rPr>
              <w:rFonts w:ascii="Arial" w:hAnsi="Arial" w:cs="Arial"/>
              <w:sz w:val="24"/>
              <w:szCs w:val="24"/>
            </w:rPr>
            <w:fldChar w:fldCharType="end"/>
          </w:r>
        </w:sdtContent>
      </w:sdt>
      <w:sdt>
        <w:sdtPr>
          <w:rPr>
            <w:rFonts w:ascii="Arial" w:hAnsi="Arial" w:cs="Arial"/>
            <w:sz w:val="24"/>
            <w:szCs w:val="24"/>
          </w:rPr>
          <w:id w:val="1455575441"/>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Lad15 \l 2057 </w:instrText>
          </w:r>
          <w:r w:rsidRPr="00D358EC">
            <w:rPr>
              <w:rFonts w:ascii="Arial" w:hAnsi="Arial" w:cs="Arial"/>
              <w:sz w:val="24"/>
              <w:szCs w:val="24"/>
            </w:rPr>
            <w:fldChar w:fldCharType="separate"/>
          </w:r>
          <w:r w:rsidRPr="00D358EC">
            <w:rPr>
              <w:rFonts w:ascii="Arial" w:hAnsi="Arial" w:cs="Arial"/>
              <w:noProof/>
              <w:sz w:val="24"/>
              <w:szCs w:val="24"/>
            </w:rPr>
            <w:t xml:space="preserve"> (Ladbrokes, 2015)</w:t>
          </w:r>
          <w:r w:rsidRPr="00D358EC">
            <w:rPr>
              <w:rFonts w:ascii="Arial" w:hAnsi="Arial" w:cs="Arial"/>
              <w:sz w:val="24"/>
              <w:szCs w:val="24"/>
            </w:rPr>
            <w:fldChar w:fldCharType="end"/>
          </w:r>
        </w:sdtContent>
      </w:sdt>
      <w:r w:rsidRPr="00D358EC">
        <w:rPr>
          <w:rFonts w:ascii="Arial" w:hAnsi="Arial" w:cs="Arial"/>
          <w:sz w:val="24"/>
          <w:szCs w:val="24"/>
        </w:rPr>
        <w:t xml:space="preserve">. Both interview respondents affirmed that other than a charity box that goes to a central unit, nothing is done for the surrounding environment or community. However, with only 2 stores geographically surveyed it does not provide a sound representation of the UK industry as a whole. The research does over a view into a segment into society and as such a society with a propensity to gamble and a lack of awareness from the industry to the perceived dangers it can cause. With the National Health Service spending £1.2B a year on problem gambling </w:t>
      </w:r>
      <w:sdt>
        <w:sdtPr>
          <w:rPr>
            <w:rFonts w:ascii="Arial" w:hAnsi="Arial" w:cs="Arial"/>
            <w:sz w:val="24"/>
            <w:szCs w:val="24"/>
          </w:rPr>
          <w:id w:val="142885183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NHS16 \l 2057 </w:instrText>
          </w:r>
          <w:r w:rsidRPr="00D358EC">
            <w:rPr>
              <w:rFonts w:ascii="Arial" w:hAnsi="Arial" w:cs="Arial"/>
              <w:sz w:val="24"/>
              <w:szCs w:val="24"/>
            </w:rPr>
            <w:fldChar w:fldCharType="separate"/>
          </w:r>
          <w:r w:rsidRPr="00D358EC">
            <w:rPr>
              <w:rFonts w:ascii="Arial" w:hAnsi="Arial" w:cs="Arial"/>
              <w:noProof/>
              <w:sz w:val="24"/>
              <w:szCs w:val="24"/>
            </w:rPr>
            <w:t>(NHS, 2016)</w:t>
          </w:r>
          <w:r w:rsidRPr="00D358EC">
            <w:rPr>
              <w:rFonts w:ascii="Arial" w:hAnsi="Arial" w:cs="Arial"/>
              <w:sz w:val="24"/>
              <w:szCs w:val="24"/>
            </w:rPr>
            <w:fldChar w:fldCharType="end"/>
          </w:r>
        </w:sdtContent>
      </w:sdt>
      <w:r w:rsidRPr="00D358EC">
        <w:rPr>
          <w:rFonts w:ascii="Arial" w:hAnsi="Arial" w:cs="Arial"/>
          <w:sz w:val="24"/>
          <w:szCs w:val="24"/>
        </w:rPr>
        <w:t xml:space="preserve">, it can be concluded that enough is not being done by the industry to prevent this </w:t>
      </w:r>
      <w:sdt>
        <w:sdtPr>
          <w:rPr>
            <w:rFonts w:ascii="Arial" w:hAnsi="Arial" w:cs="Arial"/>
            <w:sz w:val="24"/>
            <w:szCs w:val="24"/>
          </w:rPr>
          <w:id w:val="1455575442"/>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NHS16 \n  \t  \l 2057  </w:instrText>
          </w:r>
          <w:r w:rsidRPr="00D358EC">
            <w:rPr>
              <w:rFonts w:ascii="Arial" w:hAnsi="Arial" w:cs="Arial"/>
              <w:sz w:val="24"/>
              <w:szCs w:val="24"/>
            </w:rPr>
            <w:fldChar w:fldCharType="separate"/>
          </w:r>
          <w:r w:rsidRPr="00D358EC">
            <w:rPr>
              <w:rFonts w:ascii="Arial" w:hAnsi="Arial" w:cs="Arial"/>
              <w:noProof/>
              <w:sz w:val="24"/>
              <w:szCs w:val="24"/>
            </w:rPr>
            <w:t>(2016)</w:t>
          </w:r>
          <w:r w:rsidRPr="00D358EC">
            <w:rPr>
              <w:rFonts w:ascii="Arial" w:hAnsi="Arial" w:cs="Arial"/>
              <w:sz w:val="24"/>
              <w:szCs w:val="24"/>
            </w:rPr>
            <w:fldChar w:fldCharType="end"/>
          </w:r>
        </w:sdtContent>
      </w:sdt>
      <w:r w:rsidRPr="00D358EC">
        <w:rPr>
          <w:rFonts w:ascii="Arial" w:hAnsi="Arial" w:cs="Arial"/>
          <w:sz w:val="24"/>
          <w:szCs w:val="24"/>
        </w:rPr>
        <w:t>. It can also be affirmed based off the primary quantitative data capturing and qualitative interviews that FOBT’s are a harmful product, however, are a consistently profitable product in the eyes on the government and the industry. The main findings insinuate that there is currently a large correlation between FOBT customers under 35 who are not in control of their gambling. This is evident through the data analysis and as such, further questions the responsibility of business</w:t>
      </w:r>
      <w:sdt>
        <w:sdtPr>
          <w:rPr>
            <w:rFonts w:ascii="Arial" w:hAnsi="Arial" w:cs="Arial"/>
            <w:sz w:val="24"/>
            <w:szCs w:val="24"/>
          </w:rPr>
          <w:id w:val="143913354"/>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Cam99 \l 2057 </w:instrText>
          </w:r>
          <w:r w:rsidRPr="00D358EC">
            <w:rPr>
              <w:rFonts w:ascii="Arial" w:hAnsi="Arial" w:cs="Arial"/>
              <w:sz w:val="24"/>
              <w:szCs w:val="24"/>
            </w:rPr>
            <w:fldChar w:fldCharType="separate"/>
          </w:r>
          <w:r w:rsidRPr="00D358EC">
            <w:rPr>
              <w:rFonts w:ascii="Arial" w:hAnsi="Arial" w:cs="Arial"/>
              <w:noProof/>
              <w:sz w:val="24"/>
              <w:szCs w:val="24"/>
            </w:rPr>
            <w:t xml:space="preserve"> (Carroll, 1991)</w:t>
          </w:r>
          <w:r w:rsidRPr="00D358EC">
            <w:rPr>
              <w:rFonts w:ascii="Arial" w:hAnsi="Arial" w:cs="Arial"/>
              <w:sz w:val="24"/>
              <w:szCs w:val="24"/>
            </w:rPr>
            <w:fldChar w:fldCharType="end"/>
          </w:r>
        </w:sdtContent>
      </w:sdt>
      <w:r w:rsidRPr="00D358EC">
        <w:rPr>
          <w:rFonts w:ascii="Arial" w:hAnsi="Arial" w:cs="Arial"/>
          <w:sz w:val="24"/>
          <w:szCs w:val="24"/>
        </w:rPr>
        <w:t>. Due to the exponential growth of the industry in recent years there does not exist the required tools to assist in the reduction of problem gambling. It was established in Chapter 2 that more young people are gambling more than ever before (backed up by the quantitative data sample) raising the question of awareness. For many stigmatic areas of society there does not exist a spokesperson or a voice for that isolated community. That voice does not exist in the gambling industry and as such there is a large vulnerable section of society with a predisposition to problem gambling that receives no help and limited support. The public spending on problem gambling from the NHS is not an accurate portrayal of the overall health of the gambling nation and as such more studies should be undertaken looking into the physiological and psychological triggers underlying the causality of problem gambling. As a result of the industries practises, limited unbiased literature is available highlighting the wider implications on society of problem gambling</w:t>
      </w:r>
      <w:sdt>
        <w:sdtPr>
          <w:rPr>
            <w:rFonts w:ascii="Arial" w:hAnsi="Arial" w:cs="Arial"/>
            <w:sz w:val="24"/>
            <w:szCs w:val="24"/>
          </w:rPr>
          <w:id w:val="143913355"/>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Wil18 \l 2057 </w:instrText>
          </w:r>
          <w:r w:rsidRPr="00D358EC">
            <w:rPr>
              <w:rFonts w:ascii="Arial" w:hAnsi="Arial" w:cs="Arial"/>
              <w:sz w:val="24"/>
              <w:szCs w:val="24"/>
            </w:rPr>
            <w:fldChar w:fldCharType="separate"/>
          </w:r>
          <w:r w:rsidRPr="00D358EC">
            <w:rPr>
              <w:rFonts w:ascii="Arial" w:hAnsi="Arial" w:cs="Arial"/>
              <w:noProof/>
              <w:sz w:val="24"/>
              <w:szCs w:val="24"/>
            </w:rPr>
            <w:t xml:space="preserve"> (William HIll, 2018)</w:t>
          </w:r>
          <w:r w:rsidRPr="00D358EC">
            <w:rPr>
              <w:rFonts w:ascii="Arial" w:hAnsi="Arial" w:cs="Arial"/>
              <w:sz w:val="24"/>
              <w:szCs w:val="24"/>
            </w:rPr>
            <w:fldChar w:fldCharType="end"/>
          </w:r>
        </w:sdtContent>
      </w:sdt>
      <w:r w:rsidRPr="00D358EC">
        <w:rPr>
          <w:rFonts w:ascii="Arial" w:hAnsi="Arial" w:cs="Arial"/>
          <w:sz w:val="24"/>
          <w:szCs w:val="24"/>
        </w:rPr>
        <w:t xml:space="preserve">.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i/>
          <w:sz w:val="24"/>
          <w:szCs w:val="24"/>
          <w:u w:val="single"/>
        </w:rPr>
      </w:pPr>
      <w:r w:rsidRPr="00D358EC">
        <w:rPr>
          <w:rFonts w:ascii="Arial" w:hAnsi="Arial" w:cs="Arial"/>
          <w:i/>
          <w:sz w:val="24"/>
          <w:szCs w:val="24"/>
          <w:u w:val="single"/>
        </w:rPr>
        <w:lastRenderedPageBreak/>
        <w:t>Objective 2 - To explore whether reducing the FOBT maximum stake threshold would be beneficial to both consumer and the betting industry.</w:t>
      </w:r>
    </w:p>
    <w:p w:rsidR="000A679E" w:rsidRPr="00D358EC" w:rsidRDefault="000A679E" w:rsidP="000A679E">
      <w:pPr>
        <w:jc w:val="both"/>
        <w:rPr>
          <w:rFonts w:ascii="Arial" w:hAnsi="Arial" w:cs="Arial"/>
          <w:i/>
          <w:sz w:val="24"/>
          <w:szCs w:val="24"/>
          <w:u w:val="single"/>
        </w:rPr>
      </w:pPr>
    </w:p>
    <w:p w:rsidR="000A679E" w:rsidRPr="00D358EC" w:rsidRDefault="000A679E" w:rsidP="000A679E">
      <w:pPr>
        <w:jc w:val="both"/>
        <w:rPr>
          <w:rFonts w:ascii="Arial" w:hAnsi="Arial" w:cs="Arial"/>
          <w:sz w:val="24"/>
          <w:szCs w:val="24"/>
        </w:rPr>
      </w:pPr>
      <w:r w:rsidRPr="00D358EC">
        <w:rPr>
          <w:rFonts w:ascii="Arial" w:hAnsi="Arial" w:cs="Arial"/>
          <w:sz w:val="24"/>
          <w:szCs w:val="24"/>
        </w:rPr>
        <w:t>By reducing the maximum allowed stake on FOBT’s the government would be losing millions of pounds in tax levies and as such several charities and organisations that principally rely on those funds in order to operate would cease to exist. The surveyed consumers indicate reducing the threshold from £100 would be beneficial [99%] and a question to fixed odds betting terminal users of whether such machines are harmful resulted in a 100% affirmation. The quantitative data analysis highlighted that the majority of customers go over their pre-determined stake on a regular basis with the majority of customers than initially want to spend a high amount, consistently spending a higher than planned amount. However, through the qualitative interviews it was discovered that very few customer do stake between £50 and £100 per turn. From an industry perspective, through the research process, it seems reducing the stake would not be beneficial to the industry. This has been established in Chapter 2 that the industry as a result of the proposed government changes would lose millions in revenue and thousands of job losses</w:t>
      </w:r>
      <w:sdt>
        <w:sdtPr>
          <w:rPr>
            <w:rFonts w:ascii="Arial" w:hAnsi="Arial" w:cs="Arial"/>
            <w:sz w:val="24"/>
            <w:szCs w:val="24"/>
          </w:rPr>
          <w:id w:val="14391333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Ger17 \t  \l 2057  </w:instrText>
          </w:r>
          <w:r w:rsidRPr="00D358EC">
            <w:rPr>
              <w:rFonts w:ascii="Arial" w:hAnsi="Arial" w:cs="Arial"/>
              <w:sz w:val="24"/>
              <w:szCs w:val="24"/>
            </w:rPr>
            <w:fldChar w:fldCharType="separate"/>
          </w:r>
          <w:r w:rsidRPr="00D358EC">
            <w:rPr>
              <w:rFonts w:ascii="Arial" w:hAnsi="Arial" w:cs="Arial"/>
              <w:noProof/>
              <w:sz w:val="24"/>
              <w:szCs w:val="24"/>
            </w:rPr>
            <w:t xml:space="preserve"> (Gerrard, 2017)</w:t>
          </w:r>
          <w:r w:rsidRPr="00D358EC">
            <w:rPr>
              <w:rFonts w:ascii="Arial" w:hAnsi="Arial" w:cs="Arial"/>
              <w:sz w:val="24"/>
              <w:szCs w:val="24"/>
            </w:rPr>
            <w:fldChar w:fldCharType="end"/>
          </w:r>
        </w:sdtContent>
      </w:sdt>
      <w:r w:rsidRPr="00D358EC">
        <w:rPr>
          <w:rFonts w:ascii="Arial" w:hAnsi="Arial" w:cs="Arial"/>
          <w:sz w:val="24"/>
          <w:szCs w:val="24"/>
        </w:rPr>
        <w:t xml:space="preserve">. However, from a customer perspective, whilst the data indicates an overwhelming majority of in store customers would want the stake lowered, very few customers bet the highest allowed stakes. From a consumer perspective, with in store bookmakers there is greater regulation and some sort of supervisory monitoring policy in place. If the maximum stake of £100 was removed, those customers would then either go to a casino or most likely bet online where statistically, </w:t>
      </w:r>
      <w:proofErr w:type="gramStart"/>
      <w:r w:rsidRPr="00D358EC">
        <w:rPr>
          <w:rFonts w:ascii="Arial" w:hAnsi="Arial" w:cs="Arial"/>
          <w:sz w:val="24"/>
          <w:szCs w:val="24"/>
        </w:rPr>
        <w:t>they</w:t>
      </w:r>
      <w:proofErr w:type="gramEnd"/>
      <w:r w:rsidRPr="00D358EC">
        <w:rPr>
          <w:rFonts w:ascii="Arial" w:hAnsi="Arial" w:cs="Arial"/>
          <w:sz w:val="24"/>
          <w:szCs w:val="24"/>
        </w:rPr>
        <w:t xml:space="preserve"> would be able to lose more money faster. </w:t>
      </w:r>
    </w:p>
    <w:p w:rsidR="000A679E" w:rsidRPr="00D358EC" w:rsidRDefault="000A679E" w:rsidP="000A679E">
      <w:pPr>
        <w:jc w:val="both"/>
        <w:rPr>
          <w:rFonts w:ascii="Arial" w:hAnsi="Arial" w:cs="Arial"/>
          <w:sz w:val="24"/>
          <w:szCs w:val="24"/>
        </w:rPr>
      </w:pPr>
    </w:p>
    <w:p w:rsidR="000A679E" w:rsidRPr="00D358EC" w:rsidRDefault="000A679E" w:rsidP="000A679E">
      <w:pPr>
        <w:jc w:val="both"/>
        <w:rPr>
          <w:rFonts w:ascii="Arial" w:hAnsi="Arial" w:cs="Arial"/>
          <w:i/>
          <w:sz w:val="24"/>
          <w:szCs w:val="24"/>
          <w:u w:val="single"/>
        </w:rPr>
      </w:pPr>
      <w:r w:rsidRPr="00D358EC">
        <w:rPr>
          <w:rFonts w:ascii="Arial" w:hAnsi="Arial" w:cs="Arial"/>
          <w:i/>
          <w:sz w:val="24"/>
          <w:szCs w:val="24"/>
          <w:u w:val="single"/>
        </w:rPr>
        <w:t>Objective 3 - To investigate any external influences that affect the decision making process of a gambler</w:t>
      </w:r>
    </w:p>
    <w:p w:rsidR="000A679E" w:rsidRPr="00D358EC" w:rsidRDefault="000A679E" w:rsidP="000A679E">
      <w:pPr>
        <w:jc w:val="both"/>
        <w:rPr>
          <w:rFonts w:ascii="Arial" w:hAnsi="Arial" w:cs="Arial"/>
          <w:i/>
          <w:sz w:val="24"/>
          <w:szCs w:val="24"/>
          <w:u w:val="single"/>
        </w:rPr>
      </w:pP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rPr>
        <w:t xml:space="preserve">Fabricatore stated that the graphical and auditory responses from a game creates long term appeal </w:t>
      </w:r>
      <w:sdt>
        <w:sdtPr>
          <w:rPr>
            <w:rFonts w:ascii="Arial" w:hAnsi="Arial" w:cs="Arial"/>
            <w:sz w:val="24"/>
            <w:szCs w:val="24"/>
          </w:rPr>
          <w:id w:val="1455575448"/>
          <w:citation/>
        </w:sdtPr>
        <w:sdtContent>
          <w:r w:rsidRPr="00D358EC">
            <w:rPr>
              <w:rFonts w:ascii="Arial" w:hAnsi="Arial" w:cs="Arial"/>
              <w:sz w:val="24"/>
              <w:szCs w:val="24"/>
            </w:rPr>
            <w:fldChar w:fldCharType="begin"/>
          </w:r>
          <w:r w:rsidRPr="00D358EC">
            <w:rPr>
              <w:rFonts w:ascii="Arial" w:hAnsi="Arial" w:cs="Arial"/>
              <w:sz w:val="24"/>
              <w:szCs w:val="24"/>
            </w:rPr>
            <w:instrText xml:space="preserve">CITATION Fab14 \n  \t  \l 2057 </w:instrText>
          </w:r>
          <w:r w:rsidRPr="00D358EC">
            <w:rPr>
              <w:rFonts w:ascii="Arial" w:hAnsi="Arial" w:cs="Arial"/>
              <w:sz w:val="24"/>
              <w:szCs w:val="24"/>
            </w:rPr>
            <w:fldChar w:fldCharType="separate"/>
          </w:r>
          <w:r w:rsidRPr="00D358EC">
            <w:rPr>
              <w:rFonts w:ascii="Arial" w:hAnsi="Arial" w:cs="Arial"/>
              <w:noProof/>
              <w:sz w:val="24"/>
              <w:szCs w:val="24"/>
            </w:rPr>
            <w:t>(2014)</w:t>
          </w:r>
          <w:r w:rsidRPr="00D358EC">
            <w:rPr>
              <w:rFonts w:ascii="Arial" w:hAnsi="Arial" w:cs="Arial"/>
              <w:sz w:val="24"/>
              <w:szCs w:val="24"/>
            </w:rPr>
            <w:fldChar w:fldCharType="end"/>
          </w:r>
        </w:sdtContent>
      </w:sdt>
      <w:r w:rsidRPr="00D358EC">
        <w:rPr>
          <w:rFonts w:ascii="Arial" w:hAnsi="Arial" w:cs="Arial"/>
          <w:sz w:val="24"/>
          <w:szCs w:val="24"/>
        </w:rPr>
        <w:t xml:space="preserve"> however, the quantitative data findings show that only 6% of customers choose their game based on those highly sensory triggers and as such the majority of those surveyed choose their game on having played it previously, quick wins and specific bonus features [98%, 86% and 72% respectively affirmed this statement]. </w:t>
      </w:r>
      <w:r w:rsidRPr="00D358EC">
        <w:rPr>
          <w:rFonts w:ascii="Arial" w:hAnsi="Arial" w:cs="Arial"/>
          <w:sz w:val="24"/>
          <w:szCs w:val="24"/>
          <w:lang w:val="en-US" w:bidi="en-US"/>
        </w:rPr>
        <w:t xml:space="preserve">The main findings indicate that a large percentage of players play FOBT machines primarily due to these reasons. The primary research showed that more young players between 18 and 25 have a higher propensity to chase their loses and </w:t>
      </w:r>
      <w:proofErr w:type="gramStart"/>
      <w:r w:rsidRPr="00D358EC">
        <w:rPr>
          <w:rFonts w:ascii="Arial" w:hAnsi="Arial" w:cs="Arial"/>
          <w:sz w:val="24"/>
          <w:szCs w:val="24"/>
          <w:lang w:val="en-US" w:bidi="en-US"/>
        </w:rPr>
        <w:t>a</w:t>
      </w:r>
      <w:proofErr w:type="gramEnd"/>
      <w:r w:rsidRPr="00D358EC">
        <w:rPr>
          <w:rFonts w:ascii="Arial" w:hAnsi="Arial" w:cs="Arial"/>
          <w:sz w:val="24"/>
          <w:szCs w:val="24"/>
          <w:lang w:val="en-US" w:bidi="en-US"/>
        </w:rPr>
        <w:t xml:space="preserve"> as a result lose more money to the fixed odds betting terminals. With no public marketing available for these machines due to existing government laws, the only three viable scenarios for young customers initially playing FOBT’s are:</w:t>
      </w:r>
    </w:p>
    <w:p w:rsidR="000A679E" w:rsidRPr="00D358EC" w:rsidRDefault="000A679E" w:rsidP="000A679E">
      <w:pPr>
        <w:jc w:val="both"/>
        <w:rPr>
          <w:rFonts w:ascii="Arial" w:hAnsi="Arial" w:cs="Arial"/>
          <w:sz w:val="24"/>
          <w:szCs w:val="24"/>
          <w:lang w:val="en-US" w:bidi="en-US"/>
        </w:rPr>
      </w:pPr>
    </w:p>
    <w:p w:rsidR="000A679E" w:rsidRPr="00D358EC" w:rsidRDefault="000A679E" w:rsidP="000A679E">
      <w:pPr>
        <w:pStyle w:val="ListParagraph"/>
        <w:numPr>
          <w:ilvl w:val="0"/>
          <w:numId w:val="6"/>
        </w:numPr>
        <w:jc w:val="both"/>
        <w:rPr>
          <w:rFonts w:ascii="Arial" w:hAnsi="Arial" w:cs="Arial"/>
          <w:sz w:val="24"/>
          <w:szCs w:val="24"/>
          <w:lang w:val="en-US" w:bidi="en-US"/>
        </w:rPr>
      </w:pPr>
      <w:r w:rsidRPr="00D358EC">
        <w:rPr>
          <w:rFonts w:ascii="Arial" w:hAnsi="Arial" w:cs="Arial"/>
          <w:sz w:val="24"/>
          <w:szCs w:val="24"/>
          <w:lang w:val="en-US" w:bidi="en-US"/>
        </w:rPr>
        <w:t xml:space="preserve">Playing FOBT’s as a secondary option after placing initial sporting bets. </w:t>
      </w:r>
    </w:p>
    <w:p w:rsidR="000A679E" w:rsidRPr="00D358EC" w:rsidRDefault="000A679E" w:rsidP="000A679E">
      <w:pPr>
        <w:pStyle w:val="ListParagraph"/>
        <w:numPr>
          <w:ilvl w:val="0"/>
          <w:numId w:val="6"/>
        </w:numPr>
        <w:jc w:val="both"/>
        <w:rPr>
          <w:rFonts w:ascii="Arial" w:hAnsi="Arial" w:cs="Arial"/>
          <w:sz w:val="24"/>
          <w:szCs w:val="24"/>
          <w:lang w:val="en-US" w:bidi="en-US"/>
        </w:rPr>
      </w:pPr>
      <w:r w:rsidRPr="00D358EC">
        <w:rPr>
          <w:rFonts w:ascii="Arial" w:hAnsi="Arial" w:cs="Arial"/>
          <w:sz w:val="24"/>
          <w:szCs w:val="24"/>
          <w:lang w:val="en-US" w:bidi="en-US"/>
        </w:rPr>
        <w:t>Playing similar games online through online casino’s</w:t>
      </w:r>
    </w:p>
    <w:p w:rsidR="000A679E" w:rsidRPr="00D358EC" w:rsidRDefault="000A679E" w:rsidP="000A679E">
      <w:pPr>
        <w:pStyle w:val="ListParagraph"/>
        <w:numPr>
          <w:ilvl w:val="0"/>
          <w:numId w:val="6"/>
        </w:numPr>
        <w:jc w:val="both"/>
        <w:rPr>
          <w:rFonts w:ascii="Arial" w:hAnsi="Arial" w:cs="Arial"/>
          <w:sz w:val="24"/>
          <w:szCs w:val="24"/>
          <w:lang w:val="en-US" w:bidi="en-US"/>
        </w:rPr>
      </w:pPr>
      <w:r w:rsidRPr="00D358EC">
        <w:rPr>
          <w:rFonts w:ascii="Arial" w:hAnsi="Arial" w:cs="Arial"/>
          <w:sz w:val="24"/>
          <w:szCs w:val="24"/>
          <w:lang w:val="en-US" w:bidi="en-US"/>
        </w:rPr>
        <w:t>Word of mouth</w:t>
      </w:r>
    </w:p>
    <w:p w:rsidR="000A679E" w:rsidRPr="00D358EC" w:rsidRDefault="000A679E" w:rsidP="000A679E">
      <w:pPr>
        <w:pStyle w:val="ListParagraph"/>
        <w:jc w:val="both"/>
        <w:rPr>
          <w:rFonts w:ascii="Arial" w:hAnsi="Arial" w:cs="Arial"/>
          <w:sz w:val="24"/>
          <w:szCs w:val="24"/>
          <w:lang w:val="en-US" w:bidi="en-US"/>
        </w:rPr>
      </w:pP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Whilst option 1 remains the viewpoint of the Government and option 2 seems unlikely given the higher risk, higher reward with online services, option 3 was affirmed in the research interview by one respondent who believes that young people are hearing about the machines either from the media or from their friends who have played them. With the decline of the traditional penny slot arcades, FOBT’s are in danger of becoming a gateway into high risk and reward gambling.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The stigma of problem gambling still exists and it seems that until the proposed government regulation, the industry was working in the shadow and recouping huge profits off FOBT’s without any recourse. Gambling has always been a way for customers to escape from reality and its premise is rooted in the culture of society.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It is only the small minority of those that stake </w:t>
      </w:r>
      <w:proofErr w:type="gramStart"/>
      <w:r w:rsidRPr="00D358EC">
        <w:rPr>
          <w:rFonts w:ascii="Arial" w:hAnsi="Arial" w:cs="Arial"/>
          <w:sz w:val="24"/>
          <w:szCs w:val="24"/>
          <w:lang w:val="en-US" w:bidi="en-US"/>
        </w:rPr>
        <w:t>between £50 - £100 on FOBT’s</w:t>
      </w:r>
      <w:proofErr w:type="gramEnd"/>
      <w:r w:rsidRPr="00D358EC">
        <w:rPr>
          <w:rFonts w:ascii="Arial" w:hAnsi="Arial" w:cs="Arial"/>
          <w:sz w:val="24"/>
          <w:szCs w:val="24"/>
          <w:lang w:val="en-US" w:bidi="en-US"/>
        </w:rPr>
        <w:t xml:space="preserve"> and reducing the overall limit could result in those customers taking their businesses to less reputable places. The larger issue stemming from the primary research is the amount spent by younger machine players and their propensity to gamble online in addition to in store on a regular basis.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The long term implications are a generation gambling far and above their means and it being accepted into the culture of society. More studies need to be done in order to highlight the underlying true dangers of problem gambling which FOBT’s do not appear to be. FOBT’s are simply a means to an end, if they were not available, customers would go online where it has been established though less regulation there is ultimately greater risk. </w:t>
      </w:r>
    </w:p>
    <w:p w:rsidR="000A679E" w:rsidRPr="00D358EC" w:rsidRDefault="000A679E" w:rsidP="000A679E">
      <w:pPr>
        <w:jc w:val="both"/>
        <w:rPr>
          <w:rFonts w:ascii="Arial" w:hAnsi="Arial" w:cs="Arial"/>
          <w:sz w:val="24"/>
          <w:szCs w:val="24"/>
          <w:lang w:val="en-US" w:bidi="en-US"/>
        </w:rPr>
      </w:pPr>
    </w:p>
    <w:p w:rsidR="000A679E" w:rsidRPr="00D358EC" w:rsidRDefault="000A679E" w:rsidP="000A679E">
      <w:pPr>
        <w:pStyle w:val="Heading2"/>
        <w:rPr>
          <w:rFonts w:ascii="Arial" w:hAnsi="Arial" w:cs="Arial"/>
          <w:sz w:val="24"/>
          <w:szCs w:val="24"/>
          <w:lang w:val="en-US" w:bidi="en-US"/>
        </w:rPr>
      </w:pPr>
      <w:bookmarkStart w:id="102" w:name="_Toc513881266"/>
      <w:r w:rsidRPr="00D358EC">
        <w:rPr>
          <w:rFonts w:ascii="Arial" w:hAnsi="Arial" w:cs="Arial"/>
          <w:sz w:val="24"/>
          <w:szCs w:val="24"/>
          <w:lang w:val="en-US" w:bidi="en-US"/>
        </w:rPr>
        <w:t>5.1 Areas of further research</w:t>
      </w:r>
      <w:bookmarkEnd w:id="102"/>
    </w:p>
    <w:p w:rsidR="000A679E" w:rsidRPr="00D358EC" w:rsidRDefault="000A679E" w:rsidP="000A679E">
      <w:pPr>
        <w:jc w:val="both"/>
        <w:rPr>
          <w:rFonts w:ascii="Arial" w:hAnsi="Arial" w:cs="Arial"/>
          <w:sz w:val="24"/>
          <w:szCs w:val="24"/>
        </w:rPr>
      </w:pPr>
      <w:r w:rsidRPr="00D358EC">
        <w:rPr>
          <w:rFonts w:ascii="Arial" w:hAnsi="Arial" w:cs="Arial"/>
          <w:sz w:val="24"/>
          <w:szCs w:val="24"/>
        </w:rPr>
        <w:t xml:space="preserve">As the cross sectional method of data gathering was used due to time limitations there would be several proponents worth exploring further through greater quantitative and qualitative research. </w:t>
      </w:r>
    </w:p>
    <w:tbl>
      <w:tblPr>
        <w:tblStyle w:val="TableGrid"/>
        <w:tblW w:w="9242" w:type="dxa"/>
        <w:tblLook w:val="04A0"/>
      </w:tblPr>
      <w:tblGrid>
        <w:gridCol w:w="4621"/>
        <w:gridCol w:w="4621"/>
      </w:tblGrid>
      <w:tr w:rsidR="000A679E" w:rsidRPr="00D358EC" w:rsidTr="00811444">
        <w:tc>
          <w:tcPr>
            <w:tcW w:w="4621" w:type="dxa"/>
          </w:tcPr>
          <w:p w:rsidR="000A679E" w:rsidRPr="00D358EC" w:rsidRDefault="000A679E" w:rsidP="00811444">
            <w:pPr>
              <w:spacing w:line="276" w:lineRule="auto"/>
              <w:jc w:val="both"/>
              <w:rPr>
                <w:rFonts w:ascii="Arial" w:hAnsi="Arial" w:cs="Arial"/>
                <w:b/>
                <w:sz w:val="24"/>
                <w:szCs w:val="24"/>
              </w:rPr>
            </w:pPr>
            <w:r w:rsidRPr="00D358EC">
              <w:rPr>
                <w:rFonts w:ascii="Arial" w:hAnsi="Arial" w:cs="Arial"/>
                <w:b/>
                <w:sz w:val="24"/>
                <w:szCs w:val="24"/>
              </w:rPr>
              <w:t>Areas of further research needed</w:t>
            </w:r>
          </w:p>
        </w:tc>
        <w:tc>
          <w:tcPr>
            <w:tcW w:w="4621" w:type="dxa"/>
          </w:tcPr>
          <w:p w:rsidR="000A679E" w:rsidRPr="00D358EC" w:rsidRDefault="000A679E" w:rsidP="00811444">
            <w:pPr>
              <w:spacing w:line="276" w:lineRule="auto"/>
              <w:jc w:val="both"/>
              <w:rPr>
                <w:rFonts w:ascii="Arial" w:hAnsi="Arial" w:cs="Arial"/>
                <w:b/>
                <w:sz w:val="24"/>
                <w:szCs w:val="24"/>
              </w:rPr>
            </w:pPr>
            <w:r w:rsidRPr="00D358EC">
              <w:rPr>
                <w:rFonts w:ascii="Arial" w:hAnsi="Arial" w:cs="Arial"/>
                <w:b/>
                <w:sz w:val="24"/>
                <w:szCs w:val="24"/>
              </w:rPr>
              <w:t>Reasoning for the decision</w:t>
            </w:r>
          </w:p>
        </w:tc>
      </w:tr>
      <w:tr w:rsidR="000A679E" w:rsidRPr="00D358EC" w:rsidTr="00811444">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Conduct a larger quantitative survey over a wider geographical area</w:t>
            </w:r>
          </w:p>
        </w:tc>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This would produce more primary data in order to draw greater conclusions</w:t>
            </w:r>
            <w:sdt>
              <w:sdtPr>
                <w:rPr>
                  <w:rFonts w:ascii="Arial" w:hAnsi="Arial" w:cs="Arial"/>
                  <w:sz w:val="24"/>
                  <w:szCs w:val="24"/>
                </w:rPr>
                <w:id w:val="143913356"/>
                <w:citation/>
              </w:sdtPr>
              <w:sdtContent>
                <w:r w:rsidRPr="00D358EC">
                  <w:rPr>
                    <w:rFonts w:ascii="Arial" w:hAnsi="Arial" w:cs="Arial"/>
                    <w:sz w:val="24"/>
                    <w:szCs w:val="24"/>
                  </w:rPr>
                  <w:fldChar w:fldCharType="begin"/>
                </w:r>
                <w:r w:rsidRPr="00D358EC">
                  <w:rPr>
                    <w:rFonts w:ascii="Arial" w:hAnsi="Arial" w:cs="Arial"/>
                    <w:sz w:val="24"/>
                    <w:szCs w:val="24"/>
                  </w:rPr>
                  <w:instrText xml:space="preserve"> CITATION Buc09 \l 2057 </w:instrText>
                </w:r>
                <w:r w:rsidRPr="00D358EC">
                  <w:rPr>
                    <w:rFonts w:ascii="Arial" w:hAnsi="Arial" w:cs="Arial"/>
                    <w:sz w:val="24"/>
                    <w:szCs w:val="24"/>
                  </w:rPr>
                  <w:fldChar w:fldCharType="separate"/>
                </w:r>
                <w:r w:rsidRPr="00D358EC">
                  <w:rPr>
                    <w:rFonts w:ascii="Arial" w:hAnsi="Arial" w:cs="Arial"/>
                    <w:noProof/>
                    <w:sz w:val="24"/>
                    <w:szCs w:val="24"/>
                  </w:rPr>
                  <w:t xml:space="preserve"> (Buchanan &amp; Bryman, 2009)</w:t>
                </w:r>
                <w:r w:rsidRPr="00D358EC">
                  <w:rPr>
                    <w:rFonts w:ascii="Arial" w:hAnsi="Arial" w:cs="Arial"/>
                    <w:sz w:val="24"/>
                    <w:szCs w:val="24"/>
                  </w:rPr>
                  <w:fldChar w:fldCharType="end"/>
                </w:r>
              </w:sdtContent>
            </w:sdt>
            <w:r w:rsidRPr="00D358EC">
              <w:rPr>
                <w:rFonts w:ascii="Arial" w:hAnsi="Arial" w:cs="Arial"/>
                <w:sz w:val="24"/>
                <w:szCs w:val="24"/>
              </w:rPr>
              <w:t xml:space="preserve">. The subsequent data gathered may also provide an insight into cultural trends and habits. </w:t>
            </w:r>
          </w:p>
        </w:tc>
      </w:tr>
      <w:tr w:rsidR="000A679E" w:rsidRPr="00D358EC" w:rsidTr="00811444">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lastRenderedPageBreak/>
              <w:t>Ask survey participants a wealth grouping question in order to explore FOBT usage in correlation to weekly spending</w:t>
            </w:r>
          </w:p>
        </w:tc>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This question would allow comparisons to be draw between terminal usage and overall product spending</w:t>
            </w:r>
          </w:p>
        </w:tc>
      </w:tr>
      <w:tr w:rsidR="000A679E" w:rsidRPr="00D358EC" w:rsidTr="00811444">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Conduct more qualitative interviews</w:t>
            </w:r>
          </w:p>
        </w:tc>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Provide more sound data backed up by personal experiences</w:t>
            </w:r>
          </w:p>
        </w:tc>
      </w:tr>
      <w:tr w:rsidR="000A679E" w:rsidRPr="00D358EC" w:rsidTr="00811444">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Utilise a greater variety of research methods such as focus groups, observations and online questionnaires</w:t>
            </w:r>
          </w:p>
        </w:tc>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 xml:space="preserve">Provide more data sources for a wider opinion of both quantitative and qualitative data. </w:t>
            </w:r>
          </w:p>
        </w:tc>
      </w:tr>
      <w:tr w:rsidR="000A679E" w:rsidRPr="00D358EC" w:rsidTr="00811444">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Ask survey participants whether they stake over £50 spins / play the hi-roller spins (stakes between £10 and £50 for a higher percentage payout)</w:t>
            </w:r>
          </w:p>
        </w:tc>
        <w:tc>
          <w:tcPr>
            <w:tcW w:w="4621" w:type="dxa"/>
          </w:tcPr>
          <w:p w:rsidR="000A679E" w:rsidRPr="00D358EC" w:rsidRDefault="000A679E" w:rsidP="00811444">
            <w:pPr>
              <w:spacing w:line="276" w:lineRule="auto"/>
              <w:jc w:val="both"/>
              <w:rPr>
                <w:rFonts w:ascii="Arial" w:hAnsi="Arial" w:cs="Arial"/>
                <w:sz w:val="24"/>
                <w:szCs w:val="24"/>
              </w:rPr>
            </w:pPr>
            <w:r w:rsidRPr="00D358EC">
              <w:rPr>
                <w:rFonts w:ascii="Arial" w:hAnsi="Arial" w:cs="Arial"/>
                <w:sz w:val="24"/>
                <w:szCs w:val="24"/>
              </w:rPr>
              <w:t xml:space="preserve">More qualitative data that </w:t>
            </w:r>
            <w:proofErr w:type="gramStart"/>
            <w:r w:rsidRPr="00D358EC">
              <w:rPr>
                <w:rFonts w:ascii="Arial" w:hAnsi="Arial" w:cs="Arial"/>
                <w:sz w:val="24"/>
                <w:szCs w:val="24"/>
              </w:rPr>
              <w:t>be</w:t>
            </w:r>
            <w:proofErr w:type="gramEnd"/>
            <w:r w:rsidRPr="00D358EC">
              <w:rPr>
                <w:rFonts w:ascii="Arial" w:hAnsi="Arial" w:cs="Arial"/>
                <w:sz w:val="24"/>
                <w:szCs w:val="24"/>
              </w:rPr>
              <w:t xml:space="preserve"> applied to the data findings.</w:t>
            </w:r>
          </w:p>
        </w:tc>
      </w:tr>
    </w:tbl>
    <w:p w:rsidR="000A679E" w:rsidRPr="00D358EC" w:rsidRDefault="000A679E" w:rsidP="000A679E">
      <w:pPr>
        <w:jc w:val="both"/>
        <w:rPr>
          <w:rFonts w:ascii="Arial" w:hAnsi="Arial" w:cs="Arial"/>
          <w:lang w:val="en-US" w:bidi="en-US"/>
        </w:rPr>
      </w:pPr>
    </w:p>
    <w:p w:rsidR="000A679E" w:rsidRPr="00D358EC" w:rsidRDefault="000A679E" w:rsidP="000A679E">
      <w:pPr>
        <w:pStyle w:val="Heading2"/>
        <w:rPr>
          <w:rFonts w:ascii="Arial" w:hAnsi="Arial" w:cs="Arial"/>
          <w:sz w:val="24"/>
          <w:szCs w:val="24"/>
          <w:lang w:val="en-US" w:bidi="en-US"/>
        </w:rPr>
      </w:pPr>
      <w:bookmarkStart w:id="103" w:name="_Toc513881267"/>
      <w:r w:rsidRPr="00D358EC">
        <w:rPr>
          <w:rFonts w:ascii="Arial" w:hAnsi="Arial" w:cs="Arial"/>
          <w:sz w:val="24"/>
          <w:szCs w:val="24"/>
          <w:lang w:val="en-US" w:bidi="en-US"/>
        </w:rPr>
        <w:t>5.2 Recommendations</w:t>
      </w:r>
      <w:bookmarkEnd w:id="103"/>
    </w:p>
    <w:p w:rsidR="000A679E" w:rsidRPr="00D358EC" w:rsidRDefault="000A679E" w:rsidP="000A679E">
      <w:pPr>
        <w:jc w:val="both"/>
        <w:rPr>
          <w:rFonts w:ascii="Arial" w:hAnsi="Arial" w:cs="Arial"/>
          <w:sz w:val="24"/>
          <w:szCs w:val="24"/>
          <w:lang w:val="en-US" w:bidi="en-US"/>
        </w:rPr>
      </w:pP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More empirical studies are needed to understand the motivation behind young people and FOBT gambling and the direct causality it has on problem gambling.</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 xml:space="preserve">Greater monitoring by bookmakers of those deemed at risk gamblers. This would include more communication between organisations and the sharing of resources. This has recently been deployed in the form of </w:t>
      </w:r>
      <w:proofErr w:type="gramStart"/>
      <w:r w:rsidRPr="00D358EC">
        <w:rPr>
          <w:rFonts w:ascii="Arial" w:hAnsi="Arial" w:cs="Arial"/>
          <w:sz w:val="24"/>
          <w:szCs w:val="24"/>
          <w:lang w:val="en-US" w:bidi="en-US"/>
        </w:rPr>
        <w:t>Gamcare,</w:t>
      </w:r>
      <w:proofErr w:type="gramEnd"/>
      <w:r w:rsidRPr="00D358EC">
        <w:rPr>
          <w:rFonts w:ascii="Arial" w:hAnsi="Arial" w:cs="Arial"/>
          <w:sz w:val="24"/>
          <w:szCs w:val="24"/>
          <w:lang w:val="en-US" w:bidi="en-US"/>
        </w:rPr>
        <w:t xml:space="preserve"> an extension of the existing NHS gambling helpline, however there is nothing giving gamblers the immediate assistance they require. </w:t>
      </w:r>
    </w:p>
    <w:p w:rsidR="000A679E" w:rsidRPr="00D358EC" w:rsidRDefault="000A679E" w:rsidP="000A679E">
      <w:pPr>
        <w:jc w:val="both"/>
        <w:rPr>
          <w:rFonts w:ascii="Arial" w:hAnsi="Arial" w:cs="Arial"/>
          <w:sz w:val="24"/>
          <w:szCs w:val="24"/>
          <w:lang w:val="en-US" w:bidi="en-US"/>
        </w:rPr>
      </w:pPr>
      <w:r w:rsidRPr="00D358EC">
        <w:rPr>
          <w:rFonts w:ascii="Arial" w:hAnsi="Arial" w:cs="Arial"/>
          <w:sz w:val="24"/>
          <w:szCs w:val="24"/>
          <w:lang w:val="en-US" w:bidi="en-US"/>
        </w:rPr>
        <w:t>Mandatory in store membership for customers whom wish to bet more than the final proposed government maximum stake (as identified in a respondent interview, membership only for higher stakes on FOBT’s would mean greater customer protection).</w:t>
      </w:r>
    </w:p>
    <w:p w:rsidR="000A679E" w:rsidRPr="00D358EC" w:rsidRDefault="000A679E" w:rsidP="000A679E">
      <w:pPr>
        <w:jc w:val="both"/>
        <w:rPr>
          <w:rFonts w:ascii="Arial" w:hAnsi="Arial" w:cs="Arial"/>
          <w:lang w:val="en-US" w:bidi="en-US"/>
        </w:rPr>
      </w:pPr>
    </w:p>
    <w:p w:rsidR="000A679E" w:rsidRPr="00D358EC" w:rsidRDefault="000A679E" w:rsidP="000A679E">
      <w:pPr>
        <w:pStyle w:val="Heading2"/>
        <w:rPr>
          <w:rFonts w:ascii="Arial" w:hAnsi="Arial" w:cs="Arial"/>
          <w:sz w:val="24"/>
          <w:szCs w:val="24"/>
          <w:lang w:val="en-US" w:bidi="en-US"/>
        </w:rPr>
      </w:pPr>
      <w:bookmarkStart w:id="104" w:name="_Toc513881268"/>
      <w:r w:rsidRPr="00D358EC">
        <w:rPr>
          <w:rFonts w:ascii="Arial" w:hAnsi="Arial" w:cs="Arial"/>
          <w:sz w:val="24"/>
          <w:szCs w:val="24"/>
          <w:lang w:val="en-US" w:bidi="en-US"/>
        </w:rPr>
        <w:t>5.3 Final Comment</w:t>
      </w:r>
      <w:bookmarkEnd w:id="104"/>
    </w:p>
    <w:p w:rsidR="000A679E" w:rsidRPr="00D358EC" w:rsidRDefault="000A679E" w:rsidP="000A679E">
      <w:pPr>
        <w:jc w:val="both"/>
        <w:rPr>
          <w:rFonts w:ascii="Arial" w:hAnsi="Arial" w:cs="Arial"/>
          <w:lang w:val="en-US" w:bidi="en-US"/>
        </w:rPr>
      </w:pPr>
    </w:p>
    <w:p w:rsidR="000A679E" w:rsidRDefault="000A679E" w:rsidP="000A679E">
      <w:pPr>
        <w:jc w:val="both"/>
        <w:rPr>
          <w:rFonts w:ascii="Arial" w:hAnsi="Arial" w:cs="Arial"/>
          <w:sz w:val="24"/>
          <w:szCs w:val="24"/>
        </w:rPr>
      </w:pPr>
      <w:r w:rsidRPr="00D358EC">
        <w:rPr>
          <w:rFonts w:ascii="Arial" w:hAnsi="Arial" w:cs="Arial"/>
          <w:sz w:val="24"/>
          <w:szCs w:val="24"/>
          <w:lang w:val="en-US" w:bidi="en-US"/>
        </w:rPr>
        <w:t xml:space="preserve">In its current format it is one of the most expensive forms of escapism and one that will only be more costly to the state in years to come once the true costs of problem gambling have been accounted for. Whilst reducing the maximum allowed stake is viable one option to reduce the harm caused by larger losses on the terminals, there exists the underlying harm in the amount of young people playing these machines, who predominately don’t gamble high stakes every spin (over £50) but do represent a worrying trend in problem gambling. More should be done by bookmakers to assist in this issue. Bookmakers are not fully utilising corporate social responsibility towards all levels of stakeholders, including their clientele and as a result will continue to </w:t>
      </w:r>
      <w:r w:rsidRPr="00D358EC">
        <w:rPr>
          <w:rFonts w:ascii="Arial" w:hAnsi="Arial" w:cs="Arial"/>
          <w:sz w:val="24"/>
          <w:szCs w:val="24"/>
          <w:lang w:val="en-US" w:bidi="en-US"/>
        </w:rPr>
        <w:lastRenderedPageBreak/>
        <w:t xml:space="preserve">have a stigma attached.  </w:t>
      </w:r>
      <w:r>
        <w:rPr>
          <w:rFonts w:ascii="Arial" w:hAnsi="Arial" w:cs="Arial"/>
          <w:sz w:val="24"/>
          <w:szCs w:val="24"/>
        </w:rPr>
        <w:t xml:space="preserve">However, there is very little public spending with regards to research into problem gambling and as subsequence very limited information exists on the matter and needs to be explored further. </w:t>
      </w:r>
    </w:p>
    <w:p w:rsidR="000A679E" w:rsidRPr="005E0E23" w:rsidRDefault="000A679E" w:rsidP="000A679E">
      <w:pPr>
        <w:pStyle w:val="Heading1"/>
        <w:rPr>
          <w:rFonts w:ascii="Arial" w:hAnsi="Arial" w:cs="Arial"/>
        </w:rPr>
      </w:pPr>
      <w:r>
        <w:rPr>
          <w:rFonts w:ascii="Arial" w:hAnsi="Arial" w:cs="Arial"/>
        </w:rPr>
        <w:t>References</w:t>
      </w:r>
    </w:p>
    <w:sdt>
      <w:sdtPr>
        <w:id w:val="111145805"/>
        <w:bibliography/>
      </w:sdtPr>
      <w:sdtContent>
        <w:p w:rsidR="000A679E" w:rsidRDefault="000A679E" w:rsidP="000A679E">
          <w:pPr>
            <w:pStyle w:val="Bibliography"/>
            <w:rPr>
              <w:noProof/>
              <w:lang w:val="en-US"/>
            </w:rPr>
          </w:pPr>
          <w:r>
            <w:fldChar w:fldCharType="begin"/>
          </w:r>
          <w:r>
            <w:instrText xml:space="preserve"> BIBLIOGRAPHY </w:instrText>
          </w:r>
          <w:r>
            <w:fldChar w:fldCharType="separate"/>
          </w:r>
          <w:r>
            <w:rPr>
              <w:noProof/>
              <w:lang w:val="en-US"/>
            </w:rPr>
            <w:t xml:space="preserve">ABB. (2017, 02 09). </w:t>
          </w:r>
          <w:r>
            <w:rPr>
              <w:i/>
              <w:iCs/>
              <w:noProof/>
              <w:lang w:val="en-US"/>
            </w:rPr>
            <w:t>new-evidence-from-the-gambling-commission-reveals-that-gamblers-risk-losing-more-money-and-are-playing-for-longer-on-gaming-machines-in-arcades-than-on-fobts</w:t>
          </w:r>
          <w:r>
            <w:rPr>
              <w:noProof/>
              <w:lang w:val="en-US"/>
            </w:rPr>
            <w:t>. Retrieved 03 03, 2017, from abb: https://www.abb.uk.com/new-evidence-from-the-gambling-commission-reveals-that-gamblers-risk-losing-more-money-and-are-playing-for-longer-on-gaming-machines-in-arcades-than-on-fobts/</w:t>
          </w:r>
        </w:p>
        <w:p w:rsidR="000A679E" w:rsidRDefault="000A679E" w:rsidP="000A679E">
          <w:pPr>
            <w:pStyle w:val="Bibliography"/>
            <w:rPr>
              <w:noProof/>
              <w:lang w:val="en-US"/>
            </w:rPr>
          </w:pPr>
          <w:r>
            <w:rPr>
              <w:noProof/>
              <w:lang w:val="en-US"/>
            </w:rPr>
            <w:t xml:space="preserve">Adams, P. (2016). </w:t>
          </w:r>
          <w:r>
            <w:rPr>
              <w:i/>
              <w:iCs/>
              <w:noProof/>
              <w:lang w:val="en-US"/>
            </w:rPr>
            <w:t>Moral Jeopardy: Risks of Accepting Money from the Alcohol, Tobacco and Gambling.</w:t>
          </w:r>
          <w:r>
            <w:rPr>
              <w:noProof/>
              <w:lang w:val="en-US"/>
            </w:rPr>
            <w:t xml:space="preserve"> Cambridge: Cambridge University Press.</w:t>
          </w:r>
        </w:p>
        <w:p w:rsidR="000A679E" w:rsidRDefault="000A679E" w:rsidP="000A679E">
          <w:pPr>
            <w:pStyle w:val="Bibliography"/>
            <w:rPr>
              <w:noProof/>
              <w:lang w:val="en-US"/>
            </w:rPr>
          </w:pPr>
          <w:r>
            <w:rPr>
              <w:noProof/>
              <w:lang w:val="en-US"/>
            </w:rPr>
            <w:t xml:space="preserve">Ahmed, M. (2017). </w:t>
          </w:r>
          <w:r>
            <w:rPr>
              <w:i/>
              <w:iCs/>
              <w:noProof/>
              <w:lang w:val="en-US"/>
            </w:rPr>
            <w:t>Ladbrokes: ‘encouraging’ 2017 start as online gambling offsets high street declines.</w:t>
          </w:r>
          <w:r>
            <w:rPr>
              <w:noProof/>
              <w:lang w:val="en-US"/>
            </w:rPr>
            <w:t xml:space="preserve"> London: FT.</w:t>
          </w:r>
        </w:p>
        <w:p w:rsidR="000A679E" w:rsidRDefault="000A679E" w:rsidP="000A679E">
          <w:pPr>
            <w:pStyle w:val="Bibliography"/>
            <w:rPr>
              <w:noProof/>
              <w:lang w:val="en-US"/>
            </w:rPr>
          </w:pPr>
          <w:r>
            <w:rPr>
              <w:noProof/>
              <w:lang w:val="en-US"/>
            </w:rPr>
            <w:t xml:space="preserve">Anon. (2018, 01 14). </w:t>
          </w:r>
          <w:r>
            <w:rPr>
              <w:i/>
              <w:iCs/>
              <w:noProof/>
              <w:lang w:val="en-US"/>
            </w:rPr>
            <w:t>the-structure-of-the-greyhound-racing-industry/the-money-makers</w:t>
          </w:r>
          <w:r>
            <w:rPr>
              <w:noProof/>
              <w:lang w:val="en-US"/>
            </w:rPr>
            <w:t>. Retrieved 03 01, 18, from greytexploitations: http://greytexploitations.com/the-structure-of-the-greyhound-racing-industry/the-money-makers/</w:t>
          </w:r>
        </w:p>
        <w:p w:rsidR="000A679E" w:rsidRDefault="000A679E" w:rsidP="000A679E">
          <w:pPr>
            <w:pStyle w:val="Bibliography"/>
            <w:rPr>
              <w:noProof/>
              <w:lang w:val="en-US"/>
            </w:rPr>
          </w:pPr>
          <w:r>
            <w:rPr>
              <w:noProof/>
              <w:lang w:val="en-US"/>
            </w:rPr>
            <w:t xml:space="preserve">Astara, O. H., Mitoula, R., &amp; Eleni, T. (2017). Corporate Social Responsibility: A marketing tool and/or a factor for the promotion of sustainable development for companies? </w:t>
          </w:r>
          <w:r>
            <w:rPr>
              <w:i/>
              <w:iCs/>
              <w:noProof/>
              <w:lang w:val="en-US"/>
            </w:rPr>
            <w:t>International Journal for Strategic Management</w:t>
          </w:r>
          <w:r>
            <w:rPr>
              <w:noProof/>
              <w:lang w:val="en-US"/>
            </w:rPr>
            <w:t xml:space="preserve"> , 17.</w:t>
          </w:r>
        </w:p>
        <w:p w:rsidR="000A679E" w:rsidRDefault="000A679E" w:rsidP="000A679E">
          <w:pPr>
            <w:pStyle w:val="Bibliography"/>
            <w:rPr>
              <w:noProof/>
              <w:lang w:val="en-US"/>
            </w:rPr>
          </w:pPr>
          <w:r>
            <w:rPr>
              <w:noProof/>
              <w:lang w:val="en-US"/>
            </w:rPr>
            <w:t xml:space="preserve">Babbie, E. (2007). </w:t>
          </w:r>
          <w:r>
            <w:rPr>
              <w:i/>
              <w:iCs/>
              <w:noProof/>
              <w:lang w:val="en-US"/>
            </w:rPr>
            <w:t>The Basics of Social Research.</w:t>
          </w:r>
          <w:r>
            <w:rPr>
              <w:noProof/>
              <w:lang w:val="en-US"/>
            </w:rPr>
            <w:t xml:space="preserve"> London: Ceneage Learning.</w:t>
          </w:r>
        </w:p>
        <w:p w:rsidR="000A679E" w:rsidRDefault="000A679E" w:rsidP="000A679E">
          <w:pPr>
            <w:pStyle w:val="Bibliography"/>
            <w:rPr>
              <w:noProof/>
              <w:lang w:val="en-US"/>
            </w:rPr>
          </w:pPr>
          <w:r>
            <w:rPr>
              <w:noProof/>
              <w:lang w:val="en-US"/>
            </w:rPr>
            <w:t xml:space="preserve">Banks, J. (2017). </w:t>
          </w:r>
          <w:r>
            <w:rPr>
              <w:i/>
              <w:iCs/>
              <w:noProof/>
              <w:lang w:val="en-US"/>
            </w:rPr>
            <w:t>Gambling, Crime and Society.</w:t>
          </w:r>
          <w:r>
            <w:rPr>
              <w:noProof/>
              <w:lang w:val="en-US"/>
            </w:rPr>
            <w:t xml:space="preserve"> Berlin: Springer.</w:t>
          </w:r>
        </w:p>
        <w:p w:rsidR="000A679E" w:rsidRDefault="000A679E" w:rsidP="000A679E">
          <w:pPr>
            <w:pStyle w:val="Bibliography"/>
            <w:rPr>
              <w:noProof/>
              <w:lang w:val="en-US"/>
            </w:rPr>
          </w:pPr>
          <w:r>
            <w:rPr>
              <w:noProof/>
              <w:lang w:val="en-US"/>
            </w:rPr>
            <w:t xml:space="preserve">BBC. (2001). </w:t>
          </w:r>
          <w:r>
            <w:rPr>
              <w:i/>
              <w:iCs/>
              <w:noProof/>
              <w:lang w:val="en-US"/>
            </w:rPr>
            <w:t>High Stakes: Problem gambling</w:t>
          </w:r>
          <w:r>
            <w:rPr>
              <w:noProof/>
              <w:lang w:val="en-US"/>
            </w:rPr>
            <w:t>. Retrieved 11 15, 2017, from http://news.bbc.co.uk/1/hi/audiovideo/programmes/high_stakes/1138226.stm</w:t>
          </w:r>
        </w:p>
        <w:p w:rsidR="000A679E" w:rsidRDefault="000A679E" w:rsidP="000A679E">
          <w:pPr>
            <w:pStyle w:val="Bibliography"/>
            <w:rPr>
              <w:noProof/>
              <w:lang w:val="en-US"/>
            </w:rPr>
          </w:pPr>
          <w:r>
            <w:rPr>
              <w:noProof/>
              <w:lang w:val="en-US"/>
            </w:rPr>
            <w:t xml:space="preserve">Bookmakers, A. o. (2017). </w:t>
          </w:r>
          <w:r>
            <w:rPr>
              <w:i/>
              <w:iCs/>
              <w:noProof/>
              <w:lang w:val="en-US"/>
            </w:rPr>
            <w:t>The Truth about Betting Shops and Gaming Machines.</w:t>
          </w:r>
          <w:r>
            <w:rPr>
              <w:noProof/>
              <w:lang w:val="en-US"/>
            </w:rPr>
            <w:t xml:space="preserve"> London: ABB.</w:t>
          </w:r>
        </w:p>
        <w:p w:rsidR="000A679E" w:rsidRDefault="000A679E" w:rsidP="000A679E">
          <w:pPr>
            <w:pStyle w:val="Bibliography"/>
            <w:rPr>
              <w:noProof/>
              <w:lang w:val="en-US"/>
            </w:rPr>
          </w:pPr>
          <w:r>
            <w:rPr>
              <w:noProof/>
              <w:lang w:val="en-US"/>
            </w:rPr>
            <w:t xml:space="preserve">Buchanan, D., &amp; Bryman, A. (2009). </w:t>
          </w:r>
          <w:r>
            <w:rPr>
              <w:i/>
              <w:iCs/>
              <w:noProof/>
              <w:lang w:val="en-US"/>
            </w:rPr>
            <w:t>The SAGE Handbook of Organizational Research Methods</w:t>
          </w:r>
          <w:r>
            <w:rPr>
              <w:noProof/>
              <w:lang w:val="en-US"/>
            </w:rPr>
            <w:t xml:space="preserve"> (1st ed.). London: Sage.</w:t>
          </w:r>
        </w:p>
        <w:p w:rsidR="000A679E" w:rsidRDefault="000A679E" w:rsidP="000A679E">
          <w:pPr>
            <w:pStyle w:val="Bibliography"/>
            <w:rPr>
              <w:noProof/>
              <w:lang w:val="en-US"/>
            </w:rPr>
          </w:pPr>
          <w:r>
            <w:rPr>
              <w:noProof/>
              <w:lang w:val="en-US"/>
            </w:rPr>
            <w:t xml:space="preserve">Cameron, S., &amp; Price, D. (2009). </w:t>
          </w:r>
          <w:r>
            <w:rPr>
              <w:i/>
              <w:iCs/>
              <w:noProof/>
              <w:lang w:val="en-US"/>
            </w:rPr>
            <w:t>Business Research methods</w:t>
          </w:r>
          <w:r>
            <w:rPr>
              <w:noProof/>
              <w:lang w:val="en-US"/>
            </w:rPr>
            <w:t xml:space="preserve"> (1st ed.). London: Chartered Institute of Personnel Development.</w:t>
          </w:r>
        </w:p>
        <w:p w:rsidR="000A679E" w:rsidRDefault="000A679E" w:rsidP="000A679E">
          <w:pPr>
            <w:pStyle w:val="Bibliography"/>
            <w:rPr>
              <w:noProof/>
              <w:lang w:val="en-US"/>
            </w:rPr>
          </w:pPr>
          <w:r>
            <w:rPr>
              <w:noProof/>
              <w:lang w:val="en-US"/>
            </w:rPr>
            <w:t xml:space="preserve">Campbell, A. (1999). Corporate Social Responsibility. </w:t>
          </w:r>
          <w:r>
            <w:rPr>
              <w:i/>
              <w:iCs/>
              <w:noProof/>
              <w:lang w:val="en-US"/>
            </w:rPr>
            <w:t>Business and Society</w:t>
          </w:r>
          <w:r>
            <w:rPr>
              <w:noProof/>
              <w:lang w:val="en-US"/>
            </w:rPr>
            <w:t xml:space="preserve"> , 272.</w:t>
          </w:r>
        </w:p>
        <w:p w:rsidR="000A679E" w:rsidRDefault="000A679E" w:rsidP="000A679E">
          <w:pPr>
            <w:pStyle w:val="Bibliography"/>
            <w:rPr>
              <w:noProof/>
              <w:lang w:val="en-US"/>
            </w:rPr>
          </w:pPr>
          <w:r>
            <w:rPr>
              <w:noProof/>
              <w:lang w:val="en-US"/>
            </w:rPr>
            <w:t xml:space="preserve">Campbell, J. (2013). Why Would Corporations Behave in Socially Responsible Ways? </w:t>
          </w:r>
          <w:r>
            <w:rPr>
              <w:i/>
              <w:iCs/>
              <w:noProof/>
              <w:lang w:val="en-US"/>
            </w:rPr>
            <w:t>The Academy of Management Review</w:t>
          </w:r>
          <w:r>
            <w:rPr>
              <w:noProof/>
              <w:lang w:val="en-US"/>
            </w:rPr>
            <w:t xml:space="preserve"> </w:t>
          </w:r>
          <w:r>
            <w:rPr>
              <w:i/>
              <w:iCs/>
              <w:noProof/>
              <w:lang w:val="en-US"/>
            </w:rPr>
            <w:t>, 32</w:t>
          </w:r>
          <w:r>
            <w:rPr>
              <w:noProof/>
              <w:lang w:val="en-US"/>
            </w:rPr>
            <w:t xml:space="preserve"> (3), 946-967.</w:t>
          </w:r>
        </w:p>
        <w:p w:rsidR="000A679E" w:rsidRDefault="000A679E" w:rsidP="000A679E">
          <w:pPr>
            <w:pStyle w:val="Bibliography"/>
            <w:rPr>
              <w:noProof/>
              <w:lang w:val="en-US"/>
            </w:rPr>
          </w:pPr>
          <w:r>
            <w:rPr>
              <w:noProof/>
              <w:lang w:val="en-US"/>
            </w:rPr>
            <w:t xml:space="preserve">Carroll, A. (1991). The pyramid of corporate social responsibility: Toward the moral management of organizational stakeholders. </w:t>
          </w:r>
          <w:r>
            <w:rPr>
              <w:i/>
              <w:iCs/>
              <w:noProof/>
              <w:lang w:val="en-US"/>
            </w:rPr>
            <w:t>Business horizons</w:t>
          </w:r>
          <w:r>
            <w:rPr>
              <w:noProof/>
              <w:lang w:val="en-US"/>
            </w:rPr>
            <w:t xml:space="preserve"> , 39-48.</w:t>
          </w:r>
        </w:p>
        <w:p w:rsidR="000A679E" w:rsidRDefault="000A679E" w:rsidP="000A679E">
          <w:pPr>
            <w:pStyle w:val="Bibliography"/>
            <w:rPr>
              <w:noProof/>
              <w:lang w:val="en-US"/>
            </w:rPr>
          </w:pPr>
          <w:r>
            <w:rPr>
              <w:noProof/>
              <w:lang w:val="en-US"/>
            </w:rPr>
            <w:lastRenderedPageBreak/>
            <w:t xml:space="preserve">Coral, G. (2018, 01 01). </w:t>
          </w:r>
          <w:r>
            <w:rPr>
              <w:i/>
              <w:iCs/>
              <w:noProof/>
              <w:lang w:val="en-US"/>
            </w:rPr>
            <w:t>corporate-social-responsibility</w:t>
          </w:r>
          <w:r>
            <w:rPr>
              <w:noProof/>
              <w:lang w:val="en-US"/>
            </w:rPr>
            <w:t>. Retrieved 02 06, 2018, from galacoralinteractive: http://www.galacoralinteractive.com/corporate-social-responsibility/</w:t>
          </w:r>
        </w:p>
        <w:p w:rsidR="000A679E" w:rsidRDefault="000A679E" w:rsidP="000A679E">
          <w:pPr>
            <w:pStyle w:val="Bibliography"/>
            <w:rPr>
              <w:noProof/>
              <w:lang w:val="en-US"/>
            </w:rPr>
          </w:pPr>
          <w:r>
            <w:rPr>
              <w:noProof/>
              <w:lang w:val="en-US"/>
            </w:rPr>
            <w:t xml:space="preserve">Crane, A., Matten, D., &amp; Spence, L. J. (2008). </w:t>
          </w:r>
          <w:r>
            <w:rPr>
              <w:i/>
              <w:iCs/>
              <w:noProof/>
              <w:lang w:val="en-US"/>
            </w:rPr>
            <w:t>Corporate Social Responsibility.</w:t>
          </w:r>
          <w:r>
            <w:rPr>
              <w:noProof/>
              <w:lang w:val="en-US"/>
            </w:rPr>
            <w:t xml:space="preserve"> New York: Routledge.</w:t>
          </w:r>
        </w:p>
        <w:p w:rsidR="000A679E" w:rsidRDefault="000A679E" w:rsidP="000A679E">
          <w:pPr>
            <w:pStyle w:val="Bibliography"/>
            <w:rPr>
              <w:noProof/>
              <w:lang w:val="en-US"/>
            </w:rPr>
          </w:pPr>
          <w:r>
            <w:rPr>
              <w:noProof/>
              <w:lang w:val="en-US"/>
            </w:rPr>
            <w:t xml:space="preserve">Cullen, P. (2008). </w:t>
          </w:r>
          <w:r>
            <w:rPr>
              <w:i/>
              <w:iCs/>
              <w:noProof/>
              <w:lang w:val="en-US"/>
            </w:rPr>
            <w:t>Gambling committee chief opposes betting machines</w:t>
          </w:r>
          <w:r>
            <w:rPr>
              <w:noProof/>
              <w:lang w:val="en-US"/>
            </w:rPr>
            <w:t>. Retrieved November 03, 2017, from https://www.irishtimes.com/news/gambling-committee-chief-opposes-betting-machines-1.898604</w:t>
          </w:r>
        </w:p>
        <w:p w:rsidR="000A679E" w:rsidRDefault="000A679E" w:rsidP="000A679E">
          <w:pPr>
            <w:pStyle w:val="Bibliography"/>
            <w:rPr>
              <w:noProof/>
              <w:lang w:val="en-US"/>
            </w:rPr>
          </w:pPr>
          <w:r>
            <w:rPr>
              <w:noProof/>
              <w:lang w:val="en-US"/>
            </w:rPr>
            <w:t xml:space="preserve">David, M. (2004). </w:t>
          </w:r>
          <w:r>
            <w:rPr>
              <w:i/>
              <w:iCs/>
              <w:noProof/>
              <w:lang w:val="en-US"/>
            </w:rPr>
            <w:t>Research Methods for Political Science.</w:t>
          </w:r>
          <w:r>
            <w:rPr>
              <w:noProof/>
              <w:lang w:val="en-US"/>
            </w:rPr>
            <w:t xml:space="preserve"> Charleston: Sharpe.</w:t>
          </w:r>
        </w:p>
        <w:p w:rsidR="000A679E" w:rsidRDefault="000A679E" w:rsidP="000A679E">
          <w:pPr>
            <w:pStyle w:val="Bibliography"/>
            <w:rPr>
              <w:noProof/>
              <w:lang w:val="en-US"/>
            </w:rPr>
          </w:pPr>
          <w:r>
            <w:rPr>
              <w:noProof/>
              <w:lang w:val="en-US"/>
            </w:rPr>
            <w:t xml:space="preserve">Davies, R. (2017, 08 31). </w:t>
          </w:r>
          <w:r>
            <w:rPr>
              <w:i/>
              <w:iCs/>
              <w:noProof/>
              <w:lang w:val="en-US"/>
            </w:rPr>
            <w:t>gambling-firm-888-fined-online-bookmaker-problem-gamblers</w:t>
          </w:r>
          <w:r>
            <w:rPr>
              <w:noProof/>
              <w:lang w:val="en-US"/>
            </w:rPr>
            <w:t>. Retrieved from The Guardian: https://www.theguardian.com/society/2017/aug/31/gambling-firm-888-fined-online-bookmaker-problem-gamblers</w:t>
          </w:r>
        </w:p>
        <w:p w:rsidR="000A679E" w:rsidRDefault="000A679E" w:rsidP="000A679E">
          <w:pPr>
            <w:pStyle w:val="Bibliography"/>
            <w:rPr>
              <w:noProof/>
              <w:lang w:val="en-US"/>
            </w:rPr>
          </w:pPr>
          <w:r>
            <w:rPr>
              <w:noProof/>
              <w:lang w:val="en-US"/>
            </w:rPr>
            <w:t xml:space="preserve">Davies, R. (2017, 05 25). </w:t>
          </w:r>
          <w:r>
            <w:rPr>
              <w:i/>
              <w:iCs/>
              <w:noProof/>
              <w:lang w:val="en-US"/>
            </w:rPr>
            <w:t>uk-gamblers-fobt-dcms-losses.</w:t>
          </w:r>
          <w:r>
            <w:rPr>
              <w:noProof/>
              <w:lang w:val="en-US"/>
            </w:rPr>
            <w:t xml:space="preserve"> Retrieved 02 27, 18, from theguardian: https://www.theguardian.com/society/2017/may/25/uk-gamblers-fobt-dcms-losses</w:t>
          </w:r>
        </w:p>
        <w:p w:rsidR="000A679E" w:rsidRDefault="000A679E" w:rsidP="000A679E">
          <w:pPr>
            <w:pStyle w:val="Bibliography"/>
            <w:rPr>
              <w:noProof/>
              <w:lang w:val="en-US"/>
            </w:rPr>
          </w:pPr>
          <w:r>
            <w:rPr>
              <w:noProof/>
              <w:lang w:val="en-US"/>
            </w:rPr>
            <w:t xml:space="preserve">Donnalyn, P. (2017). </w:t>
          </w:r>
          <w:r>
            <w:rPr>
              <w:i/>
              <w:iCs/>
              <w:noProof/>
              <w:lang w:val="en-US"/>
            </w:rPr>
            <w:t>Corporate Social Responsibility, Sustainability, and Ethical Public Relations.</w:t>
          </w:r>
          <w:r>
            <w:rPr>
              <w:noProof/>
              <w:lang w:val="en-US"/>
            </w:rPr>
            <w:t xml:space="preserve"> New York: Emerald Group Publishing.</w:t>
          </w:r>
        </w:p>
        <w:p w:rsidR="000A679E" w:rsidRDefault="000A679E" w:rsidP="000A679E">
          <w:pPr>
            <w:pStyle w:val="Bibliography"/>
            <w:rPr>
              <w:noProof/>
              <w:lang w:val="en-US"/>
            </w:rPr>
          </w:pPr>
          <w:r>
            <w:rPr>
              <w:noProof/>
              <w:lang w:val="en-US"/>
            </w:rPr>
            <w:t xml:space="preserve">Donoughue, S. (2011, 05 06). </w:t>
          </w:r>
          <w:r>
            <w:rPr>
              <w:i/>
              <w:iCs/>
              <w:noProof/>
              <w:lang w:val="en-US"/>
            </w:rPr>
            <w:t>the-normalisation-of-gambling-in-the-uk.</w:t>
          </w:r>
          <w:r>
            <w:rPr>
              <w:noProof/>
              <w:lang w:val="en-US"/>
            </w:rPr>
            <w:t xml:space="preserve"> Retrieved 02 14, 2018, from thersa: https://www.thersa.org/discover/publications-and-articles/rsa-comment/2011/05/the-normalisation-of-gambling-in-the-uk</w:t>
          </w:r>
        </w:p>
        <w:p w:rsidR="000A679E" w:rsidRDefault="000A679E" w:rsidP="000A679E">
          <w:pPr>
            <w:pStyle w:val="Bibliography"/>
            <w:rPr>
              <w:noProof/>
              <w:lang w:val="en-US"/>
            </w:rPr>
          </w:pPr>
          <w:r>
            <w:rPr>
              <w:noProof/>
              <w:lang w:val="en-US"/>
            </w:rPr>
            <w:t xml:space="preserve">Drewett, Z. (2017, October 31). </w:t>
          </w:r>
          <w:r>
            <w:rPr>
              <w:i/>
              <w:iCs/>
              <w:noProof/>
              <w:lang w:val="en-US"/>
            </w:rPr>
            <w:t>maximum-stake-on-crack-cocaine-fixed-odds-betting-machines-slashed-704081</w:t>
          </w:r>
          <w:r>
            <w:rPr>
              <w:noProof/>
              <w:lang w:val="en-US"/>
            </w:rPr>
            <w:t>. Retrieved November 2017, 10, from metro: http://metro.co.uk/2017/10/31/maximum-stake-on-crack-cocaine-fixed-odds-betting-machines-slashed-7040815/</w:t>
          </w:r>
        </w:p>
        <w:p w:rsidR="000A679E" w:rsidRDefault="000A679E" w:rsidP="000A679E">
          <w:pPr>
            <w:pStyle w:val="Bibliography"/>
            <w:rPr>
              <w:noProof/>
              <w:lang w:val="en-US"/>
            </w:rPr>
          </w:pPr>
          <w:r>
            <w:rPr>
              <w:noProof/>
              <w:lang w:val="en-US"/>
            </w:rPr>
            <w:t xml:space="preserve">Fabricatore, C. (2014). </w:t>
          </w:r>
          <w:r>
            <w:rPr>
              <w:i/>
              <w:iCs/>
              <w:noProof/>
              <w:lang w:val="en-US"/>
            </w:rPr>
            <w:t>Gameplay and game mechanics design.</w:t>
          </w:r>
          <w:r>
            <w:rPr>
              <w:noProof/>
              <w:lang w:val="en-US"/>
            </w:rPr>
            <w:t xml:space="preserve"> London: OECD.</w:t>
          </w:r>
        </w:p>
        <w:p w:rsidR="000A679E" w:rsidRDefault="000A679E" w:rsidP="000A679E">
          <w:pPr>
            <w:pStyle w:val="Bibliography"/>
            <w:rPr>
              <w:noProof/>
              <w:lang w:val="en-US"/>
            </w:rPr>
          </w:pPr>
          <w:r>
            <w:rPr>
              <w:noProof/>
              <w:lang w:val="en-US"/>
            </w:rPr>
            <w:t xml:space="preserve">Freeman, E. (1984). Stakeholder Theory. </w:t>
          </w:r>
          <w:r>
            <w:rPr>
              <w:i/>
              <w:iCs/>
              <w:noProof/>
              <w:lang w:val="en-US"/>
            </w:rPr>
            <w:t>Academy of Management</w:t>
          </w:r>
          <w:r>
            <w:rPr>
              <w:noProof/>
              <w:lang w:val="en-US"/>
            </w:rPr>
            <w:t xml:space="preserve"> , 366-368.</w:t>
          </w:r>
        </w:p>
        <w:p w:rsidR="000A679E" w:rsidRDefault="000A679E" w:rsidP="000A679E">
          <w:pPr>
            <w:pStyle w:val="Bibliography"/>
            <w:rPr>
              <w:noProof/>
              <w:lang w:val="en-US"/>
            </w:rPr>
          </w:pPr>
          <w:r>
            <w:rPr>
              <w:noProof/>
              <w:lang w:val="en-US"/>
            </w:rPr>
            <w:t xml:space="preserve">Freeman, R. E. (1984). </w:t>
          </w:r>
          <w:r>
            <w:rPr>
              <w:i/>
              <w:iCs/>
              <w:noProof/>
              <w:lang w:val="en-US"/>
            </w:rPr>
            <w:t>Strategic Management: A Stakeholder Approach.</w:t>
          </w:r>
          <w:r>
            <w:rPr>
              <w:noProof/>
              <w:lang w:val="en-US"/>
            </w:rPr>
            <w:t xml:space="preserve"> London: Harlow.</w:t>
          </w:r>
        </w:p>
        <w:p w:rsidR="000A679E" w:rsidRDefault="000A679E" w:rsidP="000A679E">
          <w:pPr>
            <w:pStyle w:val="Bibliography"/>
            <w:rPr>
              <w:noProof/>
              <w:lang w:val="en-US"/>
            </w:rPr>
          </w:pPr>
          <w:r>
            <w:rPr>
              <w:noProof/>
              <w:lang w:val="en-US"/>
            </w:rPr>
            <w:t xml:space="preserve">Friedman, M. (1970). The Social Responsibility of Business is to Increase its Profits. </w:t>
          </w:r>
          <w:r>
            <w:rPr>
              <w:i/>
              <w:iCs/>
              <w:noProof/>
              <w:lang w:val="en-US"/>
            </w:rPr>
            <w:t>The New York Times Magazine</w:t>
          </w:r>
          <w:r>
            <w:rPr>
              <w:noProof/>
              <w:lang w:val="en-US"/>
            </w:rPr>
            <w:t xml:space="preserve"> , 57.</w:t>
          </w:r>
        </w:p>
        <w:p w:rsidR="000A679E" w:rsidRDefault="000A679E" w:rsidP="000A679E">
          <w:pPr>
            <w:pStyle w:val="Bibliography"/>
            <w:rPr>
              <w:noProof/>
              <w:lang w:val="en-US"/>
            </w:rPr>
          </w:pPr>
          <w:r>
            <w:rPr>
              <w:noProof/>
              <w:lang w:val="en-US"/>
            </w:rPr>
            <w:t xml:space="preserve">Gainsbury, S. (2016). The Public Stigma of Problem Gambling. </w:t>
          </w:r>
          <w:r>
            <w:rPr>
              <w:i/>
              <w:iCs/>
              <w:noProof/>
              <w:lang w:val="en-US"/>
            </w:rPr>
            <w:t>Journal of Gambling Studies</w:t>
          </w:r>
          <w:r>
            <w:rPr>
              <w:noProof/>
              <w:lang w:val="en-US"/>
            </w:rPr>
            <w:t xml:space="preserve"> </w:t>
          </w:r>
          <w:r>
            <w:rPr>
              <w:i/>
              <w:iCs/>
              <w:noProof/>
              <w:lang w:val="en-US"/>
            </w:rPr>
            <w:t>, 2</w:t>
          </w:r>
          <w:r>
            <w:rPr>
              <w:noProof/>
              <w:lang w:val="en-US"/>
            </w:rPr>
            <w:t xml:space="preserve"> (32), 847-864.</w:t>
          </w:r>
        </w:p>
        <w:p w:rsidR="000A679E" w:rsidRDefault="000A679E" w:rsidP="000A679E">
          <w:pPr>
            <w:pStyle w:val="Bibliography"/>
            <w:rPr>
              <w:noProof/>
              <w:lang w:val="en-US"/>
            </w:rPr>
          </w:pPr>
          <w:r>
            <w:rPr>
              <w:noProof/>
              <w:lang w:val="en-US"/>
            </w:rPr>
            <w:t xml:space="preserve">Galletta, A. (2013). </w:t>
          </w:r>
          <w:r>
            <w:rPr>
              <w:i/>
              <w:iCs/>
              <w:noProof/>
              <w:lang w:val="en-US"/>
            </w:rPr>
            <w:t>Mastering the Semi-Structured Interview and Beyond.</w:t>
          </w:r>
          <w:r>
            <w:rPr>
              <w:noProof/>
              <w:lang w:val="en-US"/>
            </w:rPr>
            <w:t xml:space="preserve"> New York: NYU Press.</w:t>
          </w:r>
        </w:p>
        <w:p w:rsidR="000A679E" w:rsidRDefault="000A679E" w:rsidP="000A679E">
          <w:pPr>
            <w:pStyle w:val="Bibliography"/>
            <w:rPr>
              <w:noProof/>
              <w:lang w:val="en-US"/>
            </w:rPr>
          </w:pPr>
          <w:r>
            <w:rPr>
              <w:noProof/>
              <w:lang w:val="en-US"/>
            </w:rPr>
            <w:t xml:space="preserve">Gambling Commission. (2018, 01 01). </w:t>
          </w:r>
          <w:r>
            <w:rPr>
              <w:i/>
              <w:iCs/>
              <w:noProof/>
              <w:lang w:val="en-US"/>
            </w:rPr>
            <w:t>B2 gaming machines</w:t>
          </w:r>
          <w:r>
            <w:rPr>
              <w:noProof/>
              <w:lang w:val="en-US"/>
            </w:rPr>
            <w:t>. Retrieved 04 11, 18, from Gambling Commission: http://www.gamblingcommission.gov.uk/for-gambling-businesses/Compliance/Sector-specific-compliance/Arcades-and-machines/Gaming-machine-categories/B2-gaming-machines</w:t>
          </w:r>
        </w:p>
        <w:p w:rsidR="000A679E" w:rsidRDefault="000A679E" w:rsidP="000A679E">
          <w:pPr>
            <w:pStyle w:val="Bibliography"/>
            <w:rPr>
              <w:noProof/>
              <w:lang w:val="en-US"/>
            </w:rPr>
          </w:pPr>
          <w:r>
            <w:rPr>
              <w:noProof/>
              <w:lang w:val="en-US"/>
            </w:rPr>
            <w:t xml:space="preserve">Gambling Commission. (2017). </w:t>
          </w:r>
          <w:r>
            <w:rPr>
              <w:i/>
              <w:iCs/>
              <w:noProof/>
              <w:lang w:val="en-US"/>
            </w:rPr>
            <w:t>Industry statistics.</w:t>
          </w:r>
          <w:r>
            <w:rPr>
              <w:noProof/>
              <w:lang w:val="en-US"/>
            </w:rPr>
            <w:t xml:space="preserve"> London: Uk Gambling Commission.</w:t>
          </w:r>
        </w:p>
        <w:p w:rsidR="000A679E" w:rsidRDefault="000A679E" w:rsidP="000A679E">
          <w:pPr>
            <w:pStyle w:val="Bibliography"/>
            <w:rPr>
              <w:noProof/>
              <w:lang w:val="en-US"/>
            </w:rPr>
          </w:pPr>
          <w:r>
            <w:rPr>
              <w:noProof/>
              <w:lang w:val="en-US"/>
            </w:rPr>
            <w:lastRenderedPageBreak/>
            <w:t xml:space="preserve">Gaming-Business. (2013, 11 12). </w:t>
          </w:r>
          <w:r>
            <w:rPr>
              <w:i/>
              <w:iCs/>
              <w:noProof/>
              <w:lang w:val="en-US"/>
            </w:rPr>
            <w:t>ladbrokes-refutes-fobts-and-unethical-business-claims</w:t>
          </w:r>
          <w:r>
            <w:rPr>
              <w:noProof/>
              <w:lang w:val="en-US"/>
            </w:rPr>
            <w:t>. Retrieved from igamingbusiness: http://www.igamingbusiness.com/news/ladbrokes-refutes-fobts-and-unethical-business-claims</w:t>
          </w:r>
        </w:p>
        <w:p w:rsidR="000A679E" w:rsidRDefault="000A679E" w:rsidP="000A679E">
          <w:pPr>
            <w:pStyle w:val="Bibliography"/>
            <w:rPr>
              <w:noProof/>
              <w:lang w:val="en-US"/>
            </w:rPr>
          </w:pPr>
          <w:r>
            <w:rPr>
              <w:noProof/>
              <w:lang w:val="en-US"/>
            </w:rPr>
            <w:t xml:space="preserve">Gerrard, B. (2018, 03 09). </w:t>
          </w:r>
          <w:r>
            <w:rPr>
              <w:i/>
              <w:iCs/>
              <w:noProof/>
              <w:lang w:val="en-US"/>
            </w:rPr>
            <w:t>gvc-warns-ladbrokes-closures-betting-machine-stakes-slashed</w:t>
          </w:r>
          <w:r>
            <w:rPr>
              <w:noProof/>
              <w:lang w:val="en-US"/>
            </w:rPr>
            <w:t>. Retrieved from telegraph: https://www.telegraph.co.uk/business/2018/03/09/gvc-warns-ladbrokes-closures-betting-machine-stakes-slashed/</w:t>
          </w:r>
        </w:p>
        <w:p w:rsidR="000A679E" w:rsidRDefault="000A679E" w:rsidP="000A679E">
          <w:pPr>
            <w:pStyle w:val="Bibliography"/>
            <w:rPr>
              <w:noProof/>
              <w:lang w:val="en-US"/>
            </w:rPr>
          </w:pPr>
          <w:r>
            <w:rPr>
              <w:noProof/>
              <w:lang w:val="en-US"/>
            </w:rPr>
            <w:t xml:space="preserve">Gerrard, B. (2017, 11 05). High stakes as Government targets problem gambling. </w:t>
          </w:r>
          <w:r>
            <w:rPr>
              <w:i/>
              <w:iCs/>
              <w:noProof/>
              <w:lang w:val="en-US"/>
            </w:rPr>
            <w:t>The Telegraph</w:t>
          </w:r>
          <w:r>
            <w:rPr>
              <w:noProof/>
              <w:lang w:val="en-US"/>
            </w:rPr>
            <w:t xml:space="preserve"> , p. 46.</w:t>
          </w:r>
        </w:p>
        <w:p w:rsidR="000A679E" w:rsidRDefault="000A679E" w:rsidP="000A679E">
          <w:pPr>
            <w:pStyle w:val="Bibliography"/>
            <w:rPr>
              <w:noProof/>
              <w:lang w:val="en-US"/>
            </w:rPr>
          </w:pPr>
          <w:r>
            <w:rPr>
              <w:noProof/>
              <w:lang w:val="en-US"/>
            </w:rPr>
            <w:t xml:space="preserve">Greenwood, P., &amp; Nikulin, M. (1996). </w:t>
          </w:r>
          <w:r>
            <w:rPr>
              <w:i/>
              <w:iCs/>
              <w:noProof/>
              <w:lang w:val="en-US"/>
            </w:rPr>
            <w:t>A guide to chi square testing.</w:t>
          </w:r>
          <w:r>
            <w:rPr>
              <w:noProof/>
              <w:lang w:val="en-US"/>
            </w:rPr>
            <w:t xml:space="preserve"> New York: John Wiley and Sons.</w:t>
          </w:r>
        </w:p>
        <w:p w:rsidR="000A679E" w:rsidRDefault="000A679E" w:rsidP="000A679E">
          <w:pPr>
            <w:pStyle w:val="Bibliography"/>
            <w:rPr>
              <w:noProof/>
              <w:lang w:val="en-US"/>
            </w:rPr>
          </w:pPr>
          <w:r>
            <w:rPr>
              <w:noProof/>
              <w:lang w:val="en-US"/>
            </w:rPr>
            <w:t xml:space="preserve">Griffiths, M. (2015). </w:t>
          </w:r>
          <w:r>
            <w:rPr>
              <w:i/>
              <w:iCs/>
              <w:noProof/>
              <w:lang w:val="en-US"/>
            </w:rPr>
            <w:t>Has problem gambling in Great Britain decreased?</w:t>
          </w:r>
          <w:r>
            <w:rPr>
              <w:noProof/>
              <w:lang w:val="en-US"/>
            </w:rPr>
            <w:t xml:space="preserve"> Nottingham: Word Press.</w:t>
          </w:r>
        </w:p>
        <w:p w:rsidR="000A679E" w:rsidRDefault="000A679E" w:rsidP="000A679E">
          <w:pPr>
            <w:pStyle w:val="Bibliography"/>
            <w:rPr>
              <w:noProof/>
              <w:lang w:val="en-US"/>
            </w:rPr>
          </w:pPr>
          <w:r>
            <w:rPr>
              <w:noProof/>
              <w:lang w:val="en-US"/>
            </w:rPr>
            <w:t xml:space="preserve">Griffiths, M. (2018). </w:t>
          </w:r>
          <w:r>
            <w:rPr>
              <w:i/>
              <w:iCs/>
              <w:noProof/>
              <w:lang w:val="en-US"/>
            </w:rPr>
            <w:t>Should virtual roulette machines be banned from high street bookmakers?</w:t>
          </w:r>
          <w:r>
            <w:rPr>
              <w:noProof/>
              <w:lang w:val="en-US"/>
            </w:rPr>
            <w:t xml:space="preserve"> Nottingham: Word Press.</w:t>
          </w:r>
        </w:p>
        <w:p w:rsidR="000A679E" w:rsidRDefault="000A679E" w:rsidP="000A679E">
          <w:pPr>
            <w:pStyle w:val="Bibliography"/>
            <w:rPr>
              <w:noProof/>
              <w:lang w:val="en-US"/>
            </w:rPr>
          </w:pPr>
          <w:r>
            <w:rPr>
              <w:noProof/>
              <w:lang w:val="en-US"/>
            </w:rPr>
            <w:t xml:space="preserve">Hannes, K., &amp; Lockwood, C. (2011). </w:t>
          </w:r>
          <w:r>
            <w:rPr>
              <w:i/>
              <w:iCs/>
              <w:noProof/>
              <w:lang w:val="en-US"/>
            </w:rPr>
            <w:t>Synthesizing Qualitative Research: Choosing the Right Approach</w:t>
          </w:r>
          <w:r>
            <w:rPr>
              <w:noProof/>
              <w:lang w:val="en-US"/>
            </w:rPr>
            <w:t xml:space="preserve"> (1st ed.). Chichester: John Wiley and Sons.</w:t>
          </w:r>
        </w:p>
        <w:p w:rsidR="000A679E" w:rsidRDefault="000A679E" w:rsidP="000A679E">
          <w:pPr>
            <w:pStyle w:val="Bibliography"/>
            <w:rPr>
              <w:noProof/>
              <w:lang w:val="en-US"/>
            </w:rPr>
          </w:pPr>
          <w:r>
            <w:rPr>
              <w:noProof/>
              <w:lang w:val="en-US"/>
            </w:rPr>
            <w:t xml:space="preserve">Harris, C. (2017). </w:t>
          </w:r>
          <w:r>
            <w:rPr>
              <w:i/>
              <w:iCs/>
              <w:noProof/>
              <w:lang w:val="en-US"/>
            </w:rPr>
            <w:t>MPs Launch Report into Fixed Odds Betting Terminals.</w:t>
          </w:r>
          <w:r>
            <w:rPr>
              <w:noProof/>
              <w:lang w:val="en-US"/>
            </w:rPr>
            <w:t xml:space="preserve"> Swansea: Labour Party.</w:t>
          </w:r>
        </w:p>
        <w:p w:rsidR="000A679E" w:rsidRDefault="000A679E" w:rsidP="000A679E">
          <w:pPr>
            <w:pStyle w:val="Bibliography"/>
            <w:rPr>
              <w:noProof/>
              <w:lang w:val="en-US"/>
            </w:rPr>
          </w:pPr>
          <w:r>
            <w:rPr>
              <w:noProof/>
              <w:lang w:val="en-US"/>
            </w:rPr>
            <w:t xml:space="preserve">Houghton, T. (2011). </w:t>
          </w:r>
          <w:r>
            <w:rPr>
              <w:i/>
              <w:iCs/>
              <w:noProof/>
              <w:lang w:val="en-US"/>
            </w:rPr>
            <w:t>Does positivism really ‘work’ in the social sciences?</w:t>
          </w:r>
          <w:r>
            <w:rPr>
              <w:noProof/>
              <w:lang w:val="en-US"/>
            </w:rPr>
            <w:t xml:space="preserve"> London: University College London.</w:t>
          </w:r>
        </w:p>
        <w:p w:rsidR="000A679E" w:rsidRDefault="000A679E" w:rsidP="000A679E">
          <w:pPr>
            <w:pStyle w:val="Bibliography"/>
            <w:rPr>
              <w:noProof/>
              <w:lang w:val="en-US"/>
            </w:rPr>
          </w:pPr>
          <w:r>
            <w:rPr>
              <w:noProof/>
              <w:lang w:val="en-US"/>
            </w:rPr>
            <w:t xml:space="preserve">Jawad, D. (2010). </w:t>
          </w:r>
          <w:r>
            <w:rPr>
              <w:i/>
              <w:iCs/>
              <w:noProof/>
              <w:lang w:val="en-US"/>
            </w:rPr>
            <w:t>Taming of the casino dragon.</w:t>
          </w:r>
          <w:r>
            <w:rPr>
              <w:noProof/>
              <w:lang w:val="en-US"/>
            </w:rPr>
            <w:t xml:space="preserve"> Swansea: UWTSD.</w:t>
          </w:r>
        </w:p>
        <w:p w:rsidR="000A679E" w:rsidRDefault="000A679E" w:rsidP="000A679E">
          <w:pPr>
            <w:pStyle w:val="Bibliography"/>
            <w:rPr>
              <w:noProof/>
              <w:lang w:val="en-US"/>
            </w:rPr>
          </w:pPr>
          <w:r>
            <w:rPr>
              <w:noProof/>
              <w:lang w:val="en-US"/>
            </w:rPr>
            <w:t xml:space="preserve">John, B., Holloway, K., Davies, N., May, T., Buhociu, M., &amp; Roderique-Davies, G. (2017). </w:t>
          </w:r>
          <w:r>
            <w:rPr>
              <w:i/>
              <w:iCs/>
              <w:noProof/>
              <w:lang w:val="en-US"/>
            </w:rPr>
            <w:t>An Investigation of the Social Impact of Problem Gambling in Wales.</w:t>
          </w:r>
          <w:r>
            <w:rPr>
              <w:noProof/>
              <w:lang w:val="en-US"/>
            </w:rPr>
            <w:t xml:space="preserve"> Cardiff: University of South Wales.</w:t>
          </w:r>
        </w:p>
        <w:p w:rsidR="000A679E" w:rsidRDefault="000A679E" w:rsidP="000A679E">
          <w:pPr>
            <w:pStyle w:val="Bibliography"/>
            <w:rPr>
              <w:noProof/>
              <w:lang w:val="en-US"/>
            </w:rPr>
          </w:pPr>
          <w:r>
            <w:rPr>
              <w:noProof/>
              <w:lang w:val="en-US"/>
            </w:rPr>
            <w:t xml:space="preserve">Kothari, C. R. (2012). </w:t>
          </w:r>
          <w:r>
            <w:rPr>
              <w:i/>
              <w:iCs/>
              <w:noProof/>
              <w:lang w:val="en-US"/>
            </w:rPr>
            <w:t>Research Methodology; methods and techniques.</w:t>
          </w:r>
          <w:r>
            <w:rPr>
              <w:noProof/>
              <w:lang w:val="en-US"/>
            </w:rPr>
            <w:t xml:space="preserve"> London: New Age International Pvt Ltd Publishers.</w:t>
          </w:r>
        </w:p>
        <w:p w:rsidR="000A679E" w:rsidRDefault="000A679E" w:rsidP="000A679E">
          <w:pPr>
            <w:pStyle w:val="Bibliography"/>
            <w:rPr>
              <w:noProof/>
              <w:lang w:val="en-US"/>
            </w:rPr>
          </w:pPr>
          <w:r>
            <w:rPr>
              <w:noProof/>
              <w:lang w:val="en-US"/>
            </w:rPr>
            <w:t xml:space="preserve">Ladbrokes. (2015). </w:t>
          </w:r>
          <w:r>
            <w:rPr>
              <w:i/>
              <w:iCs/>
              <w:noProof/>
              <w:lang w:val="en-US"/>
            </w:rPr>
            <w:t>Corporate Responsibility Report.</w:t>
          </w:r>
          <w:r>
            <w:rPr>
              <w:noProof/>
              <w:lang w:val="en-US"/>
            </w:rPr>
            <w:t xml:space="preserve"> London: Ladbrokes PLC.</w:t>
          </w:r>
        </w:p>
        <w:p w:rsidR="000A679E" w:rsidRDefault="000A679E" w:rsidP="000A679E">
          <w:pPr>
            <w:pStyle w:val="Bibliography"/>
            <w:rPr>
              <w:noProof/>
              <w:lang w:val="en-US"/>
            </w:rPr>
          </w:pPr>
          <w:r>
            <w:rPr>
              <w:noProof/>
              <w:lang w:val="en-US"/>
            </w:rPr>
            <w:t xml:space="preserve">Lavrakas, P. (2008). </w:t>
          </w:r>
          <w:r>
            <w:rPr>
              <w:i/>
              <w:iCs/>
              <w:noProof/>
              <w:lang w:val="en-US"/>
            </w:rPr>
            <w:t>Encyclopedia of Survey Research Methods.</w:t>
          </w:r>
          <w:r>
            <w:rPr>
              <w:noProof/>
              <w:lang w:val="en-US"/>
            </w:rPr>
            <w:t xml:space="preserve"> London: Sage.</w:t>
          </w:r>
        </w:p>
        <w:p w:rsidR="000A679E" w:rsidRDefault="000A679E" w:rsidP="000A679E">
          <w:pPr>
            <w:pStyle w:val="Bibliography"/>
            <w:rPr>
              <w:noProof/>
              <w:lang w:val="en-US"/>
            </w:rPr>
          </w:pPr>
          <w:r>
            <w:rPr>
              <w:noProof/>
              <w:lang w:val="en-US"/>
            </w:rPr>
            <w:t xml:space="preserve">Lindberg, A., Clark, L., &amp; Bowden-Jones, H. (2014). </w:t>
          </w:r>
          <w:r>
            <w:rPr>
              <w:i/>
              <w:iCs/>
              <w:noProof/>
              <w:lang w:val="en-US"/>
            </w:rPr>
            <w:t>Impulsivity and Cognitive Distortions in Problem Gambling: Theory and Application</w:t>
          </w:r>
          <w:r>
            <w:rPr>
              <w:noProof/>
              <w:lang w:val="en-US"/>
            </w:rPr>
            <w:t xml:space="preserve"> (1st ed.). London: Palgrave Macmillan.</w:t>
          </w:r>
        </w:p>
        <w:p w:rsidR="000A679E" w:rsidRDefault="000A679E" w:rsidP="000A679E">
          <w:pPr>
            <w:pStyle w:val="Bibliography"/>
            <w:rPr>
              <w:noProof/>
              <w:lang w:val="en-US"/>
            </w:rPr>
          </w:pPr>
          <w:r>
            <w:rPr>
              <w:noProof/>
              <w:lang w:val="en-US"/>
            </w:rPr>
            <w:t xml:space="preserve">Mitroff, I. (1983). </w:t>
          </w:r>
          <w:r>
            <w:rPr>
              <w:i/>
              <w:iCs/>
              <w:noProof/>
              <w:lang w:val="en-US"/>
            </w:rPr>
            <w:t>Stakeholders of the organisational mind.</w:t>
          </w:r>
          <w:r>
            <w:rPr>
              <w:noProof/>
              <w:lang w:val="en-US"/>
            </w:rPr>
            <w:t xml:space="preserve"> San Francisco: Jossey-bass.</w:t>
          </w:r>
        </w:p>
        <w:p w:rsidR="000A679E" w:rsidRDefault="000A679E" w:rsidP="000A679E">
          <w:pPr>
            <w:pStyle w:val="Bibliography"/>
            <w:rPr>
              <w:noProof/>
              <w:lang w:val="en-US"/>
            </w:rPr>
          </w:pPr>
          <w:r>
            <w:rPr>
              <w:noProof/>
              <w:lang w:val="en-US"/>
            </w:rPr>
            <w:t xml:space="preserve">Monaghan, A. (2018, 02 20). </w:t>
          </w:r>
          <w:r>
            <w:rPr>
              <w:i/>
              <w:iCs/>
              <w:noProof/>
              <w:lang w:val="en-US"/>
            </w:rPr>
            <w:t>the-guardian-view-on-gambling-a-system-ripe-for-exploitatio</w:t>
          </w:r>
          <w:r>
            <w:rPr>
              <w:noProof/>
              <w:lang w:val="en-US"/>
            </w:rPr>
            <w:t>. Retrieved from The Guardian: https://www.theguardian.com/commentisfree/2018/feb/20/the-guardian-view-on-gambling-a-system-ripe-for-exploitation</w:t>
          </w:r>
        </w:p>
        <w:p w:rsidR="000A679E" w:rsidRDefault="000A679E" w:rsidP="000A679E">
          <w:pPr>
            <w:pStyle w:val="Bibliography"/>
            <w:rPr>
              <w:noProof/>
              <w:lang w:val="en-US"/>
            </w:rPr>
          </w:pPr>
          <w:r>
            <w:rPr>
              <w:noProof/>
              <w:lang w:val="en-US"/>
            </w:rPr>
            <w:t xml:space="preserve">Munting, R. (1996). </w:t>
          </w:r>
          <w:r>
            <w:rPr>
              <w:i/>
              <w:iCs/>
              <w:noProof/>
              <w:lang w:val="en-US"/>
            </w:rPr>
            <w:t>An Economic and Social History of Gambling in Britain and the USA.</w:t>
          </w:r>
          <w:r>
            <w:rPr>
              <w:noProof/>
              <w:lang w:val="en-US"/>
            </w:rPr>
            <w:t xml:space="preserve"> Manchester: Manchester University Press.</w:t>
          </w:r>
        </w:p>
        <w:p w:rsidR="000A679E" w:rsidRDefault="000A679E" w:rsidP="000A679E">
          <w:pPr>
            <w:pStyle w:val="Bibliography"/>
            <w:rPr>
              <w:noProof/>
              <w:lang w:val="en-US"/>
            </w:rPr>
          </w:pPr>
          <w:r>
            <w:rPr>
              <w:noProof/>
              <w:lang w:val="en-US"/>
            </w:rPr>
            <w:lastRenderedPageBreak/>
            <w:t xml:space="preserve">NHS. (2016, 12 12). </w:t>
          </w:r>
          <w:r>
            <w:rPr>
              <w:i/>
              <w:iCs/>
              <w:noProof/>
              <w:lang w:val="en-US"/>
            </w:rPr>
            <w:t>problem-gamblers-cost-uk-government-1-2-billion-per-year</w:t>
          </w:r>
          <w:r>
            <w:rPr>
              <w:noProof/>
              <w:lang w:val="en-US"/>
            </w:rPr>
            <w:t>. Retrieved 03 07, 2018, from cnwl: https://www.cnwl.nhs.uk/news/problem-gamblers-cost-uk-government-1-2-billion-per-year/</w:t>
          </w:r>
        </w:p>
        <w:p w:rsidR="000A679E" w:rsidRDefault="000A679E" w:rsidP="000A679E">
          <w:pPr>
            <w:pStyle w:val="Bibliography"/>
            <w:rPr>
              <w:noProof/>
              <w:lang w:val="en-US"/>
            </w:rPr>
          </w:pPr>
          <w:r>
            <w:rPr>
              <w:i/>
              <w:iCs/>
              <w:noProof/>
              <w:lang w:val="en-US"/>
            </w:rPr>
            <w:t>Oxford Dictionary</w:t>
          </w:r>
          <w:r>
            <w:rPr>
              <w:noProof/>
              <w:lang w:val="en-US"/>
            </w:rPr>
            <w:t xml:space="preserve"> (127th ed.). (2017). London: Oxford University Press.</w:t>
          </w:r>
        </w:p>
        <w:p w:rsidR="000A679E" w:rsidRDefault="000A679E" w:rsidP="000A679E">
          <w:pPr>
            <w:pStyle w:val="Bibliography"/>
            <w:rPr>
              <w:noProof/>
              <w:lang w:val="en-US"/>
            </w:rPr>
          </w:pPr>
          <w:r>
            <w:rPr>
              <w:noProof/>
              <w:lang w:val="en-US"/>
            </w:rPr>
            <w:t xml:space="preserve">Palazzo, G., &amp; Richter, U. (2005). CSR business as usual. The case of the tobacco industry. </w:t>
          </w:r>
          <w:r>
            <w:rPr>
              <w:i/>
              <w:iCs/>
              <w:noProof/>
              <w:lang w:val="en-US"/>
            </w:rPr>
            <w:t>Journal of Business Ethics</w:t>
          </w:r>
          <w:r>
            <w:rPr>
              <w:noProof/>
              <w:lang w:val="en-US"/>
            </w:rPr>
            <w:t xml:space="preserve"> , 387 - 400.</w:t>
          </w:r>
        </w:p>
        <w:p w:rsidR="000A679E" w:rsidRDefault="000A679E" w:rsidP="000A679E">
          <w:pPr>
            <w:pStyle w:val="Bibliography"/>
            <w:rPr>
              <w:noProof/>
              <w:lang w:val="en-US"/>
            </w:rPr>
          </w:pPr>
          <w:r>
            <w:rPr>
              <w:noProof/>
              <w:lang w:val="en-US"/>
            </w:rPr>
            <w:t xml:space="preserve">Pratley, N. (2018, 01 22). </w:t>
          </w:r>
          <w:r>
            <w:rPr>
              <w:i/>
              <w:iCs/>
              <w:noProof/>
              <w:lang w:val="en-US"/>
            </w:rPr>
            <w:t>fobts-bookmakers-pay-price-failing-clean-up-their-act.</w:t>
          </w:r>
          <w:r>
            <w:rPr>
              <w:noProof/>
              <w:lang w:val="en-US"/>
            </w:rPr>
            <w:t xml:space="preserve"> Retrieved 02 04, 2018, from theguardian: https://www.theguardian.com/uk-news/nils-pratley-on-finance/2018/jan/22/fobts-bookmakers-pay-price-failing-clean-up-their-act</w:t>
          </w:r>
        </w:p>
        <w:p w:rsidR="000A679E" w:rsidRDefault="000A679E" w:rsidP="000A679E">
          <w:pPr>
            <w:pStyle w:val="Bibliography"/>
            <w:rPr>
              <w:noProof/>
              <w:lang w:val="en-US"/>
            </w:rPr>
          </w:pPr>
          <w:r>
            <w:rPr>
              <w:noProof/>
              <w:lang w:val="en-US"/>
            </w:rPr>
            <w:t xml:space="preserve">Preston, L., &amp; Donaldson, T. (1995). Stakeholder Theory Of Corporation. </w:t>
          </w:r>
          <w:r>
            <w:rPr>
              <w:i/>
              <w:iCs/>
              <w:noProof/>
              <w:lang w:val="en-US"/>
            </w:rPr>
            <w:t>Academy Of Management</w:t>
          </w:r>
          <w:r>
            <w:rPr>
              <w:noProof/>
              <w:lang w:val="en-US"/>
            </w:rPr>
            <w:t xml:space="preserve"> </w:t>
          </w:r>
          <w:r>
            <w:rPr>
              <w:i/>
              <w:iCs/>
              <w:noProof/>
              <w:lang w:val="en-US"/>
            </w:rPr>
            <w:t>, 20</w:t>
          </w:r>
          <w:r>
            <w:rPr>
              <w:noProof/>
              <w:lang w:val="en-US"/>
            </w:rPr>
            <w:t xml:space="preserve"> (1), 67.</w:t>
          </w:r>
        </w:p>
        <w:p w:rsidR="000A679E" w:rsidRDefault="000A679E" w:rsidP="000A679E">
          <w:pPr>
            <w:pStyle w:val="Bibliography"/>
            <w:rPr>
              <w:noProof/>
              <w:lang w:val="en-US"/>
            </w:rPr>
          </w:pPr>
          <w:r>
            <w:rPr>
              <w:noProof/>
              <w:lang w:val="en-US"/>
            </w:rPr>
            <w:t xml:space="preserve">Reith, D. G. (2006). </w:t>
          </w:r>
          <w:r>
            <w:rPr>
              <w:i/>
              <w:iCs/>
              <w:noProof/>
              <w:lang w:val="en-US"/>
            </w:rPr>
            <w:t>Research on the Social Impact of Gambling.</w:t>
          </w:r>
          <w:r>
            <w:rPr>
              <w:noProof/>
              <w:lang w:val="en-US"/>
            </w:rPr>
            <w:t xml:space="preserve"> Glasgow: Scottish Executive Social Research .</w:t>
          </w:r>
        </w:p>
        <w:p w:rsidR="000A679E" w:rsidRDefault="000A679E" w:rsidP="000A679E">
          <w:pPr>
            <w:pStyle w:val="Bibliography"/>
            <w:rPr>
              <w:noProof/>
              <w:lang w:val="en-US"/>
            </w:rPr>
          </w:pPr>
          <w:r>
            <w:rPr>
              <w:noProof/>
              <w:lang w:val="en-US"/>
            </w:rPr>
            <w:t xml:space="preserve">Riege, A. (1998). Qualitative Market Research: An International Journ. </w:t>
          </w:r>
          <w:r>
            <w:rPr>
              <w:i/>
              <w:iCs/>
              <w:noProof/>
              <w:lang w:val="en-US"/>
            </w:rPr>
            <w:t>Marketing - An International Journ</w:t>
          </w:r>
          <w:r>
            <w:rPr>
              <w:noProof/>
              <w:lang w:val="en-US"/>
            </w:rPr>
            <w:t xml:space="preserve"> </w:t>
          </w:r>
          <w:r>
            <w:rPr>
              <w:i/>
              <w:iCs/>
              <w:noProof/>
              <w:lang w:val="en-US"/>
            </w:rPr>
            <w:t>, 6</w:t>
          </w:r>
          <w:r>
            <w:rPr>
              <w:noProof/>
              <w:lang w:val="en-US"/>
            </w:rPr>
            <w:t xml:space="preserve"> (2), 75 - 86.</w:t>
          </w:r>
        </w:p>
        <w:p w:rsidR="000A679E" w:rsidRDefault="000A679E" w:rsidP="000A679E">
          <w:pPr>
            <w:pStyle w:val="Bibliography"/>
            <w:rPr>
              <w:noProof/>
              <w:lang w:val="en-US"/>
            </w:rPr>
          </w:pPr>
          <w:r>
            <w:rPr>
              <w:noProof/>
              <w:lang w:val="en-US"/>
            </w:rPr>
            <w:t xml:space="preserve">Rose, N., &amp; Loeb, R. (1998). </w:t>
          </w:r>
          <w:r>
            <w:rPr>
              <w:i/>
              <w:iCs/>
              <w:noProof/>
              <w:lang w:val="en-US"/>
            </w:rPr>
            <w:t>Blackjack and the Law</w:t>
          </w:r>
          <w:r>
            <w:rPr>
              <w:noProof/>
              <w:lang w:val="en-US"/>
            </w:rPr>
            <w:t xml:space="preserve"> (1st ed.). Oakland: RGE Publishers.</w:t>
          </w:r>
        </w:p>
        <w:p w:rsidR="000A679E" w:rsidRDefault="000A679E" w:rsidP="000A679E">
          <w:pPr>
            <w:pStyle w:val="Bibliography"/>
            <w:rPr>
              <w:noProof/>
              <w:lang w:val="en-US"/>
            </w:rPr>
          </w:pPr>
          <w:r>
            <w:rPr>
              <w:noProof/>
              <w:lang w:val="en-US"/>
            </w:rPr>
            <w:t xml:space="preserve">Sapsford, R., &amp; Jupp, V. (2006). </w:t>
          </w:r>
          <w:r>
            <w:rPr>
              <w:i/>
              <w:iCs/>
              <w:noProof/>
              <w:lang w:val="en-US"/>
            </w:rPr>
            <w:t>Data Collection and Analysis</w:t>
          </w:r>
          <w:r>
            <w:rPr>
              <w:noProof/>
              <w:lang w:val="en-US"/>
            </w:rPr>
            <w:t xml:space="preserve"> (2nd ed.). London: Sage Publications.</w:t>
          </w:r>
        </w:p>
        <w:p w:rsidR="000A679E" w:rsidRDefault="000A679E" w:rsidP="000A679E">
          <w:pPr>
            <w:pStyle w:val="Bibliography"/>
            <w:rPr>
              <w:noProof/>
              <w:lang w:val="en-US"/>
            </w:rPr>
          </w:pPr>
          <w:r>
            <w:rPr>
              <w:noProof/>
              <w:lang w:val="en-US"/>
            </w:rPr>
            <w:t xml:space="preserve">Saunders, M., Lewis, P., &amp; Thornhill, A. (2009). </w:t>
          </w:r>
          <w:r>
            <w:rPr>
              <w:i/>
              <w:iCs/>
              <w:noProof/>
              <w:lang w:val="en-US"/>
            </w:rPr>
            <w:t>Research methods for business students</w:t>
          </w:r>
          <w:r>
            <w:rPr>
              <w:noProof/>
              <w:lang w:val="en-US"/>
            </w:rPr>
            <w:t xml:space="preserve"> (5th ed.). Edinburgh: Pearson.</w:t>
          </w:r>
        </w:p>
        <w:p w:rsidR="000A679E" w:rsidRDefault="000A679E" w:rsidP="000A679E">
          <w:pPr>
            <w:pStyle w:val="Bibliography"/>
            <w:rPr>
              <w:noProof/>
              <w:lang w:val="en-US"/>
            </w:rPr>
          </w:pPr>
          <w:r>
            <w:rPr>
              <w:noProof/>
              <w:lang w:val="en-US"/>
            </w:rPr>
            <w:t xml:space="preserve">Saunders, M., Lewis, P., &amp; Thornhill, A. (2009). </w:t>
          </w:r>
          <w:r>
            <w:rPr>
              <w:i/>
              <w:iCs/>
              <w:noProof/>
              <w:lang w:val="en-US"/>
            </w:rPr>
            <w:t>Research Methods for Business Students.</w:t>
          </w:r>
          <w:r>
            <w:rPr>
              <w:noProof/>
              <w:lang w:val="en-US"/>
            </w:rPr>
            <w:t xml:space="preserve"> London: Pearson Educational.</w:t>
          </w:r>
        </w:p>
        <w:p w:rsidR="000A679E" w:rsidRDefault="000A679E" w:rsidP="000A679E">
          <w:pPr>
            <w:pStyle w:val="Bibliography"/>
            <w:rPr>
              <w:noProof/>
              <w:lang w:val="en-US"/>
            </w:rPr>
          </w:pPr>
          <w:r>
            <w:rPr>
              <w:noProof/>
              <w:lang w:val="en-US"/>
            </w:rPr>
            <w:t xml:space="preserve">Shaw, R. J. (2016). </w:t>
          </w:r>
          <w:r>
            <w:rPr>
              <w:i/>
              <w:iCs/>
              <w:noProof/>
              <w:lang w:val="en-US"/>
            </w:rPr>
            <w:t>Critical Analysis of Corporate Social Responsibility within the UK Gambling Industry.</w:t>
          </w:r>
          <w:r>
            <w:rPr>
              <w:noProof/>
              <w:lang w:val="en-US"/>
            </w:rPr>
            <w:t xml:space="preserve"> Swansea: UWTSD.</w:t>
          </w:r>
        </w:p>
        <w:p w:rsidR="000A679E" w:rsidRDefault="000A679E" w:rsidP="000A679E">
          <w:pPr>
            <w:pStyle w:val="Bibliography"/>
            <w:rPr>
              <w:noProof/>
              <w:lang w:val="en-US"/>
            </w:rPr>
          </w:pPr>
          <w:r>
            <w:rPr>
              <w:noProof/>
              <w:lang w:val="en-US"/>
            </w:rPr>
            <w:t xml:space="preserve">Snowdon, C. (2016). </w:t>
          </w:r>
          <w:r>
            <w:rPr>
              <w:i/>
              <w:iCs/>
              <w:noProof/>
              <w:lang w:val="en-US"/>
            </w:rPr>
            <w:t>Fixed-odds betting terminals.</w:t>
          </w:r>
          <w:r>
            <w:rPr>
              <w:noProof/>
              <w:lang w:val="en-US"/>
            </w:rPr>
            <w:t xml:space="preserve"> London: International Energy Agency.</w:t>
          </w:r>
        </w:p>
        <w:p w:rsidR="000A679E" w:rsidRDefault="000A679E" w:rsidP="000A679E">
          <w:pPr>
            <w:pStyle w:val="Bibliography"/>
            <w:rPr>
              <w:noProof/>
              <w:lang w:val="en-US"/>
            </w:rPr>
          </w:pPr>
          <w:r>
            <w:rPr>
              <w:noProof/>
              <w:lang w:val="en-US"/>
            </w:rPr>
            <w:t xml:space="preserve">Strauss, J. R. (2015). Challenging Corporate Responsiblity . In J. R. Strauss, </w:t>
          </w:r>
          <w:r>
            <w:rPr>
              <w:i/>
              <w:iCs/>
              <w:noProof/>
              <w:lang w:val="en-US"/>
            </w:rPr>
            <w:t xml:space="preserve">Challenging Corporate Responsiblity </w:t>
          </w:r>
          <w:r>
            <w:rPr>
              <w:noProof/>
              <w:lang w:val="en-US"/>
            </w:rPr>
            <w:t>(pp. 164-173). New York: Routledge.</w:t>
          </w:r>
        </w:p>
        <w:p w:rsidR="000A679E" w:rsidRDefault="000A679E" w:rsidP="000A679E">
          <w:pPr>
            <w:pStyle w:val="Bibliography"/>
            <w:rPr>
              <w:noProof/>
              <w:lang w:val="en-US"/>
            </w:rPr>
          </w:pPr>
          <w:r>
            <w:rPr>
              <w:noProof/>
              <w:lang w:val="en-US"/>
            </w:rPr>
            <w:t xml:space="preserve">Streeter, J. (2018, 01 12). </w:t>
          </w:r>
          <w:r>
            <w:rPr>
              <w:i/>
              <w:iCs/>
              <w:noProof/>
              <w:lang w:val="en-US"/>
            </w:rPr>
            <w:t>abb-dismisses-latest-fobt-report-flawed.</w:t>
          </w:r>
          <w:r>
            <w:rPr>
              <w:noProof/>
              <w:lang w:val="en-US"/>
            </w:rPr>
            <w:t xml:space="preserve"> Retrieved 02 26, 18, from sbcnews.co.uk: https://www.sbcnews.co.uk/retail/2018/01/12/abb-dismisses-latest-fobt-report-flawed/</w:t>
          </w:r>
        </w:p>
        <w:p w:rsidR="000A679E" w:rsidRDefault="000A679E" w:rsidP="000A679E">
          <w:pPr>
            <w:pStyle w:val="Bibliography"/>
            <w:rPr>
              <w:noProof/>
              <w:lang w:val="en-US"/>
            </w:rPr>
          </w:pPr>
          <w:r>
            <w:rPr>
              <w:i/>
              <w:iCs/>
              <w:noProof/>
              <w:lang w:val="en-US"/>
            </w:rPr>
            <w:t>The History of Betting</w:t>
          </w:r>
          <w:r>
            <w:rPr>
              <w:noProof/>
              <w:lang w:val="en-US"/>
            </w:rPr>
            <w:t>. (2018, 01 01). Retrieved 02 11, 2018, from ukbookmakers: https://www.ukbookmakers.info/history-of-betting</w:t>
          </w:r>
        </w:p>
        <w:p w:rsidR="000A679E" w:rsidRDefault="000A679E" w:rsidP="000A679E">
          <w:pPr>
            <w:pStyle w:val="Bibliography"/>
            <w:rPr>
              <w:noProof/>
              <w:lang w:val="en-US"/>
            </w:rPr>
          </w:pPr>
          <w:r>
            <w:rPr>
              <w:noProof/>
              <w:lang w:val="en-US"/>
            </w:rPr>
            <w:t xml:space="preserve">Thompson, W. N. (2001). </w:t>
          </w:r>
          <w:r>
            <w:rPr>
              <w:i/>
              <w:iCs/>
              <w:noProof/>
              <w:lang w:val="en-US"/>
            </w:rPr>
            <w:t>Gambling in America: An Encyclopedia of History, Issues, and Society.</w:t>
          </w:r>
          <w:r>
            <w:rPr>
              <w:noProof/>
              <w:lang w:val="en-US"/>
            </w:rPr>
            <w:t xml:space="preserve"> Las Vegas: ABC- CLIO.</w:t>
          </w:r>
        </w:p>
        <w:p w:rsidR="000A679E" w:rsidRDefault="000A679E" w:rsidP="000A679E">
          <w:pPr>
            <w:pStyle w:val="Bibliography"/>
            <w:rPr>
              <w:noProof/>
              <w:lang w:val="en-US"/>
            </w:rPr>
          </w:pPr>
          <w:r>
            <w:rPr>
              <w:noProof/>
              <w:lang w:val="en-US"/>
            </w:rPr>
            <w:lastRenderedPageBreak/>
            <w:t xml:space="preserve">Thorley, C., Stirling, A., &amp; Huynh, E. (2016). </w:t>
          </w:r>
          <w:r>
            <w:rPr>
              <w:i/>
              <w:iCs/>
              <w:noProof/>
              <w:lang w:val="en-US"/>
            </w:rPr>
            <w:t>The cost to government associated with problem gambling.</w:t>
          </w:r>
          <w:r>
            <w:rPr>
              <w:noProof/>
              <w:lang w:val="en-US"/>
            </w:rPr>
            <w:t xml:space="preserve"> London: Public Policy Research.</w:t>
          </w:r>
        </w:p>
        <w:p w:rsidR="000A679E" w:rsidRDefault="000A679E" w:rsidP="000A679E">
          <w:pPr>
            <w:pStyle w:val="Bibliography"/>
            <w:rPr>
              <w:noProof/>
              <w:lang w:val="en-US"/>
            </w:rPr>
          </w:pPr>
          <w:r>
            <w:rPr>
              <w:noProof/>
              <w:lang w:val="en-US"/>
            </w:rPr>
            <w:t xml:space="preserve">Torkildsen, G. (2010). </w:t>
          </w:r>
          <w:r>
            <w:rPr>
              <w:i/>
              <w:iCs/>
              <w:noProof/>
              <w:lang w:val="en-US"/>
            </w:rPr>
            <w:t>Torkildsen's Sport and Leisure Management.</w:t>
          </w:r>
          <w:r>
            <w:rPr>
              <w:noProof/>
              <w:lang w:val="en-US"/>
            </w:rPr>
            <w:t xml:space="preserve"> Taylor &amp; Francis: Sheffield.</w:t>
          </w:r>
        </w:p>
        <w:p w:rsidR="000A679E" w:rsidRDefault="000A679E" w:rsidP="000A679E">
          <w:pPr>
            <w:pStyle w:val="Bibliography"/>
            <w:rPr>
              <w:noProof/>
              <w:lang w:val="en-US"/>
            </w:rPr>
          </w:pPr>
          <w:r>
            <w:rPr>
              <w:noProof/>
              <w:lang w:val="en-US"/>
            </w:rPr>
            <w:t xml:space="preserve">Turner, N. (2004). How Do Slot Machines And Other Electronic Gambling Machines Work? </w:t>
          </w:r>
          <w:r>
            <w:rPr>
              <w:i/>
              <w:iCs/>
              <w:noProof/>
              <w:lang w:val="en-US"/>
            </w:rPr>
            <w:t>Centre for Addiction and Mental Health</w:t>
          </w:r>
          <w:r>
            <w:rPr>
              <w:noProof/>
              <w:lang w:val="en-US"/>
            </w:rPr>
            <w:t xml:space="preserve"> </w:t>
          </w:r>
          <w:r>
            <w:rPr>
              <w:i/>
              <w:iCs/>
              <w:noProof/>
              <w:lang w:val="en-US"/>
            </w:rPr>
            <w:t>, 75</w:t>
          </w:r>
          <w:r>
            <w:rPr>
              <w:noProof/>
              <w:lang w:val="en-US"/>
            </w:rPr>
            <w:t xml:space="preserve"> (5), 72.</w:t>
          </w:r>
        </w:p>
        <w:p w:rsidR="000A679E" w:rsidRDefault="000A679E" w:rsidP="000A679E">
          <w:pPr>
            <w:pStyle w:val="Bibliography"/>
            <w:rPr>
              <w:noProof/>
              <w:lang w:val="en-US"/>
            </w:rPr>
          </w:pPr>
          <w:r>
            <w:rPr>
              <w:noProof/>
              <w:lang w:val="en-US"/>
            </w:rPr>
            <w:t xml:space="preserve">Volberg, R. (2000). The future of gambling in the United Kingdom. </w:t>
          </w:r>
          <w:r>
            <w:rPr>
              <w:i/>
              <w:iCs/>
              <w:noProof/>
              <w:lang w:val="en-US"/>
            </w:rPr>
            <w:t>British Medical Journal</w:t>
          </w:r>
          <w:r>
            <w:rPr>
              <w:noProof/>
              <w:lang w:val="en-US"/>
            </w:rPr>
            <w:t xml:space="preserve"> </w:t>
          </w:r>
          <w:r>
            <w:rPr>
              <w:i/>
              <w:iCs/>
              <w:noProof/>
              <w:lang w:val="en-US"/>
            </w:rPr>
            <w:t>, 320</w:t>
          </w:r>
          <w:r>
            <w:rPr>
              <w:noProof/>
              <w:lang w:val="en-US"/>
            </w:rPr>
            <w:t xml:space="preserve"> (7249), 1556.</w:t>
          </w:r>
        </w:p>
        <w:p w:rsidR="000A679E" w:rsidRDefault="000A679E" w:rsidP="000A679E">
          <w:pPr>
            <w:pStyle w:val="Bibliography"/>
            <w:rPr>
              <w:noProof/>
              <w:lang w:val="en-US"/>
            </w:rPr>
          </w:pPr>
          <w:r>
            <w:rPr>
              <w:noProof/>
              <w:lang w:val="en-US"/>
            </w:rPr>
            <w:t xml:space="preserve">Walker, P. (2018, 1 21). </w:t>
          </w:r>
          <w:r>
            <w:rPr>
              <w:i/>
              <w:iCs/>
              <w:noProof/>
              <w:lang w:val="en-US"/>
            </w:rPr>
            <w:t>gambling-ministers-urged-to-be-bold-with-curbs-on-fobts</w:t>
          </w:r>
          <w:r>
            <w:rPr>
              <w:noProof/>
              <w:lang w:val="en-US"/>
            </w:rPr>
            <w:t>. Retrieved from The Guardian: https://www.theguardian.com/uk-news/2018/jan/21/gambling-ministers-urged-to-be-bold-with-curbs-on-fobts</w:t>
          </w:r>
        </w:p>
        <w:p w:rsidR="000A679E" w:rsidRDefault="000A679E" w:rsidP="000A679E">
          <w:pPr>
            <w:pStyle w:val="Bibliography"/>
            <w:rPr>
              <w:noProof/>
              <w:lang w:val="en-US"/>
            </w:rPr>
          </w:pPr>
          <w:r>
            <w:rPr>
              <w:noProof/>
              <w:lang w:val="en-US"/>
            </w:rPr>
            <w:t>Watson, T. (2017, October 31). Government Proposal. FOBT Crackdown. (G. Wood, Interviewer)</w:t>
          </w:r>
        </w:p>
        <w:p w:rsidR="000A679E" w:rsidRDefault="000A679E" w:rsidP="000A679E">
          <w:pPr>
            <w:pStyle w:val="Bibliography"/>
            <w:rPr>
              <w:noProof/>
              <w:lang w:val="en-US"/>
            </w:rPr>
          </w:pPr>
          <w:r>
            <w:rPr>
              <w:noProof/>
              <w:lang w:val="en-US"/>
            </w:rPr>
            <w:t xml:space="preserve">William HIll. (2018, 03 12). </w:t>
          </w:r>
          <w:r>
            <w:rPr>
              <w:i/>
              <w:iCs/>
              <w:noProof/>
              <w:lang w:val="en-US"/>
            </w:rPr>
            <w:t>/encouraging-responsible-gambling</w:t>
          </w:r>
          <w:r>
            <w:rPr>
              <w:noProof/>
              <w:lang w:val="en-US"/>
            </w:rPr>
            <w:t>. Retrieved from williamhillplc: http://www.williamhillplc.com/responsibility/responsible-gambling/encouraging-responsible-gambling/</w:t>
          </w:r>
        </w:p>
        <w:p w:rsidR="000A679E" w:rsidRDefault="000A679E" w:rsidP="000A679E">
          <w:pPr>
            <w:pStyle w:val="Bibliography"/>
            <w:rPr>
              <w:noProof/>
              <w:lang w:val="en-US"/>
            </w:rPr>
          </w:pPr>
          <w:r>
            <w:rPr>
              <w:noProof/>
              <w:lang w:val="en-US"/>
            </w:rPr>
            <w:t xml:space="preserve">William Hill. (2017). </w:t>
          </w:r>
          <w:r>
            <w:rPr>
              <w:i/>
              <w:iCs/>
              <w:noProof/>
              <w:lang w:val="en-US"/>
            </w:rPr>
            <w:t>Responsible in everything we do.</w:t>
          </w:r>
          <w:r>
            <w:rPr>
              <w:noProof/>
              <w:lang w:val="en-US"/>
            </w:rPr>
            <w:t xml:space="preserve"> London: William Hill PLC.</w:t>
          </w:r>
        </w:p>
        <w:p w:rsidR="000A679E" w:rsidRDefault="000A679E" w:rsidP="000A679E">
          <w:pPr>
            <w:pStyle w:val="Bibliography"/>
            <w:rPr>
              <w:noProof/>
              <w:lang w:val="en-US"/>
            </w:rPr>
          </w:pPr>
          <w:r>
            <w:rPr>
              <w:noProof/>
              <w:lang w:val="en-US"/>
            </w:rPr>
            <w:t xml:space="preserve">Woodhouse, J. (2017). </w:t>
          </w:r>
          <w:r>
            <w:rPr>
              <w:i/>
              <w:iCs/>
              <w:noProof/>
              <w:lang w:val="en-US"/>
            </w:rPr>
            <w:t>Fixed odds betting terminals.</w:t>
          </w:r>
          <w:r>
            <w:rPr>
              <w:noProof/>
              <w:lang w:val="en-US"/>
            </w:rPr>
            <w:t xml:space="preserve"> London: House Of Commons Briefer.</w:t>
          </w:r>
        </w:p>
        <w:p w:rsidR="000D1B1E" w:rsidRDefault="000A679E" w:rsidP="000A679E">
          <w:r>
            <w:fldChar w:fldCharType="end"/>
          </w:r>
        </w:p>
      </w:sdtContent>
    </w:sdt>
    <w:sectPr w:rsidR="000D1B1E" w:rsidSect="000D1B1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156044"/>
    <w:multiLevelType w:val="hybridMultilevel"/>
    <w:tmpl w:val="B7B42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74F78FF"/>
    <w:multiLevelType w:val="hybridMultilevel"/>
    <w:tmpl w:val="C504D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C9839B9"/>
    <w:multiLevelType w:val="multilevel"/>
    <w:tmpl w:val="508C66F8"/>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50020D0"/>
    <w:multiLevelType w:val="hybridMultilevel"/>
    <w:tmpl w:val="C504D4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B2773CE"/>
    <w:multiLevelType w:val="hybridMultilevel"/>
    <w:tmpl w:val="ECB43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AE2889"/>
    <w:multiLevelType w:val="hybridMultilevel"/>
    <w:tmpl w:val="B000A55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7"/>
  </w:num>
  <w:num w:numId="5">
    <w:abstractNumId w:val="24"/>
  </w:num>
  <w:num w:numId="6">
    <w:abstractNumId w:val="27"/>
  </w:num>
  <w:num w:numId="7">
    <w:abstractNumId w:val="12"/>
  </w:num>
  <w:num w:numId="8">
    <w:abstractNumId w:val="20"/>
  </w:num>
  <w:num w:numId="9">
    <w:abstractNumId w:val="5"/>
  </w:num>
  <w:num w:numId="10">
    <w:abstractNumId w:val="26"/>
  </w:num>
  <w:num w:numId="1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6"/>
  </w:num>
  <w:num w:numId="15">
    <w:abstractNumId w:val="10"/>
  </w:num>
  <w:num w:numId="16">
    <w:abstractNumId w:val="11"/>
  </w:num>
  <w:num w:numId="17">
    <w:abstractNumId w:val="23"/>
  </w:num>
  <w:num w:numId="18">
    <w:abstractNumId w:val="21"/>
  </w:num>
  <w:num w:numId="19">
    <w:abstractNumId w:val="22"/>
  </w:num>
  <w:num w:numId="20">
    <w:abstractNumId w:val="1"/>
  </w:num>
  <w:num w:numId="21">
    <w:abstractNumId w:val="8"/>
  </w:num>
  <w:num w:numId="22">
    <w:abstractNumId w:val="9"/>
  </w:num>
  <w:num w:numId="23">
    <w:abstractNumId w:val="13"/>
  </w:num>
  <w:num w:numId="24">
    <w:abstractNumId w:val="14"/>
  </w:num>
  <w:num w:numId="25">
    <w:abstractNumId w:val="25"/>
  </w:num>
  <w:num w:numId="26">
    <w:abstractNumId w:val="7"/>
  </w:num>
  <w:num w:numId="27">
    <w:abstractNumId w:val="15"/>
  </w:num>
  <w:num w:numId="28">
    <w:abstractNumId w:val="19"/>
  </w:num>
  <w:num w:numId="29">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20"/>
  <w:characterSpacingControl w:val="doNotCompress"/>
  <w:compat/>
  <w:rsids>
    <w:rsidRoot w:val="000A679E"/>
    <w:rsid w:val="000A679E"/>
    <w:rsid w:val="000D1B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679E"/>
  </w:style>
  <w:style w:type="paragraph" w:styleId="Heading1">
    <w:name w:val="heading 1"/>
    <w:basedOn w:val="Normal"/>
    <w:next w:val="Normal"/>
    <w:link w:val="Heading1Char"/>
    <w:uiPriority w:val="99"/>
    <w:qFormat/>
    <w:rsid w:val="000A679E"/>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paragraph" w:styleId="Heading2">
    <w:name w:val="heading 2"/>
    <w:basedOn w:val="Normal"/>
    <w:next w:val="Normal"/>
    <w:link w:val="Heading2Char"/>
    <w:uiPriority w:val="9"/>
    <w:unhideWhenUsed/>
    <w:qFormat/>
    <w:rsid w:val="000A679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autoRedefine/>
    <w:uiPriority w:val="9"/>
    <w:unhideWhenUsed/>
    <w:qFormat/>
    <w:rsid w:val="000A679E"/>
    <w:pPr>
      <w:keepNext/>
      <w:keepLines/>
      <w:spacing w:before="200" w:after="0"/>
      <w:outlineLvl w:val="2"/>
    </w:pPr>
    <w:rPr>
      <w:rFonts w:ascii="Arial" w:eastAsiaTheme="majorEastAsia" w:hAnsi="Arial" w:cstheme="majorBidi"/>
      <w:bCs/>
      <w:color w:val="4F81BD" w:themeColor="accent1"/>
      <w:sz w:val="24"/>
    </w:rPr>
  </w:style>
  <w:style w:type="paragraph" w:styleId="Heading4">
    <w:name w:val="heading 4"/>
    <w:basedOn w:val="Normal"/>
    <w:next w:val="Normal"/>
    <w:link w:val="Heading4Char"/>
    <w:uiPriority w:val="99"/>
    <w:unhideWhenUsed/>
    <w:qFormat/>
    <w:rsid w:val="000A679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A679E"/>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A679E"/>
    <w:rPr>
      <w:rFonts w:asciiTheme="majorHAnsi" w:eastAsiaTheme="majorEastAsia" w:hAnsiTheme="majorHAnsi" w:cstheme="majorBidi"/>
      <w:b/>
      <w:bCs/>
      <w:color w:val="365F91" w:themeColor="accent1" w:themeShade="BF"/>
      <w:sz w:val="28"/>
      <w:szCs w:val="28"/>
      <w:lang w:val="en-US" w:bidi="en-US"/>
    </w:rPr>
  </w:style>
  <w:style w:type="character" w:customStyle="1" w:styleId="Heading2Char">
    <w:name w:val="Heading 2 Char"/>
    <w:basedOn w:val="DefaultParagraphFont"/>
    <w:link w:val="Heading2"/>
    <w:uiPriority w:val="9"/>
    <w:rsid w:val="000A679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A679E"/>
    <w:rPr>
      <w:rFonts w:ascii="Arial" w:eastAsiaTheme="majorEastAsia" w:hAnsi="Arial" w:cstheme="majorBidi"/>
      <w:bCs/>
      <w:color w:val="4F81BD" w:themeColor="accent1"/>
      <w:sz w:val="24"/>
    </w:rPr>
  </w:style>
  <w:style w:type="character" w:customStyle="1" w:styleId="Heading4Char">
    <w:name w:val="Heading 4 Char"/>
    <w:basedOn w:val="DefaultParagraphFont"/>
    <w:link w:val="Heading4"/>
    <w:uiPriority w:val="99"/>
    <w:rsid w:val="000A679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0A679E"/>
    <w:rPr>
      <w:rFonts w:asciiTheme="majorHAnsi" w:eastAsiaTheme="majorEastAsia" w:hAnsiTheme="majorHAnsi" w:cstheme="majorBidi"/>
      <w:color w:val="243F60" w:themeColor="accent1" w:themeShade="7F"/>
    </w:rPr>
  </w:style>
  <w:style w:type="paragraph" w:styleId="NormalWeb">
    <w:name w:val="Normal (Web)"/>
    <w:basedOn w:val="Normal"/>
    <w:uiPriority w:val="99"/>
    <w:unhideWhenUsed/>
    <w:rsid w:val="000A67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A67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679E"/>
    <w:rPr>
      <w:rFonts w:ascii="Tahoma" w:hAnsi="Tahoma" w:cs="Tahoma"/>
      <w:sz w:val="16"/>
      <w:szCs w:val="16"/>
    </w:rPr>
  </w:style>
  <w:style w:type="character" w:styleId="Hyperlink">
    <w:name w:val="Hyperlink"/>
    <w:basedOn w:val="DefaultParagraphFont"/>
    <w:uiPriority w:val="99"/>
    <w:unhideWhenUsed/>
    <w:rsid w:val="000A679E"/>
    <w:rPr>
      <w:color w:val="0000FF" w:themeColor="hyperlink"/>
      <w:u w:val="single"/>
    </w:rPr>
  </w:style>
  <w:style w:type="table" w:styleId="TableGrid">
    <w:name w:val="Table Grid"/>
    <w:basedOn w:val="TableNormal"/>
    <w:uiPriority w:val="59"/>
    <w:rsid w:val="000A679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0A679E"/>
  </w:style>
  <w:style w:type="character" w:styleId="FollowedHyperlink">
    <w:name w:val="FollowedHyperlink"/>
    <w:basedOn w:val="DefaultParagraphFont"/>
    <w:uiPriority w:val="99"/>
    <w:semiHidden/>
    <w:unhideWhenUsed/>
    <w:rsid w:val="000A679E"/>
    <w:rPr>
      <w:color w:val="800080" w:themeColor="followedHyperlink"/>
      <w:u w:val="single"/>
    </w:rPr>
  </w:style>
  <w:style w:type="paragraph" w:styleId="ListParagraph">
    <w:name w:val="List Paragraph"/>
    <w:basedOn w:val="Normal"/>
    <w:uiPriority w:val="34"/>
    <w:qFormat/>
    <w:rsid w:val="000A679E"/>
    <w:pPr>
      <w:ind w:left="720"/>
      <w:contextualSpacing/>
    </w:pPr>
  </w:style>
  <w:style w:type="paragraph" w:styleId="TOCHeading">
    <w:name w:val="TOC Heading"/>
    <w:basedOn w:val="Heading1"/>
    <w:next w:val="Normal"/>
    <w:uiPriority w:val="39"/>
    <w:unhideWhenUsed/>
    <w:qFormat/>
    <w:rsid w:val="000A679E"/>
    <w:pPr>
      <w:outlineLvl w:val="9"/>
    </w:pPr>
    <w:rPr>
      <w:lang w:bidi="ar-SA"/>
    </w:rPr>
  </w:style>
  <w:style w:type="paragraph" w:styleId="TOC1">
    <w:name w:val="toc 1"/>
    <w:basedOn w:val="Normal"/>
    <w:next w:val="Normal"/>
    <w:autoRedefine/>
    <w:uiPriority w:val="39"/>
    <w:unhideWhenUsed/>
    <w:qFormat/>
    <w:rsid w:val="000A679E"/>
    <w:pPr>
      <w:tabs>
        <w:tab w:val="right" w:leader="dot" w:pos="9016"/>
      </w:tabs>
      <w:spacing w:after="100"/>
    </w:pPr>
    <w:rPr>
      <w:rFonts w:eastAsia="Times New Roman"/>
      <w:noProof/>
      <w:lang w:eastAsia="en-GB" w:bidi="en-US"/>
    </w:rPr>
  </w:style>
  <w:style w:type="paragraph" w:styleId="TOC3">
    <w:name w:val="toc 3"/>
    <w:basedOn w:val="Normal"/>
    <w:next w:val="Normal"/>
    <w:autoRedefine/>
    <w:uiPriority w:val="39"/>
    <w:unhideWhenUsed/>
    <w:qFormat/>
    <w:rsid w:val="000A679E"/>
    <w:pPr>
      <w:spacing w:after="100"/>
      <w:ind w:left="440"/>
    </w:pPr>
  </w:style>
  <w:style w:type="paragraph" w:styleId="TOC2">
    <w:name w:val="toc 2"/>
    <w:basedOn w:val="Normal"/>
    <w:next w:val="Normal"/>
    <w:autoRedefine/>
    <w:uiPriority w:val="39"/>
    <w:unhideWhenUsed/>
    <w:qFormat/>
    <w:rsid w:val="000A679E"/>
    <w:pPr>
      <w:spacing w:after="100"/>
      <w:ind w:left="220"/>
    </w:pPr>
  </w:style>
  <w:style w:type="paragraph" w:styleId="Header">
    <w:name w:val="header"/>
    <w:basedOn w:val="Normal"/>
    <w:link w:val="HeaderChar"/>
    <w:uiPriority w:val="99"/>
    <w:unhideWhenUsed/>
    <w:rsid w:val="000A67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79E"/>
  </w:style>
  <w:style w:type="paragraph" w:styleId="Footer">
    <w:name w:val="footer"/>
    <w:basedOn w:val="Normal"/>
    <w:link w:val="FooterChar"/>
    <w:uiPriority w:val="99"/>
    <w:unhideWhenUsed/>
    <w:rsid w:val="000A67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79E"/>
  </w:style>
  <w:style w:type="paragraph" w:styleId="NoSpacing">
    <w:name w:val="No Spacing"/>
    <w:link w:val="NoSpacingChar"/>
    <w:uiPriority w:val="1"/>
    <w:qFormat/>
    <w:rsid w:val="000A67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679E"/>
    <w:rPr>
      <w:rFonts w:eastAsiaTheme="minorEastAsia"/>
      <w:lang w:val="en-US"/>
    </w:rPr>
  </w:style>
  <w:style w:type="paragraph" w:styleId="BodyText2">
    <w:name w:val="Body Text 2"/>
    <w:basedOn w:val="Normal"/>
    <w:link w:val="BodyText2Char"/>
    <w:uiPriority w:val="99"/>
    <w:rsid w:val="000A679E"/>
    <w:pPr>
      <w:spacing w:after="0" w:line="240" w:lineRule="auto"/>
      <w:ind w:left="720" w:hanging="720"/>
    </w:pPr>
    <w:rPr>
      <w:rFonts w:ascii="Times New Roman" w:eastAsiaTheme="minorEastAsia" w:hAnsi="Times New Roman" w:cs="Times New Roman"/>
      <w:b/>
      <w:bCs/>
    </w:rPr>
  </w:style>
  <w:style w:type="character" w:customStyle="1" w:styleId="BodyText2Char">
    <w:name w:val="Body Text 2 Char"/>
    <w:basedOn w:val="DefaultParagraphFont"/>
    <w:link w:val="BodyText2"/>
    <w:uiPriority w:val="99"/>
    <w:rsid w:val="000A679E"/>
    <w:rPr>
      <w:rFonts w:ascii="Times New Roman" w:eastAsiaTheme="minorEastAsia" w:hAnsi="Times New Roman" w:cs="Times New Roman"/>
      <w:b/>
      <w:bCs/>
    </w:rPr>
  </w:style>
  <w:style w:type="paragraph" w:customStyle="1" w:styleId="deannah1">
    <w:name w:val="deannah1"/>
    <w:basedOn w:val="Normal"/>
    <w:uiPriority w:val="99"/>
    <w:rsid w:val="000A679E"/>
    <w:pPr>
      <w:keepNext/>
      <w:spacing w:after="240" w:line="240" w:lineRule="auto"/>
    </w:pPr>
    <w:rPr>
      <w:rFonts w:ascii="Times New Roman" w:eastAsiaTheme="minorEastAsia" w:hAnsi="Times New Roman" w:cs="Times New Roman"/>
      <w:b/>
      <w:bCs/>
      <w:sz w:val="24"/>
      <w:szCs w:val="24"/>
    </w:rPr>
  </w:style>
  <w:style w:type="character" w:customStyle="1" w:styleId="Hyperlink1">
    <w:name w:val="Hyperlink1"/>
    <w:uiPriority w:val="99"/>
    <w:rsid w:val="000A679E"/>
    <w:rPr>
      <w:color w:val="535353"/>
      <w:u w:val="single"/>
      <w:effect w:val="none"/>
    </w:rPr>
  </w:style>
  <w:style w:type="paragraph" w:customStyle="1" w:styleId="NormalWeb1">
    <w:name w:val="Normal (Web)1"/>
    <w:basedOn w:val="Normal"/>
    <w:uiPriority w:val="99"/>
    <w:rsid w:val="000A679E"/>
    <w:pPr>
      <w:spacing w:before="100" w:beforeAutospacing="1" w:after="300" w:line="240" w:lineRule="auto"/>
    </w:pPr>
    <w:rPr>
      <w:rFonts w:ascii="Times New Roman" w:eastAsiaTheme="minorEastAsia" w:hAnsi="Times New Roman" w:cs="Times New Roman"/>
      <w:sz w:val="24"/>
      <w:szCs w:val="24"/>
      <w:lang w:eastAsia="en-GB"/>
    </w:rPr>
  </w:style>
  <w:style w:type="character" w:styleId="PageNumber">
    <w:name w:val="page number"/>
    <w:basedOn w:val="DefaultParagraphFont"/>
    <w:uiPriority w:val="99"/>
    <w:rsid w:val="000A679E"/>
  </w:style>
  <w:style w:type="character" w:styleId="CommentReference">
    <w:name w:val="annotation reference"/>
    <w:uiPriority w:val="99"/>
    <w:semiHidden/>
    <w:unhideWhenUsed/>
    <w:rsid w:val="000A679E"/>
    <w:rPr>
      <w:sz w:val="16"/>
      <w:szCs w:val="16"/>
    </w:rPr>
  </w:style>
  <w:style w:type="paragraph" w:styleId="CommentText">
    <w:name w:val="annotation text"/>
    <w:basedOn w:val="Normal"/>
    <w:link w:val="CommentTextChar"/>
    <w:uiPriority w:val="99"/>
    <w:semiHidden/>
    <w:unhideWhenUsed/>
    <w:rsid w:val="000A679E"/>
    <w:pPr>
      <w:spacing w:after="0" w:line="240" w:lineRule="auto"/>
    </w:pPr>
    <w:rPr>
      <w:rFonts w:ascii="Times New Roman" w:eastAsiaTheme="minorEastAsia" w:hAnsi="Times New Roman" w:cs="Times New Roman"/>
      <w:sz w:val="20"/>
      <w:szCs w:val="20"/>
    </w:rPr>
  </w:style>
  <w:style w:type="character" w:customStyle="1" w:styleId="CommentTextChar">
    <w:name w:val="Comment Text Char"/>
    <w:basedOn w:val="DefaultParagraphFont"/>
    <w:link w:val="CommentText"/>
    <w:uiPriority w:val="99"/>
    <w:semiHidden/>
    <w:rsid w:val="000A679E"/>
    <w:rPr>
      <w:rFonts w:ascii="Times New Roman" w:eastAsiaTheme="minorEastAsia"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A679E"/>
    <w:rPr>
      <w:b/>
      <w:bCs/>
    </w:rPr>
  </w:style>
  <w:style w:type="character" w:customStyle="1" w:styleId="CommentSubjectChar">
    <w:name w:val="Comment Subject Char"/>
    <w:basedOn w:val="CommentTextChar"/>
    <w:link w:val="CommentSubject"/>
    <w:uiPriority w:val="99"/>
    <w:semiHidden/>
    <w:rsid w:val="000A679E"/>
    <w:rPr>
      <w:b/>
      <w:bCs/>
    </w:rPr>
  </w:style>
  <w:style w:type="character" w:styleId="Strong">
    <w:name w:val="Strong"/>
    <w:uiPriority w:val="22"/>
    <w:qFormat/>
    <w:rsid w:val="000A679E"/>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hyperlink" Target="https://www.marketing91.com/bcg-matrix/" TargetMode="External"/><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5.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diss%20data%20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iss%20data%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bar"/>
        <c:grouping val="clustered"/>
        <c:ser>
          <c:idx val="0"/>
          <c:order val="0"/>
          <c:cat>
            <c:strRef>
              <c:f>Sheet1!$D$94:$D$101</c:f>
              <c:strCache>
                <c:ptCount val="8"/>
                <c:pt idx="0">
                  <c:v>Slowing down game play</c:v>
                </c:pt>
                <c:pt idx="1">
                  <c:v>Decreasing game variety</c:v>
                </c:pt>
                <c:pt idx="2">
                  <c:v>Removal of bonus features</c:v>
                </c:pt>
                <c:pt idx="3">
                  <c:v>Displaying time and day </c:v>
                </c:pt>
                <c:pt idx="4">
                  <c:v>Set time limit</c:v>
                </c:pt>
                <c:pt idx="5">
                  <c:v>Regular fixed breaks</c:v>
                </c:pt>
                <c:pt idx="6">
                  <c:v>Identify problem gamblers</c:v>
                </c:pt>
                <c:pt idx="7">
                  <c:v>Remove d/c transactions</c:v>
                </c:pt>
              </c:strCache>
            </c:strRef>
          </c:cat>
          <c:val>
            <c:numRef>
              <c:f>Sheet1!$E$94:$E$101</c:f>
              <c:numCache>
                <c:formatCode>General</c:formatCode>
                <c:ptCount val="8"/>
              </c:numCache>
            </c:numRef>
          </c:val>
          <c:extLst xmlns:c16r2="http://schemas.microsoft.com/office/drawing/2015/06/chart">
            <c:ext xmlns:c16="http://schemas.microsoft.com/office/drawing/2014/chart" uri="{C3380CC4-5D6E-409C-BE32-E72D297353CC}">
              <c16:uniqueId val="{00000000-C7A3-433D-9063-7B11F8993413}"/>
            </c:ext>
          </c:extLst>
        </c:ser>
        <c:ser>
          <c:idx val="1"/>
          <c:order val="1"/>
          <c:cat>
            <c:strRef>
              <c:f>Sheet1!$D$94:$D$101</c:f>
              <c:strCache>
                <c:ptCount val="8"/>
                <c:pt idx="0">
                  <c:v>Slowing down game play</c:v>
                </c:pt>
                <c:pt idx="1">
                  <c:v>Decreasing game variety</c:v>
                </c:pt>
                <c:pt idx="2">
                  <c:v>Removal of bonus features</c:v>
                </c:pt>
                <c:pt idx="3">
                  <c:v>Displaying time and day </c:v>
                </c:pt>
                <c:pt idx="4">
                  <c:v>Set time limit</c:v>
                </c:pt>
                <c:pt idx="5">
                  <c:v>Regular fixed breaks</c:v>
                </c:pt>
                <c:pt idx="6">
                  <c:v>Identify problem gamblers</c:v>
                </c:pt>
                <c:pt idx="7">
                  <c:v>Remove d/c transactions</c:v>
                </c:pt>
              </c:strCache>
            </c:strRef>
          </c:cat>
          <c:val>
            <c:numRef>
              <c:f>Sheet1!$F$94:$F$101</c:f>
              <c:numCache>
                <c:formatCode>General</c:formatCode>
                <c:ptCount val="8"/>
              </c:numCache>
            </c:numRef>
          </c:val>
          <c:extLst xmlns:c16r2="http://schemas.microsoft.com/office/drawing/2015/06/chart">
            <c:ext xmlns:c16="http://schemas.microsoft.com/office/drawing/2014/chart" uri="{C3380CC4-5D6E-409C-BE32-E72D297353CC}">
              <c16:uniqueId val="{00000001-C7A3-433D-9063-7B11F8993413}"/>
            </c:ext>
          </c:extLst>
        </c:ser>
        <c:ser>
          <c:idx val="2"/>
          <c:order val="2"/>
          <c:cat>
            <c:strRef>
              <c:f>Sheet1!$D$94:$D$101</c:f>
              <c:strCache>
                <c:ptCount val="8"/>
                <c:pt idx="0">
                  <c:v>Slowing down game play</c:v>
                </c:pt>
                <c:pt idx="1">
                  <c:v>Decreasing game variety</c:v>
                </c:pt>
                <c:pt idx="2">
                  <c:v>Removal of bonus features</c:v>
                </c:pt>
                <c:pt idx="3">
                  <c:v>Displaying time and day </c:v>
                </c:pt>
                <c:pt idx="4">
                  <c:v>Set time limit</c:v>
                </c:pt>
                <c:pt idx="5">
                  <c:v>Regular fixed breaks</c:v>
                </c:pt>
                <c:pt idx="6">
                  <c:v>Identify problem gamblers</c:v>
                </c:pt>
                <c:pt idx="7">
                  <c:v>Remove d/c transactions</c:v>
                </c:pt>
              </c:strCache>
            </c:strRef>
          </c:cat>
          <c:val>
            <c:numRef>
              <c:f>Sheet1!$G$94:$G$101</c:f>
              <c:numCache>
                <c:formatCode>General</c:formatCode>
                <c:ptCount val="8"/>
                <c:pt idx="0">
                  <c:v>68</c:v>
                </c:pt>
                <c:pt idx="1">
                  <c:v>28</c:v>
                </c:pt>
                <c:pt idx="2">
                  <c:v>92</c:v>
                </c:pt>
                <c:pt idx="3">
                  <c:v>2</c:v>
                </c:pt>
                <c:pt idx="4">
                  <c:v>42</c:v>
                </c:pt>
                <c:pt idx="5">
                  <c:v>8</c:v>
                </c:pt>
                <c:pt idx="6">
                  <c:v>86</c:v>
                </c:pt>
                <c:pt idx="7">
                  <c:v>88</c:v>
                </c:pt>
              </c:numCache>
            </c:numRef>
          </c:val>
          <c:extLst xmlns:c16r2="http://schemas.microsoft.com/office/drawing/2015/06/chart">
            <c:ext xmlns:c16="http://schemas.microsoft.com/office/drawing/2014/chart" uri="{C3380CC4-5D6E-409C-BE32-E72D297353CC}">
              <c16:uniqueId val="{00000002-C7A3-433D-9063-7B11F8993413}"/>
            </c:ext>
          </c:extLst>
        </c:ser>
        <c:shape val="box"/>
        <c:axId val="265240576"/>
        <c:axId val="265651328"/>
        <c:axId val="0"/>
      </c:bar3DChart>
      <c:catAx>
        <c:axId val="265240576"/>
        <c:scaling>
          <c:orientation val="minMax"/>
        </c:scaling>
        <c:axPos val="l"/>
        <c:numFmt formatCode="General" sourceLinked="0"/>
        <c:tickLblPos val="nextTo"/>
        <c:txPr>
          <a:bodyPr/>
          <a:lstStyle/>
          <a:p>
            <a:pPr>
              <a:defRPr lang="en-US"/>
            </a:pPr>
            <a:endParaRPr lang="en-US"/>
          </a:p>
        </c:txPr>
        <c:crossAx val="265651328"/>
        <c:crosses val="autoZero"/>
        <c:auto val="1"/>
        <c:lblAlgn val="ctr"/>
        <c:lblOffset val="100"/>
      </c:catAx>
      <c:valAx>
        <c:axId val="265651328"/>
        <c:scaling>
          <c:orientation val="minMax"/>
        </c:scaling>
        <c:axPos val="b"/>
        <c:majorGridlines/>
        <c:numFmt formatCode="General" sourceLinked="1"/>
        <c:tickLblPos val="nextTo"/>
        <c:txPr>
          <a:bodyPr/>
          <a:lstStyle/>
          <a:p>
            <a:pPr>
              <a:defRPr lang="en-US"/>
            </a:pPr>
            <a:endParaRPr lang="en-US"/>
          </a:p>
        </c:txPr>
        <c:crossAx val="265240576"/>
        <c:crosses val="autoZero"/>
        <c:crossBetween val="between"/>
      </c:valAx>
    </c:plotArea>
    <c:plotVisOnly val="1"/>
    <c:dispBlanksAs val="gap"/>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4"/>
  <c:chart>
    <c:view3D>
      <c:rAngAx val="1"/>
    </c:view3D>
    <c:plotArea>
      <c:layout/>
      <c:bar3DChart>
        <c:barDir val="bar"/>
        <c:grouping val="clustered"/>
        <c:ser>
          <c:idx val="0"/>
          <c:order val="0"/>
          <c:cat>
            <c:strRef>
              <c:f>Sheet1!$A$94:$A$101</c:f>
              <c:strCache>
                <c:ptCount val="8"/>
                <c:pt idx="0">
                  <c:v>Slowing down game play</c:v>
                </c:pt>
                <c:pt idx="1">
                  <c:v>Decreasing game variety</c:v>
                </c:pt>
                <c:pt idx="2">
                  <c:v>Removal of bonus features</c:v>
                </c:pt>
                <c:pt idx="3">
                  <c:v>Displaying time and day </c:v>
                </c:pt>
                <c:pt idx="4">
                  <c:v>Set time limit</c:v>
                </c:pt>
                <c:pt idx="5">
                  <c:v>Regular fixed breaks</c:v>
                </c:pt>
                <c:pt idx="6">
                  <c:v>Identify problem gamblers</c:v>
                </c:pt>
                <c:pt idx="7">
                  <c:v>Remove d/c transactions</c:v>
                </c:pt>
              </c:strCache>
            </c:strRef>
          </c:cat>
          <c:val>
            <c:numRef>
              <c:f>Sheet1!$B$94:$B$101</c:f>
              <c:numCache>
                <c:formatCode>General</c:formatCode>
                <c:ptCount val="8"/>
                <c:pt idx="0">
                  <c:v>24</c:v>
                </c:pt>
                <c:pt idx="1">
                  <c:v>72</c:v>
                </c:pt>
                <c:pt idx="2">
                  <c:v>8</c:v>
                </c:pt>
                <c:pt idx="3">
                  <c:v>28</c:v>
                </c:pt>
                <c:pt idx="4">
                  <c:v>52</c:v>
                </c:pt>
                <c:pt idx="5">
                  <c:v>92</c:v>
                </c:pt>
                <c:pt idx="6">
                  <c:v>14</c:v>
                </c:pt>
                <c:pt idx="7">
                  <c:v>10</c:v>
                </c:pt>
              </c:numCache>
            </c:numRef>
          </c:val>
          <c:extLst xmlns:c16r2="http://schemas.microsoft.com/office/drawing/2015/06/chart">
            <c:ext xmlns:c16="http://schemas.microsoft.com/office/drawing/2014/chart" uri="{C3380CC4-5D6E-409C-BE32-E72D297353CC}">
              <c16:uniqueId val="{00000000-A0C3-4EDD-98AE-D64BBF5F7112}"/>
            </c:ext>
          </c:extLst>
        </c:ser>
        <c:shape val="box"/>
        <c:axId val="217148032"/>
        <c:axId val="217227648"/>
        <c:axId val="0"/>
      </c:bar3DChart>
      <c:catAx>
        <c:axId val="217148032"/>
        <c:scaling>
          <c:orientation val="minMax"/>
        </c:scaling>
        <c:axPos val="l"/>
        <c:numFmt formatCode="General" sourceLinked="0"/>
        <c:tickLblPos val="nextTo"/>
        <c:txPr>
          <a:bodyPr/>
          <a:lstStyle/>
          <a:p>
            <a:pPr>
              <a:defRPr lang="en-US"/>
            </a:pPr>
            <a:endParaRPr lang="en-US"/>
          </a:p>
        </c:txPr>
        <c:crossAx val="217227648"/>
        <c:crosses val="autoZero"/>
        <c:auto val="1"/>
        <c:lblAlgn val="ctr"/>
        <c:lblOffset val="100"/>
      </c:catAx>
      <c:valAx>
        <c:axId val="217227648"/>
        <c:scaling>
          <c:orientation val="minMax"/>
        </c:scaling>
        <c:axPos val="b"/>
        <c:majorGridlines/>
        <c:numFmt formatCode="General" sourceLinked="1"/>
        <c:tickLblPos val="nextTo"/>
        <c:txPr>
          <a:bodyPr/>
          <a:lstStyle/>
          <a:p>
            <a:pPr>
              <a:defRPr lang="en-US"/>
            </a:pPr>
            <a:endParaRPr lang="en-US"/>
          </a:p>
        </c:txPr>
        <c:crossAx val="217148032"/>
        <c:crosses val="autoZero"/>
        <c:crossBetween val="between"/>
      </c:valAx>
    </c:plotArea>
    <c:plotVisOnly val="1"/>
    <c:dispBlanksAs val="gap"/>
  </c:chart>
  <c:externalData r:id="rId1"/>
</c:chartSpace>
</file>

<file path=word/theme/theme1.xml><?xml version="1.0" encoding="utf-8"?>
<a:theme xmlns:a="http://schemas.openxmlformats.org/drawingml/2006/main" name="Θέμα του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Joh17</b:Tag>
    <b:SourceType>Report</b:SourceType>
    <b:Guid>{44990792-EFEB-4CA0-A656-642A6F223083}</b:Guid>
    <b:Author>
      <b:Author>
        <b:NameList>
          <b:Person>
            <b:Last>John</b:Last>
            <b:First>Bev</b:First>
          </b:Person>
          <b:Person>
            <b:Last>Holloway</b:Last>
            <b:First>Katy</b:First>
          </b:Person>
          <b:Person>
            <b:Last>Davies</b:Last>
            <b:First>Nyle</b:First>
          </b:Person>
          <b:Person>
            <b:Last>May</b:Last>
            <b:First>Tom</b:First>
          </b:Person>
          <b:Person>
            <b:Last>Buhociu</b:Last>
            <b:First>Marian</b:First>
          </b:Person>
          <b:Person>
            <b:Last>Roderique-Davies</b:Last>
            <b:First>Gareth</b:First>
          </b:Person>
        </b:NameList>
      </b:Author>
    </b:Author>
    <b:Title>An Investigation of the Social Impact of Problem Gambling in Wales</b:Title>
    <b:Year>2017</b:Year>
    <b:Publisher>University of South Wales</b:Publisher>
    <b:City>Cardiff</b:City>
    <b:RefOrder>1</b:RefOrder>
  </b:Source>
  <b:Source>
    <b:Tag>Bna17</b:Tag>
    <b:SourceType>Book</b:SourceType>
    <b:Guid>{6A3560FB-B2A8-4496-98B0-9A579F0FE674}</b:Guid>
    <b:Author>
      <b:Author>
        <b:NameList>
          <b:Person>
            <b:Last>Banks</b:Last>
            <b:First>James</b:First>
          </b:Person>
        </b:NameList>
      </b:Author>
    </b:Author>
    <b:Title>Gambling, Crime and Society</b:Title>
    <b:Year>2017</b:Year>
    <b:City>Berlin</b:City>
    <b:Publisher>Springer</b:Publisher>
    <b:RefOrder>2</b:RefOrder>
  </b:Source>
  <b:Source>
    <b:Tag>Gam18</b:Tag>
    <b:SourceType>InternetSite</b:SourceType>
    <b:Guid>{E92FFAA6-51B1-43D2-ABA9-67195C93A083}</b:Guid>
    <b:Author>
      <b:Author>
        <b:NameList>
          <b:Person>
            <b:Last>Gambling Commission</b:Last>
          </b:Person>
        </b:NameList>
      </b:Author>
    </b:Author>
    <b:Title>B2 gaming machines</b:Title>
    <b:Year>2018</b:Year>
    <b:InternetSiteTitle>Gambling Commission</b:InternetSiteTitle>
    <b:Month>01</b:Month>
    <b:Day>01</b:Day>
    <b:YearAccessed>18</b:YearAccessed>
    <b:MonthAccessed>04</b:MonthAccessed>
    <b:DayAccessed>11</b:DayAccessed>
    <b:URL>http://www.gamblingcommission.gov.uk/for-gambling-businesses/Compliance/Sector-specific-compliance/Arcades-and-machines/Gaming-machine-categories/B2-gaming-machines</b:URL>
    <b:RefOrder>3</b:RefOrder>
  </b:Source>
  <b:Source>
    <b:Tag>Woo17</b:Tag>
    <b:SourceType>Report</b:SourceType>
    <b:Guid>{D2631596-524C-4194-B63B-09B96F8E73A4}</b:Guid>
    <b:Author>
      <b:Author>
        <b:NameList>
          <b:Person>
            <b:Last>Woodhouse</b:Last>
            <b:First>John</b:First>
          </b:Person>
        </b:NameList>
      </b:Author>
    </b:Author>
    <b:Title>Fixed odds betting terminals</b:Title>
    <b:Year>2017</b:Year>
    <b:City>London</b:City>
    <b:Publisher>House Of Commons Briefer</b:Publisher>
    <b:RefOrder>4</b:RefOrder>
  </b:Source>
  <b:Source>
    <b:Tag>Zoe17</b:Tag>
    <b:SourceType>InternetSite</b:SourceType>
    <b:Guid>{26029E6A-06FF-46B2-BD22-0D4F3DEB7A31}</b:Guid>
    <b:Author>
      <b:Author>
        <b:NameList>
          <b:Person>
            <b:Last>Drewett</b:Last>
            <b:First>Zoe</b:First>
          </b:Person>
        </b:NameList>
      </b:Author>
    </b:Author>
    <b:Title>maximum-stake-on-crack-cocaine-fixed-odds-betting-machines-slashed-704081</b:Title>
    <b:Year>2017</b:Year>
    <b:InternetSiteTitle>metro</b:InternetSiteTitle>
    <b:Month>October</b:Month>
    <b:Day>31</b:Day>
    <b:YearAccessed>10</b:YearAccessed>
    <b:MonthAccessed>November</b:MonthAccessed>
    <b:DayAccessed>2017</b:DayAccessed>
    <b:URL>http://metro.co.uk/2017/10/31/maximum-stake-on-crack-cocaine-fixed-odds-betting-machines-slashed-7040815/</b:URL>
    <b:RefOrder>5</b:RefOrder>
  </b:Source>
  <b:Source>
    <b:Tag>Har17</b:Tag>
    <b:SourceType>Report</b:SourceType>
    <b:Guid>{9298A1FC-6335-4659-A2C3-DF88D243E05F}</b:Guid>
    <b:Author>
      <b:Author>
        <b:NameList>
          <b:Person>
            <b:Last>Harris</b:Last>
            <b:First>Carolyn</b:First>
          </b:Person>
        </b:NameList>
      </b:Author>
    </b:Author>
    <b:Title>MPs Launch Report into Fixed Odds Betting Terminals</b:Title>
    <b:Year>2017</b:Year>
    <b:Publisher>Labour Party</b:Publisher>
    <b:City>Swansea</b:City>
    <b:RefOrder>6</b:RefOrder>
  </b:Source>
  <b:Source>
    <b:Tag>Tom17</b:Tag>
    <b:SourceType>Interview</b:SourceType>
    <b:Guid>{32C0E411-C1E5-4128-AE2B-B3D6F97C968F}</b:Guid>
    <b:Author>
      <b:Interviewee>
        <b:NameList>
          <b:Person>
            <b:Last>Watson</b:Last>
            <b:First>Tom</b:First>
          </b:Person>
        </b:NameList>
      </b:Interviewee>
      <b:Interviewer>
        <b:NameList>
          <b:Person>
            <b:Last>Wood</b:Last>
            <b:First>Greg</b:First>
          </b:Person>
        </b:NameList>
      </b:Interviewer>
    </b:Author>
    <b:Title>Government Proposal. FOBT Crackdown</b:Title>
    <b:Year>2017</b:Year>
    <b:Month>October</b:Month>
    <b:Day>31</b:Day>
    <b:RefOrder>7</b:RefOrder>
  </b:Source>
  <b:Source>
    <b:Tag>Sno16</b:Tag>
    <b:SourceType>Report</b:SourceType>
    <b:Guid>{D913DE0B-FEBB-4FA3-B041-2EE8548953DA}</b:Guid>
    <b:Title>Fixed-odds betting terminals</b:Title>
    <b:Year>2016</b:Year>
    <b:City>London</b:City>
    <b:Publisher>International Energy Agency</b:Publisher>
    <b:Author>
      <b:Author>
        <b:NameList>
          <b:Person>
            <b:Last>Snowdon</b:Last>
            <b:First>C</b:First>
          </b:Person>
        </b:NameList>
      </b:Author>
    </b:Author>
    <b:JournalName>International Energy Agency</b:JournalName>
    <b:RefOrder>8</b:RefOrder>
  </b:Source>
  <b:Source>
    <b:Tag>Gam17</b:Tag>
    <b:SourceType>Report</b:SourceType>
    <b:Guid>{8F3E80F7-F46C-46E3-A010-888D1963C4D4}</b:Guid>
    <b:Author>
      <b:Author>
        <b:NameList>
          <b:Person>
            <b:Last>Gambling Commission</b:Last>
          </b:Person>
        </b:NameList>
      </b:Author>
    </b:Author>
    <b:Title>Industry statistics</b:Title>
    <b:Year>2017</b:Year>
    <b:Publisher>Uk Gambling Commission</b:Publisher>
    <b:City>London</b:City>
    <b:RefOrder>9</b:RefOrder>
  </b:Source>
  <b:Source>
    <b:Tag>BBC01</b:Tag>
    <b:SourceType>InternetSite</b:SourceType>
    <b:Guid>{BB2B1F0D-72E1-463F-9EF9-4773D0C08AAD}</b:Guid>
    <b:Title>High Stakes: Problem gambling</b:Title>
    <b:Year>2001</b:Year>
    <b:Author>
      <b:Author>
        <b:NameList>
          <b:Person>
            <b:Last>BBC</b:Last>
          </b:Person>
        </b:NameList>
      </b:Author>
    </b:Author>
    <b:YearAccessed>2017</b:YearAccessed>
    <b:MonthAccessed>11</b:MonthAccessed>
    <b:DayAccessed>15</b:DayAccessed>
    <b:URL>http://news.bbc.co.uk/1/hi/audiovideo/programmes/high_stakes/1138226.stm</b:URL>
    <b:RefOrder>10</b:RefOrder>
  </b:Source>
  <b:Source>
    <b:Tag>Gam16</b:Tag>
    <b:SourceType>JournalArticle</b:SourceType>
    <b:Guid>{8ACA7519-D5DA-4622-AAEC-0A93D9F6F8DD}</b:Guid>
    <b:Title>The Public Stigma of Problem Gambling</b:Title>
    <b:Year>2016</b:Year>
    <b:Author>
      <b:Author>
        <b:NameList>
          <b:Person>
            <b:Last>Gainsbury</b:Last>
            <b:First>S</b:First>
          </b:Person>
        </b:NameList>
      </b:Author>
    </b:Author>
    <b:JournalName>Journal of Gambling Studies</b:JournalName>
    <b:Pages>847-864</b:Pages>
    <b:Volume>2</b:Volume>
    <b:Issue>32</b:Issue>
    <b:RefOrder>11</b:RefOrder>
  </b:Source>
  <b:Source>
    <b:Tag>DrG06</b:Tag>
    <b:SourceType>Report</b:SourceType>
    <b:Guid>{C4881D58-8CDE-4096-803C-564B232C8246}</b:Guid>
    <b:Title>Research on the Social Impact of Gambling</b:Title>
    <b:Year>2006</b:Year>
    <b:City>Glasgow</b:City>
    <b:Publisher>Scottish Executive Social Research </b:Publisher>
    <b:JournalName>Scottish Executive Social Research</b:JournalName>
    <b:Pages>10</b:Pages>
    <b:Author>
      <b:Author>
        <b:NameList>
          <b:Person>
            <b:Last>Reith</b:Last>
            <b:First>Dr</b:First>
            <b:Middle>Gerda</b:Middle>
          </b:Person>
        </b:NameList>
      </b:Author>
    </b:Author>
    <b:RefOrder>12</b:RefOrder>
  </b:Source>
  <b:Source>
    <b:Tag>Tho16</b:Tag>
    <b:SourceType>Report</b:SourceType>
    <b:Guid>{F8BB27A9-7726-4571-85A8-D77FA7258645}</b:Guid>
    <b:Author>
      <b:Author>
        <b:NameList>
          <b:Person>
            <b:Last>Thorley</b:Last>
            <b:First>Craig</b:First>
          </b:Person>
          <b:Person>
            <b:Last>Stirling</b:Last>
            <b:First>Alfie</b:First>
          </b:Person>
          <b:Person>
            <b:Last>Huynh</b:Last>
            <b:First>Edison</b:First>
          </b:Person>
        </b:NameList>
      </b:Author>
    </b:Author>
    <b:Title>The cost to government associated with problem gambling</b:Title>
    <b:Year>2016</b:Year>
    <b:Publisher>Public Policy Research</b:Publisher>
    <b:City>London</b:City>
    <b:RefOrder>13</b:RefOrder>
  </b:Source>
  <b:Source>
    <b:Tag>Cul08</b:Tag>
    <b:SourceType>InternetSite</b:SourceType>
    <b:Guid>{A8D3FBC3-E04E-4F4A-8B91-277A606450D2}</b:Guid>
    <b:Title>Gambling committee chief opposes betting machines</b:Title>
    <b:Year>2008</b:Year>
    <b:Author>
      <b:Author>
        <b:NameList>
          <b:Person>
            <b:Last>Cullen</b:Last>
            <b:First>Paul</b:First>
          </b:Person>
        </b:NameList>
      </b:Author>
    </b:Author>
    <b:YearAccessed>2017</b:YearAccessed>
    <b:MonthAccessed>November</b:MonthAccessed>
    <b:DayAccessed>03</b:DayAccessed>
    <b:URL>https://www.irishtimes.com/news/gambling-committee-chief-opposes-betting-machines-1.898604</b:URL>
    <b:RefOrder>14</b:RefOrder>
  </b:Source>
  <b:Source>
    <b:Tag>Pom17</b:Tag>
    <b:SourceType>Book</b:SourceType>
    <b:Guid>{94246A42-487E-4BC6-B6B0-358B2155513F}</b:Guid>
    <b:Author>
      <b:Author>
        <b:NameList>
          <b:Person>
            <b:Last>Donnalyn</b:Last>
            <b:First>Pompper</b:First>
          </b:Person>
        </b:NameList>
      </b:Author>
    </b:Author>
    <b:Title>Corporate Social Responsibility, Sustainability, and Ethical Public Relations</b:Title>
    <b:Year>2017</b:Year>
    <b:City>New York</b:City>
    <b:Publisher>Emerald Group Publishing</b:Publisher>
    <b:RefOrder>15</b:RefOrder>
  </b:Source>
  <b:Source>
    <b:Tag>Str15</b:Tag>
    <b:SourceType>BookSection</b:SourceType>
    <b:Guid>{290A8D1B-1774-4442-88AC-D4DFAE65E7E8}</b:Guid>
    <b:Author>
      <b:Author>
        <b:NameList>
          <b:Person>
            <b:Last>Strauss</b:Last>
            <b:First>J</b:First>
            <b:Middle>R</b:Middle>
          </b:Person>
        </b:NameList>
      </b:Author>
      <b:BookAuthor>
        <b:NameList>
          <b:Person>
            <b:Last>Strauss</b:Last>
            <b:First>J</b:First>
            <b:Middle>R</b:Middle>
          </b:Person>
        </b:NameList>
      </b:BookAuthor>
    </b:Author>
    <b:Title>Challenging Corporate Responsiblity </b:Title>
    <b:Year>2015</b:Year>
    <b:City>New York</b:City>
    <b:Publisher>Routledge</b:Publisher>
    <b:Pages>164-173</b:Pages>
    <b:BookTitle>Challenging Corporate Responsiblity </b:BookTitle>
    <b:RefOrder>16</b:RefOrder>
  </b:Source>
  <b:Source>
    <b:Tag>Ros98</b:Tag>
    <b:SourceType>Book</b:SourceType>
    <b:Guid>{3E501B70-A76A-4AA9-9B7D-D4158F0C3AA3}</b:Guid>
    <b:Title>Blackjack and the Law</b:Title>
    <b:JournalName>RGE Publication</b:JournalName>
    <b:Year>1998</b:Year>
    <b:City>Oakland</b:City>
    <b:Publisher>RGE Publishers</b:Publisher>
    <b:Edition>1st</b:Edition>
    <b:Author>
      <b:Author>
        <b:NameList>
          <b:Person>
            <b:Last>Rose</b:Last>
            <b:First>Nelson</b:First>
          </b:Person>
          <b:Person>
            <b:Last>Loeb</b:Last>
            <b:First>Robert</b:First>
          </b:Person>
        </b:NameList>
      </b:Author>
    </b:Author>
    <b:RefOrder>17</b:RefOrder>
  </b:Source>
  <b:Source>
    <b:Tag>Tho01</b:Tag>
    <b:SourceType>Book</b:SourceType>
    <b:Guid>{FDFEA18D-2A2D-4264-8EF3-6BCC5D5C58EE}</b:Guid>
    <b:Author>
      <b:Author>
        <b:NameList>
          <b:Person>
            <b:Last>Thompson</b:Last>
            <b:First>William</b:First>
            <b:Middle>Norman</b:Middle>
          </b:Person>
        </b:NameList>
      </b:Author>
    </b:Author>
    <b:Title>Gambling in America: An Encyclopedia of History, Issues, and Society</b:Title>
    <b:Year>2001</b:Year>
    <b:City>Las Vegas</b:City>
    <b:Publisher>ABC- CLIO</b:Publisher>
    <b:RefOrder>18</b:RefOrder>
  </b:Source>
  <b:Source>
    <b:Tag>Mun96</b:Tag>
    <b:SourceType>Book</b:SourceType>
    <b:Guid>{06921600-4913-4822-A744-9E6C7472EDC2}</b:Guid>
    <b:Author>
      <b:Author>
        <b:NameList>
          <b:Person>
            <b:Last>Munting</b:Last>
            <b:First>Roger</b:First>
          </b:Person>
        </b:NameList>
      </b:Author>
    </b:Author>
    <b:Title>An Economic and Social History of Gambling in Britain and the USA</b:Title>
    <b:Year>1996</b:Year>
    <b:City>Manchester</b:City>
    <b:Publisher>Manchester University Press</b:Publisher>
    <b:RefOrder>19</b:RefOrder>
  </b:Source>
  <b:Source>
    <b:Tag>Vol00</b:Tag>
    <b:SourceType>JournalArticle</b:SourceType>
    <b:Guid>{5AB1E189-DDEA-4BC1-BB2B-5D6CDF8333CD}</b:Guid>
    <b:Author>
      <b:Author>
        <b:NameList>
          <b:Person>
            <b:Last>Volberg</b:Last>
            <b:First>Rachel</b:First>
          </b:Person>
        </b:NameList>
      </b:Author>
    </b:Author>
    <b:Title>The future of gambling in the United Kingdom</b:Title>
    <b:Year>2000</b:Year>
    <b:JournalName>British Medical Journal</b:JournalName>
    <b:Pages>1556</b:Pages>
    <b:Volume>320</b:Volume>
    <b:Issue>7249</b:Issue>
    <b:RefOrder>20</b:RefOrder>
  </b:Source>
  <b:Source>
    <b:Tag>Sha16</b:Tag>
    <b:SourceType>Report</b:SourceType>
    <b:Guid>{54C76083-2F07-4C64-B2D1-B049169966E2}</b:Guid>
    <b:Author>
      <b:Author>
        <b:NameList>
          <b:Person>
            <b:Last>Shaw</b:Last>
            <b:First>Richard</b:First>
            <b:Middle>James</b:Middle>
          </b:Person>
        </b:NameList>
      </b:Author>
    </b:Author>
    <b:Title>Critical Analysis of Corporate Social Responsibility within the UK Gambling Industry</b:Title>
    <b:Year>2016</b:Year>
    <b:City>Swansea</b:City>
    <b:Publisher>UWTSD</b:Publisher>
    <b:RefOrder>21</b:RefOrder>
  </b:Source>
  <b:Source>
    <b:Tag>Don11</b:Tag>
    <b:SourceType>DocumentFromInternetSite</b:SourceType>
    <b:Guid>{0ABA00FA-1881-4CE4-BCDA-FA0AD8F890FC}</b:Guid>
    <b:Author>
      <b:Author>
        <b:NameList>
          <b:Person>
            <b:Last>Donoughue</b:Last>
            <b:First>Steve</b:First>
          </b:Person>
        </b:NameList>
      </b:Author>
    </b:Author>
    <b:Title>the-normalisation-of-gambling-in-the-uk</b:Title>
    <b:Year>2011</b:Year>
    <b:InternetSiteTitle>thersa</b:InternetSiteTitle>
    <b:Month>05</b:Month>
    <b:Day>06</b:Day>
    <b:YearAccessed>2018</b:YearAccessed>
    <b:MonthAccessed>02</b:MonthAccessed>
    <b:DayAccessed>14</b:DayAccessed>
    <b:URL>https://www.thersa.org/discover/publications-and-articles/rsa-comment/2011/05/the-normalisation-of-gambling-in-the-uk</b:URL>
    <b:RefOrder>22</b:RefOrder>
  </b:Source>
  <b:Source>
    <b:Tag>Cam99</b:Tag>
    <b:SourceType>JournalArticle</b:SourceType>
    <b:Guid>{E2EE55D5-601F-4401-A638-A3502CD6FB24}</b:Guid>
    <b:Author>
      <b:Author>
        <b:NameList>
          <b:Person>
            <b:Last>Carroll</b:Last>
            <b:First>Archie</b:First>
          </b:Person>
        </b:NameList>
      </b:Author>
    </b:Author>
    <b:Title>The pyramid of corporate social responsibility: Toward the moral management of organizational stakeholders</b:Title>
    <b:Year>1991</b:Year>
    <b:Publisher>Business and Society</b:Publisher>
    <b:JournalName>Business horizons</b:JournalName>
    <b:Pages>39-48</b:Pages>
    <b:RefOrder>23</b:RefOrder>
  </b:Source>
  <b:Source>
    <b:Tag>Tor10</b:Tag>
    <b:SourceType>Book</b:SourceType>
    <b:Guid>{4E8B2C70-38A2-4613-A453-D688AF5DF035}</b:Guid>
    <b:Author>
      <b:Author>
        <b:NameList>
          <b:Person>
            <b:Last>Torkildsen</b:Last>
            <b:First>George</b:First>
          </b:Person>
        </b:NameList>
      </b:Author>
    </b:Author>
    <b:Title>Torkildsen's Sport and Leisure Management</b:Title>
    <b:Year>2010</b:Year>
    <b:City>Taylor &amp; Francis</b:City>
    <b:Publisher>Sheffield</b:Publisher>
    <b:RefOrder>24</b:RefOrder>
  </b:Source>
  <b:Source>
    <b:Tag>Ano18</b:Tag>
    <b:SourceType>InternetSite</b:SourceType>
    <b:Guid>{E0B9C22E-26D9-4DA6-8B36-83879D989C33}</b:Guid>
    <b:Author>
      <b:Author>
        <b:NameList>
          <b:Person>
            <b:Last>Anon</b:Last>
          </b:Person>
        </b:NameList>
      </b:Author>
    </b:Author>
    <b:Title>the-structure-of-the-greyhound-racing-industry/the-money-makers</b:Title>
    <b:Year>2018</b:Year>
    <b:InternetSiteTitle>greytexploitations</b:InternetSiteTitle>
    <b:Month>01</b:Month>
    <b:Day>14</b:Day>
    <b:YearAccessed>18</b:YearAccessed>
    <b:MonthAccessed>03</b:MonthAccessed>
    <b:DayAccessed>01</b:DayAccessed>
    <b:URL>http://greytexploitations.com/the-structure-of-the-greyhound-racing-industry/the-money-makers/</b:URL>
    <b:RefOrder>25</b:RefOrder>
  </b:Source>
  <b:Source>
    <b:Tag>Dav17</b:Tag>
    <b:SourceType>DocumentFromInternetSite</b:SourceType>
    <b:Guid>{892E3827-58E4-422E-8431-FC9BDD74A281}</b:Guid>
    <b:Author>
      <b:Author>
        <b:NameList>
          <b:Person>
            <b:Last>Davies</b:Last>
            <b:First>Rob</b:First>
          </b:Person>
        </b:NameList>
      </b:Author>
    </b:Author>
    <b:Title>uk-gamblers-fobt-dcms-losses</b:Title>
    <b:InternetSiteTitle>theguardian</b:InternetSiteTitle>
    <b:Year>2017</b:Year>
    <b:Month>05</b:Month>
    <b:Day>25</b:Day>
    <b:YearAccessed>18</b:YearAccessed>
    <b:MonthAccessed>02</b:MonthAccessed>
    <b:DayAccessed>27</b:DayAccessed>
    <b:URL>https://www.theguardian.com/society/2017/may/25/uk-gamblers-fobt-dcms-losses</b:URL>
    <b:RefOrder>26</b:RefOrder>
  </b:Source>
  <b:Source>
    <b:Tag>Gal18</b:Tag>
    <b:SourceType>InternetSite</b:SourceType>
    <b:Guid>{E01C9A9B-30C0-4040-ABBE-43D5DBAB5796}</b:Guid>
    <b:Author>
      <b:Author>
        <b:NameList>
          <b:Person>
            <b:Last>Coral</b:Last>
            <b:First>Gala</b:First>
          </b:Person>
        </b:NameList>
      </b:Author>
    </b:Author>
    <b:Title>corporate-social-responsibility</b:Title>
    <b:Year>2018</b:Year>
    <b:InternetSiteTitle>galacoralinteractive</b:InternetSiteTitle>
    <b:Month>01</b:Month>
    <b:Day>01</b:Day>
    <b:YearAccessed>2018</b:YearAccessed>
    <b:MonthAccessed>02</b:MonthAccessed>
    <b:DayAccessed>06</b:DayAccessed>
    <b:URL>http://www.galacoralinteractive.com/corporate-social-responsibility/</b:URL>
    <b:RefOrder>27</b:RefOrder>
  </b:Source>
  <b:Source>
    <b:Tag>Gri18</b:Tag>
    <b:SourceType>Report</b:SourceType>
    <b:Guid>{2DEC55E0-B116-46B3-8CC4-EA25B5B563E9}</b:Guid>
    <b:Author>
      <b:Author>
        <b:NameList>
          <b:Person>
            <b:Last>Griffiths</b:Last>
            <b:First>Mark</b:First>
          </b:Person>
        </b:NameList>
      </b:Author>
    </b:Author>
    <b:Title>Should virtual roulette machines be banned from high street bookmakers?</b:Title>
    <b:Year>2018</b:Year>
    <b:Publisher>Word Press</b:Publisher>
    <b:City>Nottingham</b:City>
    <b:RefOrder>28</b:RefOrder>
  </b:Source>
  <b:Source>
    <b:Tag>Gri15</b:Tag>
    <b:SourceType>Report</b:SourceType>
    <b:Guid>{6A40EADA-74F6-4C9B-8D50-D4702971D08E}</b:Guid>
    <b:Author>
      <b:Author>
        <b:NameList>
          <b:Person>
            <b:Last>Griffiths</b:Last>
            <b:First>Mark</b:First>
          </b:Person>
        </b:NameList>
      </b:Author>
    </b:Author>
    <b:Title>Has problem gambling in Great Britain decreased?</b:Title>
    <b:Year>2015</b:Year>
    <b:Publisher>Word Press</b:Publisher>
    <b:City>Nottingham</b:City>
    <b:RefOrder>29</b:RefOrder>
  </b:Source>
  <b:Source>
    <b:Tag>Fab14</b:Tag>
    <b:SourceType>Report</b:SourceType>
    <b:Guid>{0690D821-C852-482E-B1FD-FD4F0CA45A66}</b:Guid>
    <b:Author>
      <b:Author>
        <b:NameList>
          <b:Person>
            <b:Last>Fabricatore</b:Last>
            <b:First>Carlo</b:First>
          </b:Person>
        </b:NameList>
      </b:Author>
    </b:Author>
    <b:Title>Gameplay and game mechanics design</b:Title>
    <b:Year>2014</b:Year>
    <b:Publisher>OECD</b:Publisher>
    <b:City>London</b:City>
    <b:RefOrder>30</b:RefOrder>
  </b:Source>
  <b:Source>
    <b:Tag>Ger18</b:Tag>
    <b:SourceType>InternetSite</b:SourceType>
    <b:Guid>{4FB76F33-B652-420A-A4CC-7F03AB23A69A}</b:Guid>
    <b:Author>
      <b:Author>
        <b:NameList>
          <b:Person>
            <b:Last>Gerrard</b:Last>
            <b:First>Bradley</b:First>
          </b:Person>
        </b:NameList>
      </b:Author>
    </b:Author>
    <b:Title>gvc-warns-ladbrokes-closures-betting-machine-stakes-slashed</b:Title>
    <b:InternetSiteTitle>telegraph</b:InternetSiteTitle>
    <b:Year>2018</b:Year>
    <b:Month>03</b:Month>
    <b:Day>09</b:Day>
    <b:URL>https://www.telegraph.co.uk/business/2018/03/09/gvc-warns-ladbrokes-closures-betting-machine-stakes-slashed/</b:URL>
    <b:RefOrder>31</b:RefOrder>
  </b:Source>
  <b:Source>
    <b:Tag>Str18</b:Tag>
    <b:SourceType>DocumentFromInternetSite</b:SourceType>
    <b:Guid>{D34FB14A-51EF-4232-882F-3C56F0DF9E50}</b:Guid>
    <b:Author>
      <b:Author>
        <b:NameList>
          <b:Person>
            <b:Last>Streeter</b:Last>
            <b:First>Joe</b:First>
          </b:Person>
        </b:NameList>
      </b:Author>
    </b:Author>
    <b:Title>abb-dismisses-latest-fobt-report-flawed</b:Title>
    <b:InternetSiteTitle>sbcnews.co.uk</b:InternetSiteTitle>
    <b:Year>2018</b:Year>
    <b:Month>01</b:Month>
    <b:Day>12</b:Day>
    <b:YearAccessed>18</b:YearAccessed>
    <b:MonthAccessed>02</b:MonthAccessed>
    <b:DayAccessed>26</b:DayAccessed>
    <b:URL>https://www.sbcnews.co.uk/retail/2018/01/12/abb-dismisses-latest-fobt-report-flawed/</b:URL>
    <b:RefOrder>32</b:RefOrder>
  </b:Source>
  <b:Source>
    <b:Tag>ABB17</b:Tag>
    <b:SourceType>InternetSite</b:SourceType>
    <b:Guid>{1C14E5A6-B627-45EF-B6C1-2F4E6D3F4DBD}</b:Guid>
    <b:Author>
      <b:Author>
        <b:NameList>
          <b:Person>
            <b:Last>ABB</b:Last>
          </b:Person>
        </b:NameList>
      </b:Author>
    </b:Author>
    <b:Title>new-evidence-from-the-gambling-commission-reveals-that-gamblers-risk-losing-more-money-and-are-playing-for-longer-on-gaming-machines-in-arcades-than-on-fobts</b:Title>
    <b:Year>2017</b:Year>
    <b:InternetSiteTitle>abb</b:InternetSiteTitle>
    <b:Month>02</b:Month>
    <b:Day>09</b:Day>
    <b:YearAccessed>2017</b:YearAccessed>
    <b:MonthAccessed>03</b:MonthAccessed>
    <b:DayAccessed>03</b:DayAccessed>
    <b:URL>https://www.abb.uk.com/new-evidence-from-the-gambling-commission-reveals-that-gamblers-risk-losing-more-money-and-are-playing-for-longer-on-gaming-machines-in-arcades-than-on-fobts/</b:URL>
    <b:RefOrder>33</b:RefOrder>
  </b:Source>
  <b:Source>
    <b:Tag>NHS16</b:Tag>
    <b:SourceType>InternetSite</b:SourceType>
    <b:Guid>{4B15AFDE-7D9E-481F-A8C6-DBF18AD0CF02}</b:Guid>
    <b:Author>
      <b:Author>
        <b:NameList>
          <b:Person>
            <b:Last>NHS</b:Last>
          </b:Person>
        </b:NameList>
      </b:Author>
    </b:Author>
    <b:Title>problem-gamblers-cost-uk-government-1-2-billion-per-year</b:Title>
    <b:Year>2016</b:Year>
    <b:InternetSiteTitle>cnwl</b:InternetSiteTitle>
    <b:Month>12</b:Month>
    <b:Day>12</b:Day>
    <b:YearAccessed>2018</b:YearAccessed>
    <b:MonthAccessed>03</b:MonthAccessed>
    <b:DayAccessed>07</b:DayAccessed>
    <b:URL>https://www.cnwl.nhs.uk/news/problem-gamblers-cost-uk-government-1-2-billion-per-year/</b:URL>
    <b:RefOrder>34</b:RefOrder>
  </b:Source>
  <b:Source>
    <b:Tag>Ger17</b:Tag>
    <b:SourceType>ArticleInAPeriodical</b:SourceType>
    <b:Guid>{BD928F03-D6AD-4773-9252-63BD4A03FDBC}</b:Guid>
    <b:Author>
      <b:Author>
        <b:NameList>
          <b:Person>
            <b:Last>Gerrard</b:Last>
            <b:First>Bradley</b:First>
          </b:Person>
        </b:NameList>
      </b:Author>
    </b:Author>
    <b:Title>High stakes as Government targets problem gambling</b:Title>
    <b:Year>2017</b:Year>
    <b:PeriodicalTitle>The Telegraph</b:PeriodicalTitle>
    <b:Month>11</b:Month>
    <b:Day>05</b:Day>
    <b:Pages>46</b:Pages>
    <b:RefOrder>35</b:RefOrder>
  </b:Source>
  <b:Source>
    <b:Tag>Fre84</b:Tag>
    <b:SourceType>JournalArticle</b:SourceType>
    <b:Guid>{D3BB43ED-3FFD-41EC-BBB5-63A866E48B31}</b:Guid>
    <b:Author>
      <b:Author>
        <b:NameList>
          <b:Person>
            <b:Last>Friedman</b:Last>
            <b:First>Milton</b:First>
          </b:Person>
        </b:NameList>
      </b:Author>
    </b:Author>
    <b:Title>The Social Responsibility of Business is to Increase its Profits</b:Title>
    <b:Year>1970</b:Year>
    <b:City>London</b:City>
    <b:Publisher>Harlow</b:Publisher>
    <b:JournalName>The New York Times Magazine</b:JournalName>
    <b:Pages>57</b:Pages>
    <b:RefOrder>36</b:RefOrder>
  </b:Source>
  <b:Source>
    <b:Tag>Mit83</b:Tag>
    <b:SourceType>Book</b:SourceType>
    <b:Guid>{FFAEFB9F-7573-4479-831B-E44C4EA4BA45}</b:Guid>
    <b:Author>
      <b:Author>
        <b:NameList>
          <b:Person>
            <b:Last>Mitroff</b:Last>
            <b:First>Ian</b:First>
          </b:Person>
        </b:NameList>
      </b:Author>
    </b:Author>
    <b:Title>Stakeholders of the organisational mind</b:Title>
    <b:Year>1983</b:Year>
    <b:Publisher>Jossey-bass</b:Publisher>
    <b:City>San Francisco</b:City>
    <b:RefOrder>37</b:RefOrder>
  </b:Source>
  <b:Source>
    <b:Tag>Pal05</b:Tag>
    <b:SourceType>JournalArticle</b:SourceType>
    <b:Guid>{59A9A554-9B60-4634-BCD5-9D3E352AB3E8}</b:Guid>
    <b:Author>
      <b:Author>
        <b:NameList>
          <b:Person>
            <b:Last>Palazzo</b:Last>
            <b:First>Guido</b:First>
          </b:Person>
          <b:Person>
            <b:Last>Richter</b:Last>
            <b:First>Ulf</b:First>
          </b:Person>
        </b:NameList>
      </b:Author>
    </b:Author>
    <b:Title>CSR business as usual. The case of the tobacco industry</b:Title>
    <b:Year>2005</b:Year>
    <b:JournalName>Journal of Business Ethics</b:JournalName>
    <b:Pages>387 - 400</b:Pages>
    <b:RefOrder>38</b:RefOrder>
  </b:Source>
  <b:Source>
    <b:Tag>Placeholder2</b:Tag>
    <b:SourceType>Book</b:SourceType>
    <b:Guid>{6263E8E0-B510-462E-B5F8-3DB666CA48D4}</b:Guid>
    <b:Author>
      <b:Author>
        <b:NameList>
          <b:Person>
            <b:Last>Freeman</b:Last>
            <b:First>R</b:First>
            <b:Middle>Edward</b:Middle>
          </b:Person>
        </b:NameList>
      </b:Author>
    </b:Author>
    <b:Title>Strategic Management: A Stakeholder Approach</b:Title>
    <b:Year>1984</b:Year>
    <b:City>London</b:City>
    <b:Publisher>Harlow</b:Publisher>
    <b:RefOrder>39</b:RefOrder>
  </b:Source>
  <b:Source>
    <b:Tag>Fre841</b:Tag>
    <b:SourceType>JournalArticle</b:SourceType>
    <b:Guid>{E0C51680-51E3-4327-9B98-248761A97E26}</b:Guid>
    <b:Author>
      <b:Author>
        <b:NameList>
          <b:Person>
            <b:Last>Freeman</b:Last>
            <b:First>Edward</b:First>
          </b:Person>
        </b:NameList>
      </b:Author>
    </b:Author>
    <b:Title>Stakeholder Theory</b:Title>
    <b:JournalName>Academy of Management</b:JournalName>
    <b:Year>1984</b:Year>
    <b:Pages>366-368</b:Pages>
    <b:RefOrder>40</b:RefOrder>
  </b:Source>
  <b:Source>
    <b:Tag>Ast17</b:Tag>
    <b:SourceType>JournalArticle</b:SourceType>
    <b:Guid>{31EAF772-745A-4301-B758-89CA8B173BFC}</b:Guid>
    <b:Author>
      <b:Author>
        <b:NameList>
          <b:Person>
            <b:Last>Astara</b:Last>
            <b:First>Olga</b:First>
            <b:Middle>Helen</b:Middle>
          </b:Person>
          <b:Person>
            <b:Last>Mitoula</b:Last>
            <b:First>Riodo</b:First>
          </b:Person>
          <b:Person>
            <b:Last>Eleni</b:Last>
            <b:First>Theodoropoulou</b:First>
          </b:Person>
        </b:NameList>
      </b:Author>
    </b:Author>
    <b:Title>Corporate Social Responsibility: A marketing tool and/or a factor for the promotion of sustainable development for companies?</b:Title>
    <b:Year>2017</b:Year>
    <b:JournalName>International Journal for Strategic Management</b:JournalName>
    <b:Pages>17</b:Pages>
    <b:RefOrder>41</b:RefOrder>
  </b:Source>
  <b:Source>
    <b:Tag>Cra08</b:Tag>
    <b:SourceType>Book</b:SourceType>
    <b:Guid>{EC75A525-1096-4C0A-B4B8-DB0EEFE7B6E6}</b:Guid>
    <b:Title>Corporate Social Responsibility</b:Title>
    <b:Year>2008</b:Year>
    <b:City>New York</b:City>
    <b:Publisher>Routledge</b:Publisher>
    <b:Author>
      <b:Author>
        <b:NameList>
          <b:Person>
            <b:Last>Crane</b:Last>
            <b:First>Andrew</b:First>
          </b:Person>
          <b:Person>
            <b:Last>Matten</b:Last>
            <b:First>Dirk</b:First>
          </b:Person>
          <b:Person>
            <b:Last>Spence</b:Last>
            <b:Middle>J</b:Middle>
            <b:First>Laura</b:First>
          </b:Person>
        </b:NameList>
      </b:Author>
    </b:Author>
    <b:RefOrder>42</b:RefOrder>
  </b:Source>
  <b:Source>
    <b:Tag>Cam13</b:Tag>
    <b:SourceType>JournalArticle</b:SourceType>
    <b:Guid>{EB35EA05-5F50-446B-897F-5E1FD93E473F}</b:Guid>
    <b:Author>
      <b:Author>
        <b:NameList>
          <b:Person>
            <b:Last>Campbell</b:Last>
            <b:First>John</b:First>
          </b:Person>
        </b:NameList>
      </b:Author>
    </b:Author>
    <b:Title>Why Would Corporations Behave in Socially Responsible Ways?</b:Title>
    <b:Year>2013</b:Year>
    <b:JournalName>The Academy of Management Review</b:JournalName>
    <b:Pages>946-967</b:Pages>
    <b:Volume>32</b:Volume>
    <b:Issue>3</b:Issue>
    <b:RefOrder>43</b:RefOrder>
  </b:Source>
  <b:Source>
    <b:Tag>Lad15</b:Tag>
    <b:SourceType>Report</b:SourceType>
    <b:Guid>{AA3EBC45-B8B3-43EA-8117-3C7D57AF4C0C}</b:Guid>
    <b:Author>
      <b:Author>
        <b:NameList>
          <b:Person>
            <b:Last>Ladbrokes</b:Last>
          </b:Person>
        </b:NameList>
      </b:Author>
    </b:Author>
    <b:Title>Corporate Responsibility Report</b:Title>
    <b:Year>2015</b:Year>
    <b:City>London</b:City>
    <b:Publisher>Ladbrokes PLC</b:Publisher>
    <b:RefOrder>44</b:RefOrder>
  </b:Source>
  <b:Source>
    <b:Tag>Ahm17</b:Tag>
    <b:SourceType>Report</b:SourceType>
    <b:Guid>{003824C6-44A3-4E16-AFE4-81054CAC1323}</b:Guid>
    <b:Author>
      <b:Author>
        <b:NameList>
          <b:Person>
            <b:Last>Ahmed</b:Last>
            <b:First>Murad</b:First>
          </b:Person>
        </b:NameList>
      </b:Author>
    </b:Author>
    <b:Title>Ladbrokes: ‘encouraging’ 2017 start as online gambling offsets high street declines</b:Title>
    <b:Year>2017</b:Year>
    <b:Publisher>FT</b:Publisher>
    <b:City>London</b:City>
    <b:RefOrder>45</b:RefOrder>
  </b:Source>
  <b:Source>
    <b:Tag>Gam13</b:Tag>
    <b:SourceType>InternetSite</b:SourceType>
    <b:Guid>{F5506667-100B-4127-BE62-1AA5985E44C8}</b:Guid>
    <b:Title>ladbrokes-refutes-fobts-and-unethical-business-claims</b:Title>
    <b:Year>2013</b:Year>
    <b:Author>
      <b:Author>
        <b:NameList>
          <b:Person>
            <b:Last>Gaming-Business</b:Last>
          </b:Person>
        </b:NameList>
      </b:Author>
    </b:Author>
    <b:InternetSiteTitle>igamingbusiness</b:InternetSiteTitle>
    <b:Month>11</b:Month>
    <b:Day>12</b:Day>
    <b:URL>http://www.igamingbusiness.com/news/ladbrokes-refutes-fobts-and-unethical-business-claims</b:URL>
    <b:RefOrder>46</b:RefOrder>
  </b:Source>
  <b:Source>
    <b:Tag>Wal18</b:Tag>
    <b:SourceType>InternetSite</b:SourceType>
    <b:Guid>{D8F3898F-56E0-4087-95DB-89178A5B2198}</b:Guid>
    <b:Author>
      <b:Author>
        <b:NameList>
          <b:Person>
            <b:Last>Walker</b:Last>
            <b:First>Peter</b:First>
          </b:Person>
        </b:NameList>
      </b:Author>
    </b:Author>
    <b:Title>gambling-ministers-urged-to-be-bold-with-curbs-on-fobts</b:Title>
    <b:InternetSiteTitle>The Guardian</b:InternetSiteTitle>
    <b:Year>2018</b:Year>
    <b:Month>1</b:Month>
    <b:Day>21</b:Day>
    <b:URL>https://www.theguardian.com/uk-news/2018/jan/21/gambling-ministers-urged-to-be-bold-with-curbs-on-fobts</b:URL>
    <b:PeriodicalTitle>The Guardian</b:PeriodicalTitle>
    <b:RefOrder>47</b:RefOrder>
  </b:Source>
  <b:Source>
    <b:Tag>Wil18</b:Tag>
    <b:SourceType>InternetSite</b:SourceType>
    <b:Guid>{DA92CA3A-A60B-4C5F-980C-8E946EA4D60A}</b:Guid>
    <b:Author>
      <b:Author>
        <b:NameList>
          <b:Person>
            <b:Last>William HIll</b:Last>
          </b:Person>
        </b:NameList>
      </b:Author>
    </b:Author>
    <b:Title>/encouraging-responsible-gambling</b:Title>
    <b:InternetSiteTitle>williamhillplc</b:InternetSiteTitle>
    <b:Year>2018</b:Year>
    <b:Month>03</b:Month>
    <b:Day>12</b:Day>
    <b:URL>http://www.williamhillplc.com/responsibility/responsible-gambling/encouraging-responsible-gambling/</b:URL>
    <b:RefOrder>48</b:RefOrder>
  </b:Source>
  <b:Source>
    <b:Tag>Wil17</b:Tag>
    <b:SourceType>Report</b:SourceType>
    <b:Guid>{4503EBF2-5B56-441A-B340-09E25A8A13CC}</b:Guid>
    <b:Author>
      <b:Author>
        <b:NameList>
          <b:Person>
            <b:Last>William Hill</b:Last>
          </b:Person>
        </b:NameList>
      </b:Author>
    </b:Author>
    <b:Title>Responsible in everything we do</b:Title>
    <b:Year>2017</b:Year>
    <b:City>London</b:City>
    <b:Publisher>William Hill PLC</b:Publisher>
    <b:RefOrder>49</b:RefOrder>
  </b:Source>
  <b:Source>
    <b:Tag>Pra18</b:Tag>
    <b:SourceType>DocumentFromInternetSite</b:SourceType>
    <b:Guid>{6684F8CE-55C8-4FFC-B4C1-68C9CBF5F9DA}</b:Guid>
    <b:Author>
      <b:Author>
        <b:NameList>
          <b:Person>
            <b:Last>Pratley</b:Last>
            <b:First>Nils</b:First>
          </b:Person>
        </b:NameList>
      </b:Author>
    </b:Author>
    <b:Title>fobts-bookmakers-pay-price-failing-clean-up-their-act</b:Title>
    <b:InternetSiteTitle>theguardian</b:InternetSiteTitle>
    <b:Year>2018</b:Year>
    <b:Month>01</b:Month>
    <b:Day>22</b:Day>
    <b:YearAccessed>2018</b:YearAccessed>
    <b:MonthAccessed>02</b:MonthAccessed>
    <b:DayAccessed>04</b:DayAccessed>
    <b:URL>https://www.theguardian.com/uk-news/nils-pratley-on-finance/2018/jan/22/fobts-bookmakers-pay-price-failing-clean-up-their-act</b:URL>
    <b:RefOrder>50</b:RefOrder>
  </b:Source>
  <b:Source>
    <b:Tag>his18</b:Tag>
    <b:SourceType>InternetSite</b:SourceType>
    <b:Guid>{E9AC45EF-6AFA-4882-B4B4-047DB2AF6CB0}</b:Guid>
    <b:Title>The History of Betting</b:Title>
    <b:Year>2018</b:Year>
    <b:InternetSiteTitle>ukbookmakers</b:InternetSiteTitle>
    <b:Month>01</b:Month>
    <b:Day>01</b:Day>
    <b:YearAccessed>2018</b:YearAccessed>
    <b:MonthAccessed>02</b:MonthAccessed>
    <b:DayAccessed>11</b:DayAccessed>
    <b:URL>https://www.ukbookmakers.info/history-of-betting</b:URL>
    <b:RefOrder>51</b:RefOrder>
  </b:Source>
  <b:Source>
    <b:Tag>Ada16</b:Tag>
    <b:SourceType>Book</b:SourceType>
    <b:Guid>{CF5DE522-AFDE-4A3F-95AB-4B75D1E0235A}</b:Guid>
    <b:Author>
      <b:Author>
        <b:NameList>
          <b:Person>
            <b:Last>Adams</b:Last>
            <b:First>Peter</b:First>
          </b:Person>
        </b:NameList>
      </b:Author>
    </b:Author>
    <b:Title>Moral Jeopardy: Risks of Accepting Money from the Alcohol, Tobacco and Gambling</b:Title>
    <b:Year>2016</b:Year>
    <b:City>Cambridge</b:City>
    <b:Publisher>Cambridge University Press</b:Publisher>
    <b:RefOrder>52</b:RefOrder>
  </b:Source>
  <b:Source>
    <b:Tag>The18</b:Tag>
    <b:SourceType>InternetSite</b:SourceType>
    <b:Guid>{0E9AF1C6-7F9A-44C5-B3A7-D0CC084B9A62}</b:Guid>
    <b:Title>the-guardian-view-on-gambling-a-system-ripe-for-exploitatio</b:Title>
    <b:Year>2018</b:Year>
    <b:Month>02</b:Month>
    <b:Day>20</b:Day>
    <b:Author>
      <b:Author>
        <b:NameList>
          <b:Person>
            <b:Last>Monaghan</b:Last>
            <b:First>Angela</b:First>
          </b:Person>
        </b:NameList>
      </b:Author>
    </b:Author>
    <b:InternetSiteTitle>The Guardian</b:InternetSiteTitle>
    <b:URL>https://www.theguardian.com/commentisfree/2018/feb/20/the-guardian-view-on-gambling-a-system-ripe-for-exploitation</b:URL>
    <b:RefOrder>53</b:RefOrder>
  </b:Source>
  <b:Source>
    <b:Tag>Dav16</b:Tag>
    <b:SourceType>InternetSite</b:SourceType>
    <b:Guid>{29E4FE73-F040-4CA1-8512-A8520198151D}</b:Guid>
    <b:Author>
      <b:Author>
        <b:NameList>
          <b:Person>
            <b:Last>Davies</b:Last>
            <b:First>Rob</b:First>
          </b:Person>
        </b:NameList>
      </b:Author>
    </b:Author>
    <b:Title>gambling-firm-888-fined-online-bookmaker-problem-gamblers</b:Title>
    <b:InternetSiteTitle>The Guardian</b:InternetSiteTitle>
    <b:Year>2017</b:Year>
    <b:Month>08</b:Month>
    <b:Day>31</b:Day>
    <b:URL>https://www.theguardian.com/society/2017/aug/31/gambling-firm-888-fined-online-bookmaker-problem-gamblers</b:URL>
    <b:RefOrder>54</b:RefOrder>
  </b:Source>
  <b:Source>
    <b:Tag>Sau09</b:Tag>
    <b:SourceType>Book</b:SourceType>
    <b:Guid>{B52A1843-D40B-45FC-BA76-A775E6868958}</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London</b:City>
    <b:Publisher>Pearson Educational</b:Publisher>
    <b:RefOrder>55</b:RefOrder>
  </b:Source>
  <b:Source>
    <b:Tag>Kot12</b:Tag>
    <b:SourceType>Book</b:SourceType>
    <b:Guid>{A46301A1-0EF5-4F8E-A46D-FAF1C73DD828}</b:Guid>
    <b:Author>
      <b:Author>
        <b:NameList>
          <b:Person>
            <b:Last>Kothari</b:Last>
            <b:First>C.</b:First>
            <b:Middle>R</b:Middle>
          </b:Person>
        </b:NameList>
      </b:Author>
    </b:Author>
    <b:Title>Research Methodology; methods and techniques</b:Title>
    <b:Year>2012</b:Year>
    <b:City>London</b:City>
    <b:Publisher>New Age International Pvt Ltd Publishers</b:Publisher>
    <b:JournalName>New Age International</b:JournalName>
    <b:RefOrder>56</b:RefOrder>
  </b:Source>
  <b:Source>
    <b:Tag>Placeholder1</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57</b:RefOrder>
  </b:Source>
  <b:Source>
    <b:Tag>Cam09</b:Tag>
    <b:SourceType>Book</b:SourceType>
    <b:Guid>{0410AA83-1EFD-447C-9E2D-B6F1EB4E7291}</b:Guid>
    <b:Title>Business Research methods</b:Title>
    <b:Year>2009</b:Year>
    <b:City>London</b:City>
    <b:Publisher>Chartered Institute of Personnel Development</b:Publisher>
    <b:Edition>1st</b:Edition>
    <b:Author>
      <b:Author>
        <b:NameList>
          <b:Person>
            <b:Last>Cameron</b:Last>
            <b:First>Sheila</b:First>
          </b:Person>
          <b:Person>
            <b:Last>Price</b:Last>
            <b:First>Deborah</b:First>
          </b:Person>
        </b:NameList>
      </b:Author>
    </b:Author>
    <b:RefOrder>58</b:RefOrder>
  </b:Source>
  <b:Source>
    <b:Tag>Bab07</b:Tag>
    <b:SourceType>Book</b:SourceType>
    <b:Guid>{E14CDB3E-336D-4D71-B1F0-4C2955BE6AD4}</b:Guid>
    <b:Author>
      <b:Author>
        <b:NameList>
          <b:Person>
            <b:Last>Babbie</b:Last>
            <b:First>Earl</b:First>
          </b:Person>
        </b:NameList>
      </b:Author>
    </b:Author>
    <b:Title>The Basics of Social Research</b:Title>
    <b:Year>2007</b:Year>
    <b:City>London</b:City>
    <b:Publisher>Ceneage Learning</b:Publisher>
    <b:RefOrder>59</b:RefOrder>
  </b:Source>
  <b:Source>
    <b:Tag>Sap06</b:Tag>
    <b:SourceType>Book</b:SourceType>
    <b:Guid>{753E8282-6E63-40E1-993D-DE2FDE3C8E0D}</b:Guid>
    <b:Title>Data Collection and Analysis</b:Title>
    <b:Year>2006</b:Year>
    <b:City>London</b:City>
    <b:Publisher>Sage Publications</b:Publisher>
    <b:Edition>2nd</b:Edition>
    <b:Author>
      <b:Author>
        <b:NameList>
          <b:Person>
            <b:Last>Sapsford</b:Last>
            <b:First>Roger</b:First>
          </b:Person>
          <b:Person>
            <b:Last>Jupp</b:Last>
            <b:First>Victor</b:First>
          </b:Person>
        </b:NameList>
      </b:Author>
    </b:Author>
    <b:RefOrder>60</b:RefOrder>
  </b:Source>
  <b:Source>
    <b:Tag>Lav08</b:Tag>
    <b:SourceType>Book</b:SourceType>
    <b:Guid>{0A6BCE20-6F4C-4FB4-9967-80A4B6314220}</b:Guid>
    <b:Author>
      <b:Author>
        <b:NameList>
          <b:Person>
            <b:Last>Lavrakas</b:Last>
            <b:First>Paul</b:First>
          </b:Person>
        </b:NameList>
      </b:Author>
    </b:Author>
    <b:Title>Encyclopedia of Survey Research Methods</b:Title>
    <b:Year>2008</b:Year>
    <b:City>London</b:City>
    <b:Publisher>Sage</b:Publisher>
    <b:RefOrder>61</b:RefOrder>
  </b:Source>
  <b:Source>
    <b:Tag>McN04</b:Tag>
    <b:SourceType>Book</b:SourceType>
    <b:Guid>{2C3BB786-2512-48CC-B23D-BDB20C39E27B}</b:Guid>
    <b:Author>
      <b:Author>
        <b:NameList>
          <b:Person>
            <b:Last>David</b:Last>
            <b:First>McNabb.</b:First>
          </b:Person>
        </b:NameList>
      </b:Author>
    </b:Author>
    <b:Title>Research Methods for Political Science</b:Title>
    <b:Year>2004</b:Year>
    <b:City>Charleston</b:City>
    <b:Publisher>Sharpe</b:Publisher>
    <b:RefOrder>62</b:RefOrder>
  </b:Source>
  <b:Source>
    <b:Tag>Hou11</b:Tag>
    <b:SourceType>Report</b:SourceType>
    <b:Guid>{7E7B2A87-D49C-483C-A72F-32709189649F}</b:Guid>
    <b:Author>
      <b:Author>
        <b:NameList>
          <b:Person>
            <b:Last>Houghton</b:Last>
            <b:First>Thomas</b:First>
          </b:Person>
        </b:NameList>
      </b:Author>
    </b:Author>
    <b:Title>Does positivism really ‘work’ in the social sciences?</b:Title>
    <b:Year>2011</b:Year>
    <b:JournalName>E-International Relations</b:JournalName>
    <b:Publisher>University College London</b:Publisher>
    <b:City>London</b:City>
    <b:RefOrder>63</b:RefOrder>
  </b:Source>
  <b:Source>
    <b:Tag>Jaw10</b:Tag>
    <b:SourceType>Report</b:SourceType>
    <b:Guid>{10624663-F3CC-4849-9324-7617E5304BF5}</b:Guid>
    <b:Title>Taming of the casino dragon</b:Title>
    <b:Year>2010</b:Year>
    <b:Publisher>UWTSD</b:Publisher>
    <b:City>Swansea</b:City>
    <b:Author>
      <b:Author>
        <b:NameList>
          <b:Person>
            <b:Last>Jawad</b:Last>
            <b:First>Dr Caroline</b:First>
          </b:Person>
        </b:NameList>
      </b:Author>
    </b:Author>
    <b:RefOrder>64</b:RefOrder>
  </b:Source>
  <b:Source>
    <b:Tag>Gal13</b:Tag>
    <b:SourceType>Book</b:SourceType>
    <b:Guid>{E97F91CE-BB5E-48D8-B9F2-1518316EB4AD}</b:Guid>
    <b:Author>
      <b:Author>
        <b:NameList>
          <b:Person>
            <b:Last>Galletta</b:Last>
            <b:First>Anne</b:First>
          </b:Person>
        </b:NameList>
      </b:Author>
    </b:Author>
    <b:Title>Mastering the Semi-Structured Interview and Beyond</b:Title>
    <b:Year>2013</b:Year>
    <b:City>New York</b:City>
    <b:Publisher>NYU Press</b:Publisher>
    <b:RefOrder>65</b:RefOrder>
  </b:Source>
  <b:Source>
    <b:Tag>Lin14</b:Tag>
    <b:SourceType>Book</b:SourceType>
    <b:Guid>{2A6389B6-BB81-4385-A73F-2957F8F77F6F}</b:Guid>
    <b:Title>Impulsivity and Cognitive Distortions in Problem Gambling: Theory and Application</b:Title>
    <b:Year>2014</b:Year>
    <b:Author>
      <b:Author>
        <b:NameList>
          <b:Person>
            <b:Last>Lindberg</b:Last>
            <b:First>Annika</b:First>
          </b:Person>
          <b:Person>
            <b:Last>Clark</b:Last>
            <b:First>Luke</b:First>
          </b:Person>
          <b:Person>
            <b:Last>Bowden-Jones</b:Last>
            <b:First>Henrietta</b:First>
          </b:Person>
        </b:NameList>
      </b:Author>
    </b:Author>
    <b:City>London</b:City>
    <b:Publisher>Palgrave Macmillan</b:Publisher>
    <b:Edition>1st</b:Edition>
    <b:RefOrder>66</b:RefOrder>
  </b:Source>
  <b:Source>
    <b:Tag>Ass13</b:Tag>
    <b:SourceType>Report</b:SourceType>
    <b:Guid>{593835B0-C7CC-4FA4-904F-9ED2013CC7CF}</b:Guid>
    <b:Author>
      <b:Author>
        <b:NameList>
          <b:Person>
            <b:Last>Bookmakers</b:Last>
            <b:First>Assocication</b:First>
            <b:Middle>of British</b:Middle>
          </b:Person>
        </b:NameList>
      </b:Author>
    </b:Author>
    <b:Title>The Truth about Betting Shops and Gaming Machines</b:Title>
    <b:Year>2017</b:Year>
    <b:Publisher>ABB</b:Publisher>
    <b:City>London</b:City>
    <b:RefOrder>67</b:RefOrder>
  </b:Source>
  <b:Source>
    <b:Tag>Gre96</b:Tag>
    <b:SourceType>Book</b:SourceType>
    <b:Guid>{B7E21099-B030-40BA-9076-843321B46793}</b:Guid>
    <b:Author>
      <b:Author>
        <b:NameList>
          <b:Person>
            <b:Last>Greenwood</b:Last>
            <b:First>P</b:First>
          </b:Person>
          <b:Person>
            <b:Last>Nikulin</b:Last>
            <b:First>Mikhail</b:First>
          </b:Person>
        </b:NameList>
      </b:Author>
    </b:Author>
    <b:Title>A guide to chi square testing</b:Title>
    <b:Year>1996</b:Year>
    <b:City>New York</b:City>
    <b:Publisher>John Wiley and Sons</b:Publisher>
    <b:RefOrder>68</b:RefOrder>
  </b:Source>
  <b:Source>
    <b:Tag>Buc09</b:Tag>
    <b:SourceType>Book</b:SourceType>
    <b:Guid>{31F3C4C7-B625-4D89-A9C8-BAD9DC0DEC19}</b:Guid>
    <b:Title>The SAGE Handbook of Organizational Research Methods</b:Title>
    <b:Year>2009</b:Year>
    <b:City>London</b:City>
    <b:Publisher>Sage</b:Publisher>
    <b:Edition>1st</b:Edition>
    <b:Author>
      <b:Author>
        <b:NameList>
          <b:Person>
            <b:Last>Buchanan</b:Last>
            <b:First>David</b:First>
          </b:Person>
          <b:Person>
            <b:Last>Bryman</b:Last>
            <b:First>Alan</b:First>
          </b:Person>
        </b:NameList>
      </b:Author>
    </b:Author>
    <b:RefOrder>69</b:RefOrder>
  </b:Source>
  <b:Source>
    <b:Tag>Oxf17</b:Tag>
    <b:SourceType>Book</b:SourceType>
    <b:Guid>{58C3AB67-0DC5-4035-8F30-6DF0E507B9FC}</b:Guid>
    <b:Title>Oxford Dictionary</b:Title>
    <b:Year>2017</b:Year>
    <b:Publisher>Oxford University Press</b:Publisher>
    <b:City>London</b:City>
    <b:Edition>127th</b:Edition>
    <b:RefOrder>70</b:RefOrder>
  </b:Source>
  <b:Source>
    <b:Tag>Pre95</b:Tag>
    <b:SourceType>JournalArticle</b:SourceType>
    <b:Guid>{2129272F-E795-4B2C-B3E0-003E1B91F3B1}</b:Guid>
    <b:Title>Stakeholder Theory Of Corporation</b:Title>
    <b:JournalName>Academy Of Management</b:JournalName>
    <b:Year>1995</b:Year>
    <b:Pages>67</b:Pages>
    <b:Volume>20</b:Volume>
    <b:Issue>1</b:Issue>
    <b:Author>
      <b:Author>
        <b:NameList>
          <b:Person>
            <b:Last>Preston</b:Last>
            <b:First>Lee</b:First>
          </b:Person>
          <b:Person>
            <b:Last>Donaldson</b:Last>
            <b:First>Thomas</b:First>
          </b:Person>
        </b:NameList>
      </b:Author>
    </b:Author>
    <b:RefOrder>71</b:RefOrder>
  </b:Source>
  <b:Source>
    <b:Tag>Placeholder3</b:Tag>
    <b:SourceType>JournalArticle</b:SourceType>
    <b:Guid>{D1C76123-63C0-4B31-B285-16A1DF38C702}</b:Guid>
    <b:Author>
      <b:Author>
        <b:NameList>
          <b:Person>
            <b:Last>Campbell</b:Last>
            <b:First>Archer</b:First>
          </b:Person>
        </b:NameList>
      </b:Author>
    </b:Author>
    <b:Title>Corporate Social Responsibility</b:Title>
    <b:Year>1999</b:Year>
    <b:Publisher>Business and Society</b:Publisher>
    <b:JournalName>Business and Society</b:JournalName>
    <b:Pages>272</b:Pages>
    <b:RefOrder>72</b:RefOrder>
  </b:Source>
  <b:Source>
    <b:Tag>Tur04</b:Tag>
    <b:SourceType>JournalArticle</b:SourceType>
    <b:Guid>{F80DD746-8AE4-49D3-84F8-A7A3DB36DEB2}</b:Guid>
    <b:Title>How Do Slot Machines And Other Electronic Gambling Machines Work?</b:Title>
    <b:Year>2004</b:Year>
    <b:Author>
      <b:Author>
        <b:NameList>
          <b:Person>
            <b:Last>Turner</b:Last>
            <b:First>Nigel</b:First>
          </b:Person>
        </b:NameList>
      </b:Author>
    </b:Author>
    <b:JournalName>Centre for Addiction and Mental Health</b:JournalName>
    <b:Pages>72</b:Pages>
    <b:Volume>75</b:Volume>
    <b:Issue>5</b:Issue>
    <b:RefOrder>73</b:RefOrder>
  </b:Source>
  <b:Source>
    <b:Tag>Han11</b:Tag>
    <b:SourceType>Book</b:SourceType>
    <b:Guid>{7BC6FFEF-6817-4C39-80DB-9647E8C0B1BB}</b:Guid>
    <b:Title>Synthesizing Qualitative Research: Choosing the Right Approach</b:Title>
    <b:Year>2011</b:Year>
    <b:City>Chichester</b:City>
    <b:Publisher>John Wiley and Sons</b:Publisher>
    <b:Edition>1st</b:Edition>
    <b:Author>
      <b:Author>
        <b:NameList>
          <b:Person>
            <b:Last>Hannes</b:Last>
            <b:First>Karin</b:First>
          </b:Person>
          <b:Person>
            <b:Last>Lockwood</b:Last>
            <b:First>Craig</b:First>
          </b:Person>
        </b:NameList>
      </b:Author>
    </b:Author>
    <b:RefOrder>74</b:RefOrder>
  </b:Source>
  <b:Source>
    <b:Tag>Rie98</b:Tag>
    <b:SourceType>JournalArticle</b:SourceType>
    <b:Guid>{87C364C6-3AF3-4F27-ACB7-B904184955AD}</b:Guid>
    <b:Title>Qualitative Market Research: An International Journ</b:Title>
    <b:Year>1998</b:Year>
    <b:Pages>75 - 86</b:Pages>
    <b:Author>
      <b:Author>
        <b:NameList>
          <b:Person>
            <b:Last>Riege</b:Last>
            <b:First>Andrew</b:First>
          </b:Person>
        </b:NameList>
      </b:Author>
    </b:Author>
    <b:JournalName>Marketing - An International Journ</b:JournalName>
    <b:Volume>6</b:Volume>
    <b:Issue>2</b:Issue>
    <b:RefOrder>75</b:RefOrder>
  </b:Source>
</b:Sources>
</file>

<file path=customXml/itemProps1.xml><?xml version="1.0" encoding="utf-8"?>
<ds:datastoreItem xmlns:ds="http://schemas.openxmlformats.org/officeDocument/2006/customXml" ds:itemID="{58A63B52-977C-4B4F-96C7-F95150405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12549</Words>
  <Characters>71534</Characters>
  <Application>Microsoft Office Word</Application>
  <DocSecurity>0</DocSecurity>
  <Lines>596</Lines>
  <Paragraphs>167</Paragraphs>
  <ScaleCrop>false</ScaleCrop>
  <Company>Grizli777</Company>
  <LinksUpToDate>false</LinksUpToDate>
  <CharactersWithSpaces>83916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dc:creator>
  <cp:lastModifiedBy>Nicola</cp:lastModifiedBy>
  <cp:revision>1</cp:revision>
  <dcterms:created xsi:type="dcterms:W3CDTF">2018-05-12T08:58:00Z</dcterms:created>
  <dcterms:modified xsi:type="dcterms:W3CDTF">2018-05-12T08:59:00Z</dcterms:modified>
</cp:coreProperties>
</file>