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7A425" w14:textId="77597039" w:rsidR="004F482F" w:rsidRDefault="004F482F" w:rsidP="41C9ECC3">
      <w:pPr>
        <w:spacing w:after="220" w:line="360" w:lineRule="auto"/>
        <w:jc w:val="both"/>
        <w:rPr>
          <w:rFonts w:ascii="Arial" w:eastAsia="Arial" w:hAnsi="Arial" w:cs="Arial"/>
        </w:rPr>
      </w:pPr>
    </w:p>
    <w:p w14:paraId="075F8620" w14:textId="5E1E0650" w:rsidR="004F482F" w:rsidRDefault="004F482F" w:rsidP="41C9ECC3">
      <w:pPr>
        <w:spacing w:after="220" w:line="360" w:lineRule="auto"/>
        <w:jc w:val="both"/>
        <w:rPr>
          <w:rFonts w:ascii="Arial" w:eastAsia="Arial" w:hAnsi="Arial" w:cs="Arial"/>
        </w:rPr>
      </w:pPr>
    </w:p>
    <w:p w14:paraId="71347FDC" w14:textId="215F6E7A" w:rsidR="004F482F" w:rsidRDefault="004F482F" w:rsidP="41C9ECC3">
      <w:pPr>
        <w:spacing w:after="220" w:line="360" w:lineRule="auto"/>
        <w:jc w:val="both"/>
        <w:rPr>
          <w:rFonts w:ascii="Arial" w:eastAsia="Arial" w:hAnsi="Arial" w:cs="Arial"/>
        </w:rPr>
      </w:pPr>
    </w:p>
    <w:p w14:paraId="57A6F704" w14:textId="4899F44C" w:rsidR="004F482F" w:rsidRDefault="004F482F" w:rsidP="41C9ECC3">
      <w:pPr>
        <w:spacing w:after="220" w:line="360" w:lineRule="auto"/>
        <w:jc w:val="both"/>
        <w:rPr>
          <w:rFonts w:ascii="Arial" w:eastAsia="Arial" w:hAnsi="Arial" w:cs="Arial"/>
        </w:rPr>
      </w:pPr>
    </w:p>
    <w:p w14:paraId="3BDC6168" w14:textId="3BE9EEA1" w:rsidR="004F482F" w:rsidRDefault="1230F6A8" w:rsidP="41C9ECC3">
      <w:pPr>
        <w:spacing w:line="360" w:lineRule="auto"/>
        <w:jc w:val="center"/>
        <w:rPr>
          <w:rFonts w:ascii="Arial" w:eastAsia="Arial" w:hAnsi="Arial" w:cs="Arial"/>
        </w:rPr>
      </w:pPr>
      <w:r w:rsidRPr="41C9ECC3">
        <w:rPr>
          <w:rFonts w:ascii="Arial" w:eastAsia="Arial" w:hAnsi="Arial" w:cs="Arial"/>
          <w:color w:val="000000" w:themeColor="text1"/>
          <w:sz w:val="28"/>
          <w:szCs w:val="28"/>
        </w:rPr>
        <w:t>Artificial Intelligence (AI) in Academia</w:t>
      </w:r>
    </w:p>
    <w:p w14:paraId="7893E725" w14:textId="17E61D54" w:rsidR="004F482F" w:rsidRDefault="004F482F" w:rsidP="41C9ECC3">
      <w:pPr>
        <w:spacing w:after="220" w:line="360" w:lineRule="auto"/>
        <w:jc w:val="both"/>
        <w:rPr>
          <w:rFonts w:ascii="Arial" w:eastAsia="Arial" w:hAnsi="Arial" w:cs="Arial"/>
        </w:rPr>
      </w:pPr>
    </w:p>
    <w:p w14:paraId="12DFBA11" w14:textId="54C0F897" w:rsidR="004F482F" w:rsidRDefault="1230F6A8" w:rsidP="41C9ECC3">
      <w:pPr>
        <w:spacing w:after="220" w:line="360" w:lineRule="auto"/>
        <w:jc w:val="center"/>
      </w:pPr>
      <w:r>
        <w:rPr>
          <w:noProof/>
        </w:rPr>
        <w:drawing>
          <wp:inline distT="0" distB="0" distL="0" distR="0" wp14:anchorId="4D521C2B" wp14:editId="0D0CA35F">
            <wp:extent cx="3086100" cy="2171700"/>
            <wp:effectExtent l="0" t="0" r="0" b="0"/>
            <wp:docPr id="1305730976" name="Picture 1305730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3086100" cy="2171700"/>
                    </a:xfrm>
                    <a:prstGeom prst="rect">
                      <a:avLst/>
                    </a:prstGeom>
                  </pic:spPr>
                </pic:pic>
              </a:graphicData>
            </a:graphic>
          </wp:inline>
        </w:drawing>
      </w:r>
    </w:p>
    <w:p w14:paraId="567ABAAF" w14:textId="2C5683A0" w:rsidR="004F482F" w:rsidRDefault="004F482F" w:rsidP="41C9ECC3">
      <w:pPr>
        <w:spacing w:after="220" w:line="360" w:lineRule="auto"/>
        <w:jc w:val="both"/>
        <w:rPr>
          <w:rFonts w:ascii="Arial" w:eastAsia="Arial" w:hAnsi="Arial" w:cs="Arial"/>
        </w:rPr>
      </w:pPr>
    </w:p>
    <w:p w14:paraId="412B3667" w14:textId="6AF1D8C3" w:rsidR="004F482F" w:rsidRDefault="1230F6A8" w:rsidP="41C9ECC3">
      <w:pPr>
        <w:spacing w:line="360" w:lineRule="auto"/>
        <w:jc w:val="center"/>
        <w:rPr>
          <w:rFonts w:ascii="Arial" w:eastAsia="Arial" w:hAnsi="Arial" w:cs="Arial"/>
          <w:color w:val="000000" w:themeColor="text1"/>
        </w:rPr>
      </w:pPr>
      <w:r w:rsidRPr="41C9ECC3">
        <w:rPr>
          <w:rFonts w:ascii="Arial" w:eastAsia="Arial" w:hAnsi="Arial" w:cs="Arial"/>
          <w:b/>
          <w:bCs/>
          <w:color w:val="000000" w:themeColor="text1"/>
        </w:rPr>
        <w:t>Module Name:</w:t>
      </w:r>
      <w:r w:rsidRPr="41C9ECC3">
        <w:rPr>
          <w:rFonts w:ascii="Arial" w:eastAsia="Arial" w:hAnsi="Arial" w:cs="Arial"/>
          <w:color w:val="000000" w:themeColor="text1"/>
        </w:rPr>
        <w:t xml:space="preserve"> Academic Skills for the Digital Era – BMSW4013</w:t>
      </w:r>
    </w:p>
    <w:p w14:paraId="743D2D9D" w14:textId="4DAD87DD" w:rsidR="004F482F" w:rsidRDefault="1230F6A8" w:rsidP="41C9ECC3">
      <w:pPr>
        <w:spacing w:line="360" w:lineRule="auto"/>
        <w:jc w:val="center"/>
        <w:rPr>
          <w:rFonts w:ascii="Arial" w:eastAsia="Arial" w:hAnsi="Arial" w:cs="Arial"/>
          <w:color w:val="000000" w:themeColor="text1"/>
        </w:rPr>
      </w:pPr>
      <w:r w:rsidRPr="41C9ECC3">
        <w:rPr>
          <w:rFonts w:ascii="Arial" w:eastAsia="Arial" w:hAnsi="Arial" w:cs="Arial"/>
          <w:b/>
          <w:bCs/>
          <w:color w:val="000000" w:themeColor="text1"/>
        </w:rPr>
        <w:t>Student name</w:t>
      </w:r>
      <w:r w:rsidRPr="41C9ECC3">
        <w:rPr>
          <w:rFonts w:ascii="Arial" w:eastAsia="Arial" w:hAnsi="Arial" w:cs="Arial"/>
          <w:color w:val="000000" w:themeColor="text1"/>
        </w:rPr>
        <w:t>: Evelinne Alice Dicu</w:t>
      </w:r>
    </w:p>
    <w:p w14:paraId="4BA3D775" w14:textId="7196A62B" w:rsidR="004F482F" w:rsidRDefault="1230F6A8" w:rsidP="41C9ECC3">
      <w:pPr>
        <w:spacing w:line="360" w:lineRule="auto"/>
        <w:jc w:val="center"/>
        <w:rPr>
          <w:rFonts w:ascii="Arial" w:eastAsia="Arial" w:hAnsi="Arial" w:cs="Arial"/>
          <w:color w:val="000000" w:themeColor="text1"/>
        </w:rPr>
      </w:pPr>
      <w:r w:rsidRPr="41C9ECC3">
        <w:rPr>
          <w:rFonts w:ascii="Arial" w:eastAsia="Arial" w:hAnsi="Arial" w:cs="Arial"/>
          <w:b/>
          <w:bCs/>
          <w:color w:val="000000" w:themeColor="text1"/>
        </w:rPr>
        <w:t>Lecturer name</w:t>
      </w:r>
      <w:r w:rsidRPr="41C9ECC3">
        <w:rPr>
          <w:rFonts w:ascii="Arial" w:eastAsia="Arial" w:hAnsi="Arial" w:cs="Arial"/>
          <w:color w:val="000000" w:themeColor="text1"/>
        </w:rPr>
        <w:t>: Ffion Cumberpatch</w:t>
      </w:r>
    </w:p>
    <w:p w14:paraId="1F596203" w14:textId="52B8A99D" w:rsidR="004F482F" w:rsidRDefault="004F482F" w:rsidP="41C9ECC3">
      <w:pPr>
        <w:spacing w:after="220" w:line="360" w:lineRule="auto"/>
        <w:jc w:val="both"/>
        <w:rPr>
          <w:rFonts w:ascii="Arial" w:eastAsia="Arial" w:hAnsi="Arial" w:cs="Arial"/>
        </w:rPr>
      </w:pPr>
    </w:p>
    <w:p w14:paraId="6DB3F688" w14:textId="69211CAE" w:rsidR="004F482F" w:rsidRDefault="004F482F" w:rsidP="41C9ECC3">
      <w:pPr>
        <w:spacing w:after="220" w:line="360" w:lineRule="auto"/>
        <w:jc w:val="both"/>
        <w:rPr>
          <w:rFonts w:ascii="Arial" w:eastAsia="Arial" w:hAnsi="Arial" w:cs="Arial"/>
        </w:rPr>
      </w:pPr>
    </w:p>
    <w:p w14:paraId="36EA22C8" w14:textId="4B49018F" w:rsidR="004F482F" w:rsidRDefault="004F482F" w:rsidP="41C9ECC3">
      <w:pPr>
        <w:spacing w:after="220" w:line="360" w:lineRule="auto"/>
        <w:jc w:val="both"/>
        <w:rPr>
          <w:rFonts w:ascii="Arial" w:eastAsia="Arial" w:hAnsi="Arial" w:cs="Arial"/>
        </w:rPr>
      </w:pPr>
    </w:p>
    <w:p w14:paraId="2493C7B0" w14:textId="74BBE1D5" w:rsidR="004F482F" w:rsidRDefault="004F482F" w:rsidP="41C9ECC3">
      <w:pPr>
        <w:spacing w:after="220" w:line="360" w:lineRule="auto"/>
        <w:jc w:val="both"/>
        <w:rPr>
          <w:rFonts w:ascii="Arial" w:eastAsia="Arial" w:hAnsi="Arial" w:cs="Arial"/>
        </w:rPr>
      </w:pPr>
    </w:p>
    <w:p w14:paraId="3EAC14B3" w14:textId="0CEEEDD7" w:rsidR="004F482F" w:rsidRDefault="004F482F" w:rsidP="41C9ECC3">
      <w:pPr>
        <w:spacing w:after="220" w:line="360" w:lineRule="auto"/>
        <w:jc w:val="both"/>
        <w:rPr>
          <w:rFonts w:ascii="Arial" w:eastAsia="Arial" w:hAnsi="Arial" w:cs="Arial"/>
        </w:rPr>
      </w:pPr>
    </w:p>
    <w:p w14:paraId="3EEA2FAA" w14:textId="3B69EC55" w:rsidR="004F482F" w:rsidRDefault="004F482F" w:rsidP="41C9ECC3">
      <w:pPr>
        <w:spacing w:after="220" w:line="360" w:lineRule="auto"/>
        <w:jc w:val="both"/>
        <w:rPr>
          <w:rFonts w:ascii="Arial" w:eastAsia="Arial" w:hAnsi="Arial" w:cs="Arial"/>
        </w:rPr>
      </w:pPr>
    </w:p>
    <w:p w14:paraId="4AD6AD8F" w14:textId="093691A8" w:rsidR="004F482F" w:rsidRDefault="01E42446" w:rsidP="41C9ECC3">
      <w:pPr>
        <w:spacing w:after="220" w:line="360" w:lineRule="auto"/>
        <w:jc w:val="both"/>
        <w:rPr>
          <w:rFonts w:ascii="Arial" w:eastAsia="Arial" w:hAnsi="Arial" w:cs="Arial"/>
        </w:rPr>
      </w:pPr>
      <w:r w:rsidRPr="41C9ECC3">
        <w:rPr>
          <w:rFonts w:ascii="Arial" w:eastAsia="Arial" w:hAnsi="Arial" w:cs="Arial"/>
        </w:rPr>
        <w:lastRenderedPageBreak/>
        <w:t>Artificial Intelligence (AI) is increasingly shaping the landscape of higher education, offering advanced tools for personalised learning, academic research, and writing assistance. AI-powered platforms such as adaptive learning systems, automated feedback tools, and research assistants are revolutionising the way students engage with education. However, while AI improves accessibility and learning efficiency, critics argue that it compromises academic integrity by facilitating plagiarism and reducing independent thought. This essay argues that AI enhances academic learning by broadening accessibility, personalising education, and streamlining research efficiency, with potential ethical risks effectively managed through AI detection systems</w:t>
      </w:r>
      <w:r w:rsidR="007172F4">
        <w:rPr>
          <w:rFonts w:ascii="Arial" w:eastAsia="Arial" w:hAnsi="Arial" w:cs="Arial"/>
        </w:rPr>
        <w:t xml:space="preserve"> </w:t>
      </w:r>
      <w:r w:rsidRPr="41C9ECC3">
        <w:rPr>
          <w:rFonts w:ascii="Arial" w:eastAsia="Arial" w:hAnsi="Arial" w:cs="Arial"/>
        </w:rPr>
        <w:t>and academic regulations.</w:t>
      </w:r>
      <w:r w:rsidR="00000000">
        <w:br/>
      </w:r>
      <w:r w:rsidRPr="41C9ECC3">
        <w:rPr>
          <w:rFonts w:ascii="Arial" w:eastAsia="Arial" w:hAnsi="Arial" w:cs="Arial"/>
        </w:rPr>
        <w:t xml:space="preserve">Artificial Intelligence has significantly improved accessibility in education, ensuring that students from diverse backgrounds, including those with disabilities or language barriers, can engage with learning materials effectively. AI-powered tools such as speech-to-text software, AI tutors, and chatbots offer real-time assistance, enabling students with visual impairments or dyslexia to access educational content more easily. Additionally, AI-driven platforms like Grammarly and </w:t>
      </w:r>
      <w:proofErr w:type="spellStart"/>
      <w:r w:rsidRPr="41C9ECC3">
        <w:rPr>
          <w:rFonts w:ascii="Arial" w:eastAsia="Arial" w:hAnsi="Arial" w:cs="Arial"/>
        </w:rPr>
        <w:t>Quillbot</w:t>
      </w:r>
      <w:proofErr w:type="spellEnd"/>
      <w:r w:rsidRPr="41C9ECC3">
        <w:rPr>
          <w:rFonts w:ascii="Arial" w:eastAsia="Arial" w:hAnsi="Arial" w:cs="Arial"/>
        </w:rPr>
        <w:t xml:space="preserve"> help non-native English speakers refine their writing skills, ensuring clarity and coherence in academic work.</w:t>
      </w:r>
    </w:p>
    <w:p w14:paraId="3078832E" w14:textId="7E8A8306" w:rsidR="004F482F" w:rsidRDefault="01E42446" w:rsidP="41C9ECC3">
      <w:pPr>
        <w:spacing w:after="220" w:line="360" w:lineRule="auto"/>
        <w:jc w:val="both"/>
        <w:rPr>
          <w:rFonts w:ascii="Arial" w:eastAsia="Arial" w:hAnsi="Arial" w:cs="Arial"/>
        </w:rPr>
      </w:pPr>
      <w:r w:rsidRPr="41C9ECC3">
        <w:rPr>
          <w:rFonts w:ascii="Arial" w:eastAsia="Arial" w:hAnsi="Arial" w:cs="Arial"/>
        </w:rPr>
        <w:t>Research suggests that AI-powered learning systems increase student engagement by providing tailored support and instant feedback (Cottrell, 2023). Unlike traditional learning methods, AI adapts to individual needs, creating an inclusive academic environment. Critics argue that AI could diminish the role of human instructors, yet evidence shows that these tools complement rather than replace traditional teaching, allowing educators to focus on higher-order skills such as critical thinking and mentorship.</w:t>
      </w:r>
    </w:p>
    <w:p w14:paraId="0134F387" w14:textId="22BF266F" w:rsidR="004F482F" w:rsidRDefault="01E42446" w:rsidP="41C9ECC3">
      <w:pPr>
        <w:spacing w:after="220" w:line="360" w:lineRule="auto"/>
        <w:jc w:val="both"/>
        <w:rPr>
          <w:rFonts w:ascii="Arial" w:eastAsia="Arial" w:hAnsi="Arial" w:cs="Arial"/>
        </w:rPr>
      </w:pPr>
      <w:r w:rsidRPr="41C9ECC3">
        <w:rPr>
          <w:rFonts w:ascii="Arial" w:eastAsia="Arial" w:hAnsi="Arial" w:cs="Arial"/>
        </w:rPr>
        <w:t xml:space="preserve">Artificial Intelligence has transformed education by enabling personalised learning experiences tailored to individual student needs. Adaptive AI systems, such as those used by Coursera, Duolingo, and Khan Academy, adjust learning materials based on a student's progress, ensuring a customised educational journey. These platforms analyse user performance and adapt lesson </w:t>
      </w:r>
      <w:r w:rsidR="767A869C" w:rsidRPr="41C9ECC3">
        <w:rPr>
          <w:rFonts w:ascii="Arial" w:eastAsia="Arial" w:hAnsi="Arial" w:cs="Arial"/>
        </w:rPr>
        <w:t>difficulty,</w:t>
      </w:r>
      <w:r w:rsidRPr="41C9ECC3">
        <w:rPr>
          <w:rFonts w:ascii="Arial" w:eastAsia="Arial" w:hAnsi="Arial" w:cs="Arial"/>
        </w:rPr>
        <w:t xml:space="preserve"> accordingly, reinforcing concepts where needed and accelerating progress where appropriate.</w:t>
      </w:r>
    </w:p>
    <w:p w14:paraId="7DF424A1" w14:textId="14F6D13B" w:rsidR="004F482F" w:rsidRDefault="01E42446" w:rsidP="41C9ECC3">
      <w:pPr>
        <w:spacing w:after="220" w:line="360" w:lineRule="auto"/>
        <w:jc w:val="both"/>
        <w:rPr>
          <w:rFonts w:ascii="Arial" w:eastAsia="Arial" w:hAnsi="Arial" w:cs="Arial"/>
        </w:rPr>
      </w:pPr>
      <w:r w:rsidRPr="41C9ECC3">
        <w:rPr>
          <w:rFonts w:ascii="Arial" w:eastAsia="Arial" w:hAnsi="Arial" w:cs="Arial"/>
        </w:rPr>
        <w:t xml:space="preserve">AI also plays a crucial role in identifying struggling students early by detecting patterns in their engagement and performance. This allows educators to implement targeted </w:t>
      </w:r>
      <w:r w:rsidRPr="41C9ECC3">
        <w:rPr>
          <w:rFonts w:ascii="Arial" w:eastAsia="Arial" w:hAnsi="Arial" w:cs="Arial"/>
        </w:rPr>
        <w:lastRenderedPageBreak/>
        <w:t>interventions, preventing students from falling behind. Research suggests that AI-powered adaptive learning systems enhance knowledge retention and increase student motivation by aligning content with individual learning styles (McMillan, 2021).</w:t>
      </w:r>
    </w:p>
    <w:p w14:paraId="5CDF0323" w14:textId="6DAC5514" w:rsidR="004F482F" w:rsidRDefault="01E42446" w:rsidP="41C9ECC3">
      <w:pPr>
        <w:spacing w:after="220" w:line="360" w:lineRule="auto"/>
        <w:jc w:val="both"/>
        <w:rPr>
          <w:rFonts w:ascii="Arial" w:eastAsia="Arial" w:hAnsi="Arial" w:cs="Arial"/>
        </w:rPr>
      </w:pPr>
      <w:r w:rsidRPr="41C9ECC3">
        <w:rPr>
          <w:rFonts w:ascii="Arial" w:eastAsia="Arial" w:hAnsi="Arial" w:cs="Arial"/>
        </w:rPr>
        <w:t xml:space="preserve">While concerns </w:t>
      </w:r>
      <w:r w:rsidR="0F48CD56" w:rsidRPr="41C9ECC3">
        <w:rPr>
          <w:rFonts w:ascii="Arial" w:eastAsia="Arial" w:hAnsi="Arial" w:cs="Arial"/>
        </w:rPr>
        <w:t>exist,</w:t>
      </w:r>
      <w:r w:rsidRPr="41C9ECC3">
        <w:rPr>
          <w:rFonts w:ascii="Arial" w:eastAsia="Arial" w:hAnsi="Arial" w:cs="Arial"/>
        </w:rPr>
        <w:t xml:space="preserve"> that AI might diminish the role of traditional teaching, experts argue that it should be seen as a supplement rather than a replacement, supporting educators in delivering more effective and tailored instruction.</w:t>
      </w:r>
    </w:p>
    <w:p w14:paraId="7A2B224C" w14:textId="79A906A3" w:rsidR="004F482F" w:rsidRDefault="01E42446" w:rsidP="41C9ECC3">
      <w:pPr>
        <w:spacing w:after="220" w:line="360" w:lineRule="auto"/>
        <w:jc w:val="both"/>
        <w:rPr>
          <w:rFonts w:ascii="Arial" w:eastAsia="Arial" w:hAnsi="Arial" w:cs="Arial"/>
        </w:rPr>
      </w:pPr>
      <w:r w:rsidRPr="41C9ECC3">
        <w:rPr>
          <w:rFonts w:ascii="Arial" w:eastAsia="Arial" w:hAnsi="Arial" w:cs="Arial"/>
        </w:rPr>
        <w:t>Artificial Intelligence has revolutionised academic research by streamlining data analysis, citation generation, and literature reviews. AI-powered tools such as Google Scholar AI and Elicit.org enable students to quickly locate credible sources, summarise key findings, and organise references efficiently. These advancements significantly reduce the time spent on manual research, allowing students to focus more on critical analysis and argument development rather than administrative tasks.</w:t>
      </w:r>
    </w:p>
    <w:p w14:paraId="6BC3F00B" w14:textId="2FE9F126" w:rsidR="004F482F" w:rsidRDefault="01E42446" w:rsidP="41C9ECC3">
      <w:pPr>
        <w:spacing w:after="220" w:line="360" w:lineRule="auto"/>
        <w:jc w:val="both"/>
        <w:rPr>
          <w:rFonts w:ascii="Arial" w:eastAsia="Arial" w:hAnsi="Arial" w:cs="Arial"/>
        </w:rPr>
      </w:pPr>
      <w:r w:rsidRPr="41C9ECC3">
        <w:rPr>
          <w:rFonts w:ascii="Arial" w:eastAsia="Arial" w:hAnsi="Arial" w:cs="Arial"/>
        </w:rPr>
        <w:t>Research indicates that AI enhances productivity in academic writing, as automated referencing tools minimise errors and improve efficiency (Van Emden &amp; Becker, 2022). Furthermore, AI-driven analytical tools assist in detecting trends within large datasets, making research more accessible to students across disciplines.</w:t>
      </w:r>
    </w:p>
    <w:p w14:paraId="34921269" w14:textId="144A41E7" w:rsidR="004F482F" w:rsidRDefault="01E42446" w:rsidP="41C9ECC3">
      <w:pPr>
        <w:spacing w:after="220" w:line="360" w:lineRule="auto"/>
        <w:jc w:val="both"/>
        <w:rPr>
          <w:rFonts w:ascii="Arial" w:eastAsia="Arial" w:hAnsi="Arial" w:cs="Arial"/>
        </w:rPr>
      </w:pPr>
      <w:r w:rsidRPr="41C9ECC3">
        <w:rPr>
          <w:rFonts w:ascii="Arial" w:eastAsia="Arial" w:hAnsi="Arial" w:cs="Arial"/>
        </w:rPr>
        <w:t xml:space="preserve">Despite concerns that AI could facilitate academic dishonesty, universities are implementing AI detection systems, such as Turnitin and </w:t>
      </w:r>
      <w:proofErr w:type="spellStart"/>
      <w:r w:rsidRPr="41C9ECC3">
        <w:rPr>
          <w:rFonts w:ascii="Arial" w:eastAsia="Arial" w:hAnsi="Arial" w:cs="Arial"/>
        </w:rPr>
        <w:t>GPTZero</w:t>
      </w:r>
      <w:proofErr w:type="spellEnd"/>
      <w:r w:rsidRPr="41C9ECC3">
        <w:rPr>
          <w:rFonts w:ascii="Arial" w:eastAsia="Arial" w:hAnsi="Arial" w:cs="Arial"/>
        </w:rPr>
        <w:t>, to monitor and regulate AI-generated content, ensuring that AI is used ethically and responsibly.</w:t>
      </w:r>
    </w:p>
    <w:p w14:paraId="0E744C1B" w14:textId="0D7E856B" w:rsidR="004F482F" w:rsidRPr="007172F4" w:rsidRDefault="01E42446" w:rsidP="41C9ECC3">
      <w:pPr>
        <w:spacing w:after="220" w:line="360" w:lineRule="auto"/>
        <w:jc w:val="both"/>
        <w:rPr>
          <w:rFonts w:ascii="Arial" w:eastAsia="Arial" w:hAnsi="Arial" w:cs="Arial"/>
          <w:b/>
          <w:bCs/>
        </w:rPr>
      </w:pPr>
      <w:r w:rsidRPr="41C9ECC3">
        <w:rPr>
          <w:rFonts w:ascii="Arial" w:eastAsia="Arial" w:hAnsi="Arial" w:cs="Arial"/>
        </w:rPr>
        <w:t xml:space="preserve">Artificial Intelligence has significantly enhanced academic learning by improving accessibility, enabling personalised education, and streamlining research efficiency. AI-powered tools support students with disabilities, adapt to individual learning needs, and facilitate efficient academic research, </w:t>
      </w:r>
      <w:r w:rsidR="435562D6" w:rsidRPr="41C9ECC3">
        <w:rPr>
          <w:rFonts w:ascii="Arial" w:eastAsia="Arial" w:hAnsi="Arial" w:cs="Arial"/>
        </w:rPr>
        <w:t xml:space="preserve">improve </w:t>
      </w:r>
      <w:r w:rsidRPr="41C9ECC3">
        <w:rPr>
          <w:rFonts w:ascii="Arial" w:eastAsia="Arial" w:hAnsi="Arial" w:cs="Arial"/>
        </w:rPr>
        <w:t xml:space="preserve">the educational experience. While ethical concerns, such as plagiarism and academic dishonesty, remain valid, universities can effectively regulate AI use through policies and AI detection systems like Turnitin and </w:t>
      </w:r>
      <w:proofErr w:type="spellStart"/>
      <w:r w:rsidRPr="41C9ECC3">
        <w:rPr>
          <w:rFonts w:ascii="Arial" w:eastAsia="Arial" w:hAnsi="Arial" w:cs="Arial"/>
        </w:rPr>
        <w:t>GPTZero</w:t>
      </w:r>
      <w:proofErr w:type="spellEnd"/>
      <w:r w:rsidRPr="41C9ECC3">
        <w:rPr>
          <w:rFonts w:ascii="Arial" w:eastAsia="Arial" w:hAnsi="Arial" w:cs="Arial"/>
        </w:rPr>
        <w:t>. When integrated ethically and responsibly, AI serves as a transformative tool that empowers both students and educators, fostering engagement, efficiency, and academic success in the digital era.</w:t>
      </w:r>
      <w:r w:rsidR="00000000">
        <w:br/>
      </w:r>
      <w:r w:rsidRPr="41C9ECC3">
        <w:rPr>
          <w:rFonts w:ascii="Arial" w:eastAsia="Arial" w:hAnsi="Arial" w:cs="Arial"/>
        </w:rPr>
        <w:t xml:space="preserve"> </w:t>
      </w:r>
    </w:p>
    <w:p w14:paraId="26D26960" w14:textId="457506D7" w:rsidR="004F482F" w:rsidRDefault="00000000" w:rsidP="41C9ECC3">
      <w:pPr>
        <w:spacing w:after="220" w:line="360" w:lineRule="auto"/>
        <w:jc w:val="both"/>
        <w:rPr>
          <w:rFonts w:ascii="Arial" w:eastAsia="Arial" w:hAnsi="Arial" w:cs="Arial"/>
          <w:b/>
          <w:bCs/>
        </w:rPr>
      </w:pPr>
      <w:r>
        <w:lastRenderedPageBreak/>
        <w:br/>
      </w:r>
      <w:r w:rsidR="01E42446" w:rsidRPr="41C9ECC3">
        <w:rPr>
          <w:rFonts w:ascii="Arial" w:eastAsia="Arial" w:hAnsi="Arial" w:cs="Arial"/>
          <w:b/>
          <w:bCs/>
        </w:rPr>
        <w:t>References</w:t>
      </w:r>
    </w:p>
    <w:p w14:paraId="67DB5B8D" w14:textId="1694BD4E" w:rsidR="004F482F" w:rsidRDefault="01E42446" w:rsidP="41C9ECC3">
      <w:pPr>
        <w:spacing w:after="220" w:line="240" w:lineRule="auto"/>
        <w:ind w:left="284"/>
        <w:jc w:val="both"/>
        <w:rPr>
          <w:rFonts w:ascii="Arial" w:eastAsia="Arial" w:hAnsi="Arial" w:cs="Arial"/>
        </w:rPr>
      </w:pPr>
      <w:r w:rsidRPr="41C9ECC3">
        <w:rPr>
          <w:rFonts w:ascii="Arial" w:eastAsia="Arial" w:hAnsi="Arial" w:cs="Arial"/>
        </w:rPr>
        <w:t xml:space="preserve">Cottrell, S. (2023) Critical Thinking Skills: Effective Analysis, Argument and Reflection. 4th </w:t>
      </w:r>
      <w:proofErr w:type="spellStart"/>
      <w:r w:rsidRPr="41C9ECC3">
        <w:rPr>
          <w:rFonts w:ascii="Arial" w:eastAsia="Arial" w:hAnsi="Arial" w:cs="Arial"/>
        </w:rPr>
        <w:t>edn</w:t>
      </w:r>
      <w:proofErr w:type="spellEnd"/>
      <w:r w:rsidRPr="41C9ECC3">
        <w:rPr>
          <w:rFonts w:ascii="Arial" w:eastAsia="Arial" w:hAnsi="Arial" w:cs="Arial"/>
        </w:rPr>
        <w:t>. London: Bloomsbury Academic.</w:t>
      </w:r>
    </w:p>
    <w:p w14:paraId="52FF598F" w14:textId="22DDEB84" w:rsidR="004F482F" w:rsidRDefault="01E42446" w:rsidP="41C9ECC3">
      <w:pPr>
        <w:spacing w:after="220" w:line="240" w:lineRule="auto"/>
        <w:ind w:left="284"/>
        <w:jc w:val="both"/>
        <w:rPr>
          <w:rFonts w:ascii="Arial" w:eastAsia="Arial" w:hAnsi="Arial" w:cs="Arial"/>
        </w:rPr>
      </w:pPr>
      <w:r w:rsidRPr="41C9ECC3">
        <w:rPr>
          <w:rFonts w:ascii="Arial" w:eastAsia="Arial" w:hAnsi="Arial" w:cs="Arial"/>
        </w:rPr>
        <w:t xml:space="preserve">McMillan, K. (2021) The Study Skills Book: Your Essential Guide to University Success. 4th </w:t>
      </w:r>
      <w:proofErr w:type="spellStart"/>
      <w:r w:rsidRPr="41C9ECC3">
        <w:rPr>
          <w:rFonts w:ascii="Arial" w:eastAsia="Arial" w:hAnsi="Arial" w:cs="Arial"/>
        </w:rPr>
        <w:t>edn</w:t>
      </w:r>
      <w:proofErr w:type="spellEnd"/>
      <w:r w:rsidRPr="41C9ECC3">
        <w:rPr>
          <w:rFonts w:ascii="Arial" w:eastAsia="Arial" w:hAnsi="Arial" w:cs="Arial"/>
        </w:rPr>
        <w:t>. Harlow: Pearson.</w:t>
      </w:r>
    </w:p>
    <w:p w14:paraId="0D8567FB" w14:textId="76A45F0C" w:rsidR="004F482F" w:rsidRDefault="01E42446" w:rsidP="41C9ECC3">
      <w:pPr>
        <w:spacing w:after="220" w:line="240" w:lineRule="auto"/>
        <w:ind w:left="284"/>
        <w:jc w:val="both"/>
        <w:rPr>
          <w:rFonts w:ascii="Arial" w:eastAsia="Arial" w:hAnsi="Arial" w:cs="Arial"/>
        </w:rPr>
      </w:pPr>
      <w:r w:rsidRPr="41C9ECC3">
        <w:rPr>
          <w:rFonts w:ascii="Arial" w:eastAsia="Arial" w:hAnsi="Arial" w:cs="Arial"/>
        </w:rPr>
        <w:t xml:space="preserve">Van Emden, J. and Becker, L. (2022) Presentation Skills for Students. 3rd </w:t>
      </w:r>
      <w:proofErr w:type="spellStart"/>
      <w:r w:rsidRPr="41C9ECC3">
        <w:rPr>
          <w:rFonts w:ascii="Arial" w:eastAsia="Arial" w:hAnsi="Arial" w:cs="Arial"/>
        </w:rPr>
        <w:t>edn</w:t>
      </w:r>
      <w:proofErr w:type="spellEnd"/>
      <w:r w:rsidRPr="41C9ECC3">
        <w:rPr>
          <w:rFonts w:ascii="Arial" w:eastAsia="Arial" w:hAnsi="Arial" w:cs="Arial"/>
        </w:rPr>
        <w:t>. London: Bloomsbury Academic.</w:t>
      </w:r>
    </w:p>
    <w:p w14:paraId="5C7881A8" w14:textId="6CB735A2" w:rsidR="004F482F" w:rsidRDefault="01E42446" w:rsidP="41C9ECC3">
      <w:pPr>
        <w:spacing w:after="220" w:line="240" w:lineRule="auto"/>
        <w:ind w:left="284"/>
        <w:jc w:val="both"/>
        <w:rPr>
          <w:rFonts w:ascii="Arial" w:eastAsia="Arial" w:hAnsi="Arial" w:cs="Arial"/>
        </w:rPr>
      </w:pPr>
      <w:r w:rsidRPr="41C9ECC3">
        <w:rPr>
          <w:rFonts w:ascii="Arial" w:eastAsia="Arial" w:hAnsi="Arial" w:cs="Arial"/>
        </w:rPr>
        <w:t xml:space="preserve">Cite Them Right (2023) The Essential Referencing Guide. 12th </w:t>
      </w:r>
      <w:proofErr w:type="spellStart"/>
      <w:r w:rsidRPr="41C9ECC3">
        <w:rPr>
          <w:rFonts w:ascii="Arial" w:eastAsia="Arial" w:hAnsi="Arial" w:cs="Arial"/>
        </w:rPr>
        <w:t>edn</w:t>
      </w:r>
      <w:proofErr w:type="spellEnd"/>
      <w:r w:rsidRPr="41C9ECC3">
        <w:rPr>
          <w:rFonts w:ascii="Arial" w:eastAsia="Arial" w:hAnsi="Arial" w:cs="Arial"/>
        </w:rPr>
        <w:t xml:space="preserve">. London: Bloomsbury Academic. Available at: </w:t>
      </w:r>
      <w:hyperlink r:id="rId5">
        <w:r w:rsidRPr="41C9ECC3">
          <w:rPr>
            <w:rStyle w:val="Hyperlink"/>
            <w:rFonts w:ascii="Arial" w:eastAsia="Arial" w:hAnsi="Arial" w:cs="Arial"/>
          </w:rPr>
          <w:t>https://www.citethemrightonline.com</w:t>
        </w:r>
      </w:hyperlink>
      <w:r w:rsidRPr="41C9ECC3">
        <w:rPr>
          <w:rFonts w:ascii="Arial" w:eastAsia="Arial" w:hAnsi="Arial" w:cs="Arial"/>
        </w:rPr>
        <w:t xml:space="preserve"> (Accessed: 13/02/2025).</w:t>
      </w:r>
    </w:p>
    <w:p w14:paraId="2862855A" w14:textId="27572E41" w:rsidR="004F482F" w:rsidRDefault="01E42446" w:rsidP="41C9ECC3">
      <w:pPr>
        <w:spacing w:after="220" w:line="240" w:lineRule="auto"/>
        <w:ind w:left="284"/>
        <w:jc w:val="both"/>
        <w:rPr>
          <w:rFonts w:ascii="Arial" w:eastAsia="Arial" w:hAnsi="Arial" w:cs="Arial"/>
        </w:rPr>
      </w:pPr>
      <w:r w:rsidRPr="41C9ECC3">
        <w:rPr>
          <w:rFonts w:ascii="Arial" w:eastAsia="Arial" w:hAnsi="Arial" w:cs="Arial"/>
        </w:rPr>
        <w:t xml:space="preserve">Grand View Research (2023) Artificial Intelligence in Education Market Size, Share &amp; Trends Analysis Report. Available at: </w:t>
      </w:r>
      <w:hyperlink r:id="rId6">
        <w:r w:rsidRPr="41C9ECC3">
          <w:rPr>
            <w:rStyle w:val="Hyperlink"/>
            <w:rFonts w:ascii="Arial" w:eastAsia="Arial" w:hAnsi="Arial" w:cs="Arial"/>
          </w:rPr>
          <w:t>https://www.grandviewresearch.com</w:t>
        </w:r>
      </w:hyperlink>
      <w:r w:rsidRPr="41C9ECC3">
        <w:rPr>
          <w:rFonts w:ascii="Arial" w:eastAsia="Arial" w:hAnsi="Arial" w:cs="Arial"/>
        </w:rPr>
        <w:t xml:space="preserve"> (Accessed: 12/02/2025).</w:t>
      </w:r>
    </w:p>
    <w:p w14:paraId="48CE6AE8" w14:textId="57A65275" w:rsidR="004F482F" w:rsidRDefault="01E42446" w:rsidP="41C9ECC3">
      <w:pPr>
        <w:spacing w:after="220" w:line="360" w:lineRule="auto"/>
        <w:ind w:firstLine="284"/>
        <w:jc w:val="both"/>
        <w:rPr>
          <w:rFonts w:ascii="Arial" w:eastAsia="Arial" w:hAnsi="Arial" w:cs="Arial"/>
        </w:rPr>
      </w:pPr>
      <w:r w:rsidRPr="41C9ECC3">
        <w:rPr>
          <w:rFonts w:ascii="Arial" w:eastAsia="Arial" w:hAnsi="Arial" w:cs="Arial"/>
        </w:rPr>
        <w:t xml:space="preserve"> </w:t>
      </w:r>
    </w:p>
    <w:p w14:paraId="7EEBB594" w14:textId="70D4434A" w:rsidR="004F482F" w:rsidRDefault="01E42446" w:rsidP="41C9ECC3">
      <w:pPr>
        <w:spacing w:after="220" w:line="360" w:lineRule="auto"/>
        <w:ind w:firstLine="284"/>
        <w:jc w:val="both"/>
        <w:rPr>
          <w:rFonts w:ascii="Arial" w:eastAsia="Arial" w:hAnsi="Arial" w:cs="Arial"/>
        </w:rPr>
      </w:pPr>
      <w:r w:rsidRPr="41C9ECC3">
        <w:rPr>
          <w:rFonts w:ascii="Arial" w:eastAsia="Arial" w:hAnsi="Arial" w:cs="Arial"/>
        </w:rPr>
        <w:t xml:space="preserve"> </w:t>
      </w:r>
    </w:p>
    <w:p w14:paraId="30D28D40" w14:textId="274B2F3E" w:rsidR="004F482F" w:rsidRDefault="01E42446" w:rsidP="41C9ECC3">
      <w:pPr>
        <w:spacing w:after="220" w:line="360" w:lineRule="auto"/>
        <w:ind w:firstLine="284"/>
        <w:jc w:val="both"/>
        <w:rPr>
          <w:rFonts w:ascii="Arial" w:eastAsia="Arial" w:hAnsi="Arial" w:cs="Arial"/>
        </w:rPr>
      </w:pPr>
      <w:r w:rsidRPr="41C9ECC3">
        <w:rPr>
          <w:rFonts w:ascii="Arial" w:eastAsia="Arial" w:hAnsi="Arial" w:cs="Arial"/>
        </w:rPr>
        <w:t xml:space="preserve"> </w:t>
      </w:r>
    </w:p>
    <w:p w14:paraId="230A5D88" w14:textId="33437C67" w:rsidR="004F482F" w:rsidRDefault="01E42446" w:rsidP="41C9ECC3">
      <w:pPr>
        <w:spacing w:after="220" w:line="360" w:lineRule="auto"/>
        <w:ind w:firstLine="284"/>
        <w:jc w:val="both"/>
        <w:rPr>
          <w:rFonts w:ascii="Arial" w:eastAsia="Arial" w:hAnsi="Arial" w:cs="Arial"/>
        </w:rPr>
      </w:pPr>
      <w:r w:rsidRPr="41C9ECC3">
        <w:rPr>
          <w:rFonts w:ascii="Arial" w:eastAsia="Arial" w:hAnsi="Arial" w:cs="Arial"/>
        </w:rPr>
        <w:t xml:space="preserve"> </w:t>
      </w:r>
    </w:p>
    <w:p w14:paraId="7B2BAF67" w14:textId="034F3695" w:rsidR="004F482F" w:rsidRDefault="01E42446" w:rsidP="41C9ECC3">
      <w:pPr>
        <w:spacing w:after="220" w:line="360" w:lineRule="auto"/>
        <w:ind w:firstLine="284"/>
        <w:jc w:val="both"/>
        <w:rPr>
          <w:rFonts w:ascii="Arial" w:eastAsia="Arial" w:hAnsi="Arial" w:cs="Arial"/>
        </w:rPr>
      </w:pPr>
      <w:r w:rsidRPr="41C9ECC3">
        <w:rPr>
          <w:rFonts w:ascii="Arial" w:eastAsia="Arial" w:hAnsi="Arial" w:cs="Arial"/>
        </w:rPr>
        <w:t xml:space="preserve"> </w:t>
      </w:r>
    </w:p>
    <w:p w14:paraId="71BC5D32" w14:textId="48B4ADC0" w:rsidR="004F482F" w:rsidRDefault="01E42446" w:rsidP="41C9ECC3">
      <w:pPr>
        <w:spacing w:after="220" w:line="360" w:lineRule="auto"/>
        <w:ind w:firstLine="284"/>
        <w:jc w:val="both"/>
        <w:rPr>
          <w:rFonts w:ascii="Arial" w:eastAsia="Arial" w:hAnsi="Arial" w:cs="Arial"/>
        </w:rPr>
      </w:pPr>
      <w:r w:rsidRPr="41C9ECC3">
        <w:rPr>
          <w:rFonts w:ascii="Arial" w:eastAsia="Arial" w:hAnsi="Arial" w:cs="Arial"/>
        </w:rPr>
        <w:t xml:space="preserve"> </w:t>
      </w:r>
    </w:p>
    <w:p w14:paraId="1432AF9D" w14:textId="301E02C2" w:rsidR="004F482F" w:rsidRDefault="004F482F" w:rsidP="41C9ECC3">
      <w:pPr>
        <w:spacing w:after="220" w:line="360" w:lineRule="auto"/>
        <w:ind w:firstLine="284"/>
        <w:jc w:val="both"/>
        <w:rPr>
          <w:rFonts w:ascii="Arial" w:eastAsia="Arial" w:hAnsi="Arial" w:cs="Arial"/>
        </w:rPr>
      </w:pPr>
    </w:p>
    <w:p w14:paraId="5E5787A5" w14:textId="66023F21" w:rsidR="004F482F" w:rsidRDefault="004F482F" w:rsidP="41C9ECC3">
      <w:pPr>
        <w:spacing w:line="360" w:lineRule="auto"/>
        <w:jc w:val="both"/>
        <w:rPr>
          <w:rFonts w:ascii="Arial" w:eastAsia="Arial" w:hAnsi="Arial" w:cs="Arial"/>
        </w:rPr>
      </w:pPr>
    </w:p>
    <w:sectPr w:rsidR="004F482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84EC"/>
    <w:rsid w:val="004F482F"/>
    <w:rsid w:val="006084EC"/>
    <w:rsid w:val="006F195C"/>
    <w:rsid w:val="007172F4"/>
    <w:rsid w:val="018BE185"/>
    <w:rsid w:val="01E42446"/>
    <w:rsid w:val="0734F327"/>
    <w:rsid w:val="0F48CD56"/>
    <w:rsid w:val="1230F6A8"/>
    <w:rsid w:val="3CB681FD"/>
    <w:rsid w:val="41C9ECC3"/>
    <w:rsid w:val="435562D6"/>
    <w:rsid w:val="5D44B88F"/>
    <w:rsid w:val="5F75A730"/>
    <w:rsid w:val="75B431AE"/>
    <w:rsid w:val="767A869C"/>
    <w:rsid w:val="772948CA"/>
    <w:rsid w:val="7E2AC812"/>
    <w:rsid w:val="7FBDD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084EC"/>
  <w15:chartTrackingRefBased/>
  <w15:docId w15:val="{D248F37C-7846-457A-91D6-17A213210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1C9ECC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randviewresearch.com/" TargetMode="External"/><Relationship Id="rId5" Type="http://schemas.openxmlformats.org/officeDocument/2006/relationships/hyperlink" Target="https://www.citethemrightonline.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870</Words>
  <Characters>4959</Characters>
  <Application>Microsoft Office Word</Application>
  <DocSecurity>0</DocSecurity>
  <Lines>41</Lines>
  <Paragraphs>11</Paragraphs>
  <ScaleCrop>false</ScaleCrop>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Evelinne Dicu (2422448)</dc:creator>
  <cp:keywords/>
  <dc:description/>
  <cp:lastModifiedBy>evelinnealice1977@gmail.com</cp:lastModifiedBy>
  <cp:revision>3</cp:revision>
  <dcterms:created xsi:type="dcterms:W3CDTF">2025-02-14T22:48:00Z</dcterms:created>
  <dcterms:modified xsi:type="dcterms:W3CDTF">2025-02-14T23:07:00Z</dcterms:modified>
</cp:coreProperties>
</file>