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61271986"/>
        <w:docPartObj>
          <w:docPartGallery w:val="Cover Pages"/>
          <w:docPartUnique/>
        </w:docPartObj>
      </w:sdtPr>
      <w:sdtEndPr>
        <w:rPr>
          <w:rFonts w:ascii="Arial Black" w:hAnsi="Arial Black" w:cs="Arial"/>
          <w:sz w:val="24"/>
          <w:szCs w:val="24"/>
        </w:rPr>
      </w:sdtEndPr>
      <w:sdtContent>
        <w:p w14:paraId="25E7FF25" w14:textId="4ADE2D97" w:rsidR="001C3E34" w:rsidRDefault="001C3E34"/>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1C3E34" w14:paraId="734BF092" w14:textId="77777777">
            <w:tc>
              <w:tcPr>
                <w:tcW w:w="7672" w:type="dxa"/>
                <w:tcMar>
                  <w:top w:w="216" w:type="dxa"/>
                  <w:left w:w="115" w:type="dxa"/>
                  <w:bottom w:w="216" w:type="dxa"/>
                  <w:right w:w="115" w:type="dxa"/>
                </w:tcMar>
              </w:tcPr>
              <w:p w14:paraId="5033EE5B" w14:textId="26953C1D" w:rsidR="001C3E34" w:rsidRDefault="001C3E34">
                <w:pPr>
                  <w:pStyle w:val="NoSpacing"/>
                  <w:rPr>
                    <w:color w:val="0F4761" w:themeColor="accent1" w:themeShade="BF"/>
                    <w:sz w:val="24"/>
                  </w:rPr>
                </w:pPr>
              </w:p>
            </w:tc>
          </w:tr>
          <w:tr w:rsidR="00A9647F" w:rsidRPr="00A9647F" w14:paraId="4BDD3EEC" w14:textId="77777777">
            <w:tc>
              <w:tcPr>
                <w:tcW w:w="7672" w:type="dxa"/>
              </w:tcPr>
              <w:sdt>
                <w:sdtPr>
                  <w:rPr>
                    <w:rFonts w:ascii="Arial Black" w:eastAsiaTheme="majorEastAsia" w:hAnsi="Arial Black" w:cstheme="majorBidi"/>
                    <w:color w:val="000000" w:themeColor="text1"/>
                    <w:sz w:val="88"/>
                    <w:szCs w:val="88"/>
                  </w:rPr>
                  <w:alias w:val="Title"/>
                  <w:id w:val="13406919"/>
                  <w:placeholder>
                    <w:docPart w:val="226A7C1846744A799DFE143965E51251"/>
                  </w:placeholder>
                  <w:dataBinding w:prefixMappings="xmlns:ns0='http://schemas.openxmlformats.org/package/2006/metadata/core-properties' xmlns:ns1='http://purl.org/dc/elements/1.1/'" w:xpath="/ns0:coreProperties[1]/ns1:title[1]" w:storeItemID="{6C3C8BC8-F283-45AE-878A-BAB7291924A1}"/>
                  <w:text/>
                </w:sdtPr>
                <w:sdtContent>
                  <w:p w14:paraId="4359173C" w14:textId="0D065304" w:rsidR="001C3E34" w:rsidRPr="00A9647F" w:rsidRDefault="001C3E34">
                    <w:pPr>
                      <w:pStyle w:val="NoSpacing"/>
                      <w:spacing w:line="216" w:lineRule="auto"/>
                      <w:rPr>
                        <w:rFonts w:ascii="Arial Black" w:eastAsiaTheme="majorEastAsia" w:hAnsi="Arial Black" w:cstheme="majorBidi"/>
                        <w:color w:val="000000" w:themeColor="text1"/>
                        <w:sz w:val="88"/>
                        <w:szCs w:val="88"/>
                      </w:rPr>
                    </w:pPr>
                    <w:r w:rsidRPr="00A9647F">
                      <w:rPr>
                        <w:rFonts w:ascii="Arial Black" w:eastAsiaTheme="majorEastAsia" w:hAnsi="Arial Black" w:cstheme="majorBidi"/>
                        <w:color w:val="000000" w:themeColor="text1"/>
                        <w:sz w:val="88"/>
                        <w:szCs w:val="88"/>
                      </w:rPr>
                      <w:t xml:space="preserve">Financial Analysis </w:t>
                    </w:r>
                  </w:p>
                </w:sdtContent>
              </w:sdt>
            </w:tc>
          </w:tr>
          <w:tr w:rsidR="001C3E34" w14:paraId="509C7BEC" w14:textId="77777777">
            <w:tc>
              <w:tcPr>
                <w:tcW w:w="7672" w:type="dxa"/>
                <w:tcMar>
                  <w:top w:w="216" w:type="dxa"/>
                  <w:left w:w="115" w:type="dxa"/>
                  <w:bottom w:w="216" w:type="dxa"/>
                  <w:right w:w="115" w:type="dxa"/>
                </w:tcMar>
              </w:tcPr>
              <w:p w14:paraId="01C3D3AE" w14:textId="53F8A550" w:rsidR="001C3E34" w:rsidRDefault="001C3E34">
                <w:pPr>
                  <w:pStyle w:val="NoSpacing"/>
                  <w:rPr>
                    <w:color w:val="0F476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1C3E34" w14:paraId="17FC7FEE" w14:textId="77777777" w:rsidTr="00A9647F">
            <w:tc>
              <w:tcPr>
                <w:tcW w:w="6963" w:type="dxa"/>
                <w:tcMar>
                  <w:top w:w="216" w:type="dxa"/>
                  <w:left w:w="115" w:type="dxa"/>
                  <w:bottom w:w="216" w:type="dxa"/>
                  <w:right w:w="115" w:type="dxa"/>
                </w:tcMar>
              </w:tcPr>
              <w:p w14:paraId="1E4AF20B" w14:textId="245A168A" w:rsidR="001C3E34" w:rsidRPr="00A9647F" w:rsidRDefault="00A9647F">
                <w:pPr>
                  <w:pStyle w:val="NoSpacing"/>
                  <w:rPr>
                    <w:rFonts w:ascii="Arial Black" w:hAnsi="Arial Black"/>
                    <w:color w:val="000000" w:themeColor="text1"/>
                    <w:sz w:val="28"/>
                    <w:szCs w:val="28"/>
                  </w:rPr>
                </w:pPr>
                <w:r w:rsidRPr="00A9647F">
                  <w:rPr>
                    <w:rFonts w:ascii="Arial Black" w:hAnsi="Arial Black"/>
                    <w:color w:val="000000" w:themeColor="text1"/>
                    <w:sz w:val="28"/>
                    <w:szCs w:val="28"/>
                  </w:rPr>
                  <w:t>Giorgiana Andreea Antonache (2316551)</w:t>
                </w:r>
              </w:p>
              <w:sdt>
                <w:sdtPr>
                  <w:rPr>
                    <w:rFonts w:ascii="Arial Black" w:hAnsi="Arial Black"/>
                    <w:color w:val="000000" w:themeColor="text1"/>
                    <w:sz w:val="28"/>
                    <w:szCs w:val="28"/>
                  </w:rPr>
                  <w:alias w:val="Date"/>
                  <w:tag w:val="Date"/>
                  <w:id w:val="13406932"/>
                  <w:placeholder>
                    <w:docPart w:val="CE4A5D7C77DE40C08DBD9739B0ACCB92"/>
                  </w:placeholder>
                  <w:dataBinding w:prefixMappings="xmlns:ns0='http://schemas.microsoft.com/office/2006/coverPageProps'" w:xpath="/ns0:CoverPageProperties[1]/ns0:PublishDate[1]" w:storeItemID="{55AF091B-3C7A-41E3-B477-F2FDAA23CFDA}"/>
                  <w:date w:fullDate="2024-05-12T00:00:00Z">
                    <w:dateFormat w:val="M-d-yyyy"/>
                    <w:lid w:val="en-US"/>
                    <w:storeMappedDataAs w:val="dateTime"/>
                    <w:calendar w:val="gregorian"/>
                  </w:date>
                </w:sdtPr>
                <w:sdtContent>
                  <w:p w14:paraId="3C344A4A" w14:textId="5B4C2094" w:rsidR="001C3E34" w:rsidRPr="00A9647F" w:rsidRDefault="00A9647F">
                    <w:pPr>
                      <w:pStyle w:val="NoSpacing"/>
                      <w:rPr>
                        <w:rFonts w:ascii="Arial Black" w:hAnsi="Arial Black"/>
                        <w:color w:val="000000" w:themeColor="text1"/>
                        <w:sz w:val="28"/>
                        <w:szCs w:val="28"/>
                      </w:rPr>
                    </w:pPr>
                    <w:r w:rsidRPr="00A9647F">
                      <w:rPr>
                        <w:rFonts w:ascii="Arial Black" w:hAnsi="Arial Black"/>
                        <w:color w:val="000000" w:themeColor="text1"/>
                        <w:sz w:val="28"/>
                        <w:szCs w:val="28"/>
                      </w:rPr>
                      <w:t>5-12-2024</w:t>
                    </w:r>
                  </w:p>
                </w:sdtContent>
              </w:sdt>
              <w:p w14:paraId="3D12DEDC" w14:textId="77777777" w:rsidR="001C3E34" w:rsidRDefault="001C3E34">
                <w:pPr>
                  <w:pStyle w:val="NoSpacing"/>
                  <w:rPr>
                    <w:color w:val="156082" w:themeColor="accent1"/>
                  </w:rPr>
                </w:pPr>
              </w:p>
            </w:tc>
          </w:tr>
        </w:tbl>
        <w:p w14:paraId="18A8FC69" w14:textId="7CF81C26" w:rsidR="001C3E34" w:rsidRDefault="00A9647F">
          <w:pPr>
            <w:rPr>
              <w:rFonts w:ascii="Arial Black" w:hAnsi="Arial Black" w:cs="Arial"/>
              <w:sz w:val="24"/>
              <w:szCs w:val="24"/>
            </w:rPr>
          </w:pPr>
          <w:r w:rsidRPr="00A9647F">
            <w:rPr>
              <w:rFonts w:ascii="Arial Black" w:hAnsi="Arial Black" w:cs="Arial"/>
              <w:sz w:val="24"/>
              <w:szCs w:val="24"/>
            </w:rPr>
            <w:drawing>
              <wp:inline distT="0" distB="0" distL="0" distR="0" wp14:anchorId="555CDEC1" wp14:editId="66DA832E">
                <wp:extent cx="3038899" cy="1257475"/>
                <wp:effectExtent l="0" t="0" r="9525" b="0"/>
                <wp:docPr id="1864602340"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602340" name="Picture 1" descr="A close-up of a logo&#10;&#10;Description automatically generated"/>
                        <pic:cNvPicPr/>
                      </pic:nvPicPr>
                      <pic:blipFill>
                        <a:blip r:embed="rId8"/>
                        <a:stretch>
                          <a:fillRect/>
                        </a:stretch>
                      </pic:blipFill>
                      <pic:spPr>
                        <a:xfrm>
                          <a:off x="0" y="0"/>
                          <a:ext cx="3038899" cy="1257475"/>
                        </a:xfrm>
                        <a:prstGeom prst="rect">
                          <a:avLst/>
                        </a:prstGeom>
                      </pic:spPr>
                    </pic:pic>
                  </a:graphicData>
                </a:graphic>
              </wp:inline>
            </w:drawing>
          </w:r>
          <w:r w:rsidR="001C3E34">
            <w:rPr>
              <w:rFonts w:ascii="Arial Black" w:hAnsi="Arial Black" w:cs="Arial"/>
              <w:sz w:val="24"/>
              <w:szCs w:val="24"/>
            </w:rPr>
            <w:br w:type="page"/>
          </w:r>
        </w:p>
      </w:sdtContent>
    </w:sdt>
    <w:p w14:paraId="6E7A9181" w14:textId="52441365" w:rsidR="00C412F8" w:rsidRPr="001C3E34" w:rsidRDefault="00C412F8" w:rsidP="001C3E34">
      <w:pPr>
        <w:spacing w:line="360" w:lineRule="auto"/>
        <w:rPr>
          <w:rFonts w:ascii="Arial Black" w:hAnsi="Arial Black" w:cs="Arial"/>
          <w:sz w:val="24"/>
          <w:szCs w:val="24"/>
        </w:rPr>
      </w:pPr>
      <w:r w:rsidRPr="001C3E34">
        <w:rPr>
          <w:rFonts w:ascii="Arial Black" w:hAnsi="Arial Black" w:cs="Arial"/>
          <w:sz w:val="24"/>
          <w:szCs w:val="24"/>
        </w:rPr>
        <w:lastRenderedPageBreak/>
        <w:t xml:space="preserve">Introduction </w:t>
      </w:r>
    </w:p>
    <w:p w14:paraId="785DAF18" w14:textId="1B80B931" w:rsidR="003A2F4E" w:rsidRDefault="00C412F8" w:rsidP="001C3E34">
      <w:pPr>
        <w:spacing w:line="360" w:lineRule="auto"/>
        <w:rPr>
          <w:rFonts w:ascii="Arial" w:hAnsi="Arial" w:cs="Arial"/>
          <w:sz w:val="24"/>
          <w:szCs w:val="24"/>
        </w:rPr>
      </w:pPr>
      <w:r w:rsidRPr="00C412F8">
        <w:rPr>
          <w:rFonts w:ascii="Arial" w:hAnsi="Arial" w:cs="Arial"/>
          <w:sz w:val="24"/>
          <w:szCs w:val="24"/>
        </w:rPr>
        <w:t xml:space="preserve">The financial analysis of McDonald's Corporation from 2019 to 2022 aims to clarify the company's fiscal dynamics and assess its operational effectiveness over this </w:t>
      </w:r>
      <w:r>
        <w:rPr>
          <w:rFonts w:ascii="Arial" w:hAnsi="Arial" w:cs="Arial"/>
          <w:sz w:val="24"/>
          <w:szCs w:val="24"/>
        </w:rPr>
        <w:t>time</w:t>
      </w:r>
      <w:r w:rsidRPr="00C412F8">
        <w:rPr>
          <w:rFonts w:ascii="Arial" w:hAnsi="Arial" w:cs="Arial"/>
          <w:sz w:val="24"/>
          <w:szCs w:val="24"/>
        </w:rPr>
        <w:t>. This study examines the company's financial statements and does a detailed ratio analysis, which is an important tool for stakeholders seeking to understand the organization's financial health and stability. By evaluating the liquidity, profitability, and solvency ratios, this analysis provides a detailed picture of how successfully McDonald's has managed its resources in the face of changing economic conditions.</w:t>
      </w:r>
      <w:r w:rsidRPr="00C412F8">
        <w:t xml:space="preserve"> </w:t>
      </w:r>
      <w:r w:rsidRPr="00C412F8">
        <w:rPr>
          <w:rFonts w:ascii="Arial" w:hAnsi="Arial" w:cs="Arial"/>
          <w:sz w:val="24"/>
          <w:szCs w:val="24"/>
        </w:rPr>
        <w:t xml:space="preserve">This report's principal objectives are dual. First, it will evaluate McDonald's financial performance over </w:t>
      </w:r>
      <w:r w:rsidR="001C3E34">
        <w:rPr>
          <w:rFonts w:ascii="Arial" w:hAnsi="Arial" w:cs="Arial"/>
          <w:sz w:val="24"/>
          <w:szCs w:val="24"/>
        </w:rPr>
        <w:t>four years</w:t>
      </w:r>
      <w:r w:rsidRPr="00C412F8">
        <w:rPr>
          <w:rFonts w:ascii="Arial" w:hAnsi="Arial" w:cs="Arial"/>
          <w:sz w:val="24"/>
          <w:szCs w:val="24"/>
        </w:rPr>
        <w:t xml:space="preserve">, offering a clear picture of trends and movements in important financial measures. This understanding is critical for investors, creditors, and management because it provides a foundation for making educated decisions. Second, the paper intends to use the ratio analysis results to make strategic recommendations that could improve McDonald's financial resilience and growth potential. These recommendations will focus on operational efficiency, cost management, and revenue creation, </w:t>
      </w:r>
      <w:r w:rsidR="001C3E34">
        <w:rPr>
          <w:rFonts w:ascii="Arial" w:hAnsi="Arial" w:cs="Arial"/>
          <w:sz w:val="24"/>
          <w:szCs w:val="24"/>
        </w:rPr>
        <w:t>to strengthen the company's financial position and ensure</w:t>
      </w:r>
      <w:r w:rsidRPr="00C412F8">
        <w:rPr>
          <w:rFonts w:ascii="Arial" w:hAnsi="Arial" w:cs="Arial"/>
          <w:sz w:val="24"/>
          <w:szCs w:val="24"/>
        </w:rPr>
        <w:t xml:space="preserve"> its long-term viability in the competitive fast-food business.</w:t>
      </w:r>
    </w:p>
    <w:p w14:paraId="28026E4C" w14:textId="77777777" w:rsidR="00C412F8" w:rsidRDefault="00C412F8" w:rsidP="001C3E34">
      <w:pPr>
        <w:spacing w:line="360" w:lineRule="auto"/>
        <w:rPr>
          <w:rFonts w:ascii="Arial" w:hAnsi="Arial" w:cs="Arial"/>
          <w:sz w:val="24"/>
          <w:szCs w:val="24"/>
        </w:rPr>
      </w:pPr>
    </w:p>
    <w:p w14:paraId="4EA647A9" w14:textId="77777777" w:rsidR="00C412F8" w:rsidRDefault="00C412F8" w:rsidP="001C3E34">
      <w:pPr>
        <w:spacing w:line="360" w:lineRule="auto"/>
        <w:rPr>
          <w:rFonts w:ascii="Arial" w:hAnsi="Arial" w:cs="Arial"/>
          <w:sz w:val="24"/>
          <w:szCs w:val="24"/>
        </w:rPr>
      </w:pPr>
    </w:p>
    <w:p w14:paraId="21A312F0" w14:textId="77777777" w:rsidR="00C412F8" w:rsidRDefault="00C412F8" w:rsidP="001C3E34">
      <w:pPr>
        <w:spacing w:line="360" w:lineRule="auto"/>
        <w:rPr>
          <w:rFonts w:ascii="Arial" w:hAnsi="Arial" w:cs="Arial"/>
          <w:sz w:val="24"/>
          <w:szCs w:val="24"/>
        </w:rPr>
      </w:pPr>
    </w:p>
    <w:p w14:paraId="7553F686" w14:textId="77777777" w:rsidR="00C412F8" w:rsidRDefault="00C412F8" w:rsidP="001C3E34">
      <w:pPr>
        <w:spacing w:line="360" w:lineRule="auto"/>
        <w:rPr>
          <w:rFonts w:ascii="Arial" w:hAnsi="Arial" w:cs="Arial"/>
          <w:sz w:val="24"/>
          <w:szCs w:val="24"/>
        </w:rPr>
      </w:pPr>
    </w:p>
    <w:p w14:paraId="031CEC37" w14:textId="77777777" w:rsidR="00C412F8" w:rsidRDefault="00C412F8" w:rsidP="001C3E34">
      <w:pPr>
        <w:spacing w:line="360" w:lineRule="auto"/>
        <w:rPr>
          <w:rFonts w:ascii="Arial" w:hAnsi="Arial" w:cs="Arial"/>
          <w:sz w:val="24"/>
          <w:szCs w:val="24"/>
        </w:rPr>
      </w:pPr>
    </w:p>
    <w:p w14:paraId="6FE0F71D" w14:textId="77777777" w:rsidR="00C412F8" w:rsidRDefault="00C412F8" w:rsidP="001C3E34">
      <w:pPr>
        <w:spacing w:line="360" w:lineRule="auto"/>
        <w:rPr>
          <w:rFonts w:ascii="Arial" w:hAnsi="Arial" w:cs="Arial"/>
          <w:sz w:val="24"/>
          <w:szCs w:val="24"/>
        </w:rPr>
      </w:pPr>
    </w:p>
    <w:p w14:paraId="365B1F3F" w14:textId="77777777" w:rsidR="00C412F8" w:rsidRDefault="00C412F8" w:rsidP="001C3E34">
      <w:pPr>
        <w:spacing w:line="360" w:lineRule="auto"/>
        <w:rPr>
          <w:rFonts w:ascii="Arial" w:hAnsi="Arial" w:cs="Arial"/>
          <w:sz w:val="24"/>
          <w:szCs w:val="24"/>
        </w:rPr>
      </w:pPr>
    </w:p>
    <w:p w14:paraId="54DFD36C" w14:textId="77777777" w:rsidR="00C412F8" w:rsidRDefault="00C412F8" w:rsidP="001C3E34">
      <w:pPr>
        <w:spacing w:line="360" w:lineRule="auto"/>
        <w:rPr>
          <w:rFonts w:ascii="Arial" w:hAnsi="Arial" w:cs="Arial"/>
          <w:sz w:val="24"/>
          <w:szCs w:val="24"/>
        </w:rPr>
      </w:pPr>
    </w:p>
    <w:p w14:paraId="16FF11D7" w14:textId="77777777" w:rsidR="00C412F8" w:rsidRDefault="00C412F8" w:rsidP="001C3E34">
      <w:pPr>
        <w:spacing w:line="360" w:lineRule="auto"/>
        <w:rPr>
          <w:rFonts w:ascii="Arial" w:hAnsi="Arial" w:cs="Arial"/>
          <w:sz w:val="24"/>
          <w:szCs w:val="24"/>
        </w:rPr>
      </w:pPr>
    </w:p>
    <w:p w14:paraId="13B93B01" w14:textId="77777777" w:rsidR="00C412F8" w:rsidRDefault="00C412F8" w:rsidP="001C3E34">
      <w:pPr>
        <w:spacing w:line="360" w:lineRule="auto"/>
        <w:rPr>
          <w:rFonts w:ascii="Arial" w:hAnsi="Arial" w:cs="Arial"/>
          <w:sz w:val="24"/>
          <w:szCs w:val="24"/>
        </w:rPr>
      </w:pPr>
    </w:p>
    <w:p w14:paraId="0B3EA08F" w14:textId="77777777" w:rsidR="001C3E34" w:rsidRDefault="001C3E34" w:rsidP="001C3E34">
      <w:pPr>
        <w:spacing w:line="360" w:lineRule="auto"/>
        <w:rPr>
          <w:rFonts w:ascii="Arial" w:hAnsi="Arial" w:cs="Arial"/>
          <w:sz w:val="24"/>
          <w:szCs w:val="24"/>
        </w:rPr>
      </w:pPr>
    </w:p>
    <w:p w14:paraId="19BB300F" w14:textId="14909F5E" w:rsidR="00C412F8" w:rsidRPr="001C3E34" w:rsidRDefault="00C412F8" w:rsidP="001C3E34">
      <w:pPr>
        <w:spacing w:line="360" w:lineRule="auto"/>
        <w:rPr>
          <w:rFonts w:ascii="Arial Black" w:hAnsi="Arial Black" w:cs="Arial"/>
          <w:sz w:val="24"/>
          <w:szCs w:val="24"/>
        </w:rPr>
      </w:pPr>
      <w:r w:rsidRPr="001C3E34">
        <w:rPr>
          <w:rFonts w:ascii="Arial Black" w:hAnsi="Arial Black" w:cs="Arial"/>
          <w:sz w:val="24"/>
          <w:szCs w:val="24"/>
        </w:rPr>
        <w:lastRenderedPageBreak/>
        <w:t>Financial Performance Overview</w:t>
      </w:r>
    </w:p>
    <w:p w14:paraId="1DA35B1D" w14:textId="6F04455C" w:rsidR="00C412F8" w:rsidRDefault="00C412F8" w:rsidP="001C3E34">
      <w:pPr>
        <w:spacing w:line="360" w:lineRule="auto"/>
        <w:rPr>
          <w:rFonts w:ascii="Arial" w:hAnsi="Arial" w:cs="Arial"/>
          <w:sz w:val="24"/>
          <w:szCs w:val="24"/>
        </w:rPr>
      </w:pPr>
      <w:r w:rsidRPr="00C412F8">
        <w:rPr>
          <w:rFonts w:ascii="Arial" w:hAnsi="Arial" w:cs="Arial"/>
          <w:sz w:val="24"/>
          <w:szCs w:val="24"/>
        </w:rPr>
        <w:t xml:space="preserve">McDonald's Corporation's financial performance from 2019 to 2022 demonstrates a dynamic landscape with various degrees of sales, cost management, and net income fluctuations. Total revenues fell from $23,164,400 in 2019 to $19,207,800 in 2020, a year marked by significant worldwide economic shocks (Attrill &amp; McLaney, 2015). However, revenues quickly recovered, rising to $23,182,600 by 2022, demonstrating resilience and an effective market </w:t>
      </w:r>
      <w:r>
        <w:rPr>
          <w:rFonts w:ascii="Arial" w:hAnsi="Arial" w:cs="Arial"/>
          <w:sz w:val="24"/>
          <w:szCs w:val="24"/>
        </w:rPr>
        <w:t>adaptation</w:t>
      </w:r>
      <w:r w:rsidRPr="00C412F8">
        <w:rPr>
          <w:rFonts w:ascii="Arial" w:hAnsi="Arial" w:cs="Arial"/>
          <w:sz w:val="24"/>
          <w:szCs w:val="24"/>
        </w:rPr>
        <w:t xml:space="preserve"> approach (Drury, 20).</w:t>
      </w:r>
      <w:r>
        <w:rPr>
          <w:rFonts w:ascii="Arial" w:hAnsi="Arial" w:cs="Arial"/>
          <w:sz w:val="24"/>
          <w:szCs w:val="24"/>
        </w:rPr>
        <w:t xml:space="preserve">                                            </w:t>
      </w:r>
      <w:r w:rsidRPr="00C412F8">
        <w:t xml:space="preserve"> </w:t>
      </w:r>
      <w:r w:rsidRPr="00C412F8">
        <w:rPr>
          <w:rFonts w:ascii="Arial" w:hAnsi="Arial" w:cs="Arial"/>
          <w:sz w:val="24"/>
          <w:szCs w:val="24"/>
        </w:rPr>
        <w:t>Net income likewise fluctuated, falling from $6,025,400 in 2019 to $4,730,500 in 2020 before rising to $6,177,400 in 2022. These changes in net income represent McDonald's operational issues, which were overcome by strategy modifications (Lucey, 2009). The cost of revenue, as a proportion of total revenue, narrowed from 47.66% in 2019 to 43.02% in 2022, indicating greater effectiveness in managing operating costs.</w:t>
      </w:r>
    </w:p>
    <w:p w14:paraId="65CDF0FB" w14:textId="77777777" w:rsidR="00C412F8" w:rsidRDefault="00C412F8" w:rsidP="001C3E34">
      <w:pPr>
        <w:spacing w:line="360" w:lineRule="auto"/>
        <w:rPr>
          <w:rFonts w:ascii="Arial" w:hAnsi="Arial" w:cs="Arial"/>
          <w:sz w:val="24"/>
          <w:szCs w:val="24"/>
        </w:rPr>
      </w:pPr>
      <w:r w:rsidRPr="00C412F8">
        <w:rPr>
          <w:rFonts w:ascii="Arial" w:hAnsi="Arial" w:cs="Arial"/>
          <w:sz w:val="24"/>
          <w:szCs w:val="24"/>
        </w:rPr>
        <w:t>A thorough analysis of the balance sheet gives important information about the company's financial soundness. Notably, total assets increased from $47,510,800 in 2019 to $50,435,600 in 2022, while total liabilities also increased, showing a higher level of leverage over time. The solvency position, as evidenced by negative shareholder equity in all years, raises concerns about long-term financial sustainability and emphasises the importance of a strong financial strategy (Drury, 20).</w:t>
      </w:r>
    </w:p>
    <w:p w14:paraId="382F52D3" w14:textId="504E4585" w:rsidR="00C412F8" w:rsidRDefault="00C412F8" w:rsidP="001C3E34">
      <w:pPr>
        <w:spacing w:line="360" w:lineRule="auto"/>
        <w:rPr>
          <w:rFonts w:ascii="Arial" w:hAnsi="Arial" w:cs="Arial"/>
          <w:sz w:val="24"/>
          <w:szCs w:val="24"/>
        </w:rPr>
      </w:pPr>
      <w:r w:rsidRPr="00C412F8">
        <w:t xml:space="preserve"> </w:t>
      </w:r>
      <w:r w:rsidRPr="00C412F8">
        <w:rPr>
          <w:rFonts w:ascii="Arial" w:hAnsi="Arial" w:cs="Arial"/>
          <w:sz w:val="24"/>
          <w:szCs w:val="24"/>
        </w:rPr>
        <w:t>In summary, McDonald's financial health has been relatively stable over the last few years, with hints of revenue and net income recovery beginning around 2020. According to the report, while McDonald's has successfully navigated short-term financial difficulties, higher liabilities and a negative equity position highlight the necessity of smart financial management in enhancing future stability and growth.</w:t>
      </w:r>
    </w:p>
    <w:p w14:paraId="06161E84" w14:textId="5325AB96" w:rsidR="00C412F8" w:rsidRPr="001C3E34" w:rsidRDefault="00C412F8" w:rsidP="001C3E34">
      <w:pPr>
        <w:spacing w:line="360" w:lineRule="auto"/>
        <w:rPr>
          <w:rFonts w:ascii="Arial Black" w:hAnsi="Arial Black" w:cs="Arial"/>
          <w:sz w:val="24"/>
          <w:szCs w:val="24"/>
        </w:rPr>
      </w:pPr>
      <w:r w:rsidRPr="001C3E34">
        <w:rPr>
          <w:rFonts w:ascii="Arial Black" w:hAnsi="Arial Black" w:cs="Arial"/>
          <w:sz w:val="24"/>
          <w:szCs w:val="24"/>
        </w:rPr>
        <w:t>Ratio Analysis</w:t>
      </w:r>
    </w:p>
    <w:p w14:paraId="624D74A5" w14:textId="44DCE9A8" w:rsidR="00C412F8" w:rsidRDefault="00C412F8" w:rsidP="001C3E34">
      <w:pPr>
        <w:spacing w:line="360" w:lineRule="auto"/>
        <w:rPr>
          <w:rFonts w:ascii="Arial" w:hAnsi="Arial" w:cs="Arial"/>
          <w:sz w:val="24"/>
          <w:szCs w:val="24"/>
        </w:rPr>
      </w:pPr>
      <w:r w:rsidRPr="00C412F8">
        <w:rPr>
          <w:rFonts w:ascii="Arial" w:hAnsi="Arial" w:cs="Arial"/>
          <w:sz w:val="24"/>
          <w:szCs w:val="24"/>
        </w:rPr>
        <w:t xml:space="preserve">Ratio analysis is a quantitative method for assessing several aspects of a company's financial stability and performance. By assessing liquidity, profitability, and solvency measures, stakeholders can assess McDonald's financial health and operational efficacy over time. </w:t>
      </w:r>
      <w:r w:rsidRPr="00C412F8">
        <w:rPr>
          <w:rFonts w:ascii="Arial" w:hAnsi="Arial" w:cs="Arial"/>
          <w:sz w:val="24"/>
          <w:szCs w:val="24"/>
        </w:rPr>
        <w:br/>
      </w:r>
      <w:r w:rsidRPr="00C412F8">
        <w:rPr>
          <w:rFonts w:ascii="Arial" w:hAnsi="Arial" w:cs="Arial"/>
          <w:sz w:val="24"/>
          <w:szCs w:val="24"/>
        </w:rPr>
        <w:br/>
      </w:r>
      <w:r w:rsidRPr="001C3E34">
        <w:rPr>
          <w:rFonts w:ascii="Arial Black" w:hAnsi="Arial Black" w:cs="Arial"/>
          <w:sz w:val="24"/>
          <w:szCs w:val="24"/>
        </w:rPr>
        <w:lastRenderedPageBreak/>
        <w:t xml:space="preserve">Liquidity ratios </w:t>
      </w:r>
      <w:r w:rsidRPr="001C3E34">
        <w:rPr>
          <w:rFonts w:ascii="Arial Black" w:hAnsi="Arial Black" w:cs="Arial"/>
          <w:sz w:val="24"/>
          <w:szCs w:val="24"/>
        </w:rPr>
        <w:br/>
      </w:r>
      <w:r w:rsidRPr="00C412F8">
        <w:rPr>
          <w:rFonts w:ascii="Arial" w:hAnsi="Arial" w:cs="Arial"/>
          <w:sz w:val="24"/>
          <w:szCs w:val="24"/>
        </w:rPr>
        <w:t xml:space="preserve">Liquidity ratios measure a company's ability to satisfy short-term obligations without obtaining extra funds. The two primary liquidity ratios are the Current Ratio and the Quick Ratio. </w:t>
      </w:r>
      <w:r w:rsidRPr="00C412F8">
        <w:rPr>
          <w:rFonts w:ascii="Arial" w:hAnsi="Arial" w:cs="Arial"/>
          <w:sz w:val="24"/>
          <w:szCs w:val="24"/>
        </w:rPr>
        <w:br/>
        <w:t>The Current Ratio assesses a company's capacity to repay its short-term liabilities with short-term assets. It is determined by dividing total current assets by total current liabilities.</w:t>
      </w:r>
    </w:p>
    <w:p w14:paraId="4E84ED5A" w14:textId="77777777" w:rsidR="00155577" w:rsidRPr="00155577" w:rsidRDefault="00155577" w:rsidP="001C3E34">
      <w:pPr>
        <w:pStyle w:val="ListParagraph"/>
        <w:numPr>
          <w:ilvl w:val="0"/>
          <w:numId w:val="1"/>
        </w:numPr>
        <w:spacing w:line="360" w:lineRule="auto"/>
        <w:rPr>
          <w:rFonts w:ascii="Arial" w:hAnsi="Arial" w:cs="Arial"/>
          <w:sz w:val="24"/>
          <w:szCs w:val="24"/>
        </w:rPr>
      </w:pPr>
      <w:r w:rsidRPr="00155577">
        <w:rPr>
          <w:rFonts w:ascii="Arial" w:hAnsi="Arial" w:cs="Arial"/>
          <w:sz w:val="24"/>
          <w:szCs w:val="24"/>
        </w:rPr>
        <w:t>2019: 0.98 (Current Assets: $3,557,900; Current Liabilities: $3,621,000)</w:t>
      </w:r>
    </w:p>
    <w:p w14:paraId="5C9274C7" w14:textId="77777777" w:rsidR="00155577" w:rsidRPr="00155577" w:rsidRDefault="00155577" w:rsidP="001C3E34">
      <w:pPr>
        <w:pStyle w:val="ListParagraph"/>
        <w:numPr>
          <w:ilvl w:val="0"/>
          <w:numId w:val="1"/>
        </w:numPr>
        <w:spacing w:line="360" w:lineRule="auto"/>
        <w:rPr>
          <w:rFonts w:ascii="Arial" w:hAnsi="Arial" w:cs="Arial"/>
          <w:sz w:val="24"/>
          <w:szCs w:val="24"/>
        </w:rPr>
      </w:pPr>
      <w:r w:rsidRPr="00155577">
        <w:rPr>
          <w:rFonts w:ascii="Arial" w:hAnsi="Arial" w:cs="Arial"/>
          <w:sz w:val="24"/>
          <w:szCs w:val="24"/>
        </w:rPr>
        <w:t>2020: 1.01 (Current Assets: $6,243,200; Current Liabilities: $6,181,200)</w:t>
      </w:r>
    </w:p>
    <w:p w14:paraId="7996E363" w14:textId="77777777" w:rsidR="00155577" w:rsidRPr="00155577" w:rsidRDefault="00155577" w:rsidP="001C3E34">
      <w:pPr>
        <w:pStyle w:val="ListParagraph"/>
        <w:numPr>
          <w:ilvl w:val="0"/>
          <w:numId w:val="1"/>
        </w:numPr>
        <w:spacing w:line="360" w:lineRule="auto"/>
        <w:rPr>
          <w:rFonts w:ascii="Arial" w:hAnsi="Arial" w:cs="Arial"/>
          <w:sz w:val="24"/>
          <w:szCs w:val="24"/>
        </w:rPr>
      </w:pPr>
      <w:r w:rsidRPr="00155577">
        <w:rPr>
          <w:rFonts w:ascii="Arial" w:hAnsi="Arial" w:cs="Arial"/>
          <w:sz w:val="24"/>
          <w:szCs w:val="24"/>
        </w:rPr>
        <w:t>2021: 1.78 (Current Assets: $7,148,500; Current Liabilities: $4,020,000)</w:t>
      </w:r>
    </w:p>
    <w:p w14:paraId="2C9E38CA" w14:textId="77777777" w:rsidR="00155577" w:rsidRPr="00155577" w:rsidRDefault="00155577" w:rsidP="001C3E34">
      <w:pPr>
        <w:pStyle w:val="ListParagraph"/>
        <w:numPr>
          <w:ilvl w:val="0"/>
          <w:numId w:val="1"/>
        </w:numPr>
        <w:spacing w:line="360" w:lineRule="auto"/>
        <w:rPr>
          <w:rFonts w:ascii="Arial" w:hAnsi="Arial" w:cs="Arial"/>
          <w:sz w:val="24"/>
          <w:szCs w:val="24"/>
        </w:rPr>
      </w:pPr>
      <w:r w:rsidRPr="00155577">
        <w:rPr>
          <w:rFonts w:ascii="Arial" w:hAnsi="Arial" w:cs="Arial"/>
          <w:sz w:val="24"/>
          <w:szCs w:val="24"/>
        </w:rPr>
        <w:t>2022: 1.43 (Current Assets: $5,424,200; Current Liabilities: $3,802,100)</w:t>
      </w:r>
    </w:p>
    <w:p w14:paraId="4CF55F8B" w14:textId="77777777" w:rsidR="00155577" w:rsidRPr="00155577" w:rsidRDefault="00155577" w:rsidP="001C3E34">
      <w:pPr>
        <w:spacing w:line="360" w:lineRule="auto"/>
        <w:rPr>
          <w:rFonts w:ascii="Arial" w:hAnsi="Arial" w:cs="Arial"/>
          <w:sz w:val="24"/>
          <w:szCs w:val="24"/>
        </w:rPr>
      </w:pPr>
      <w:r w:rsidRPr="00155577">
        <w:rPr>
          <w:rFonts w:ascii="Arial" w:hAnsi="Arial" w:cs="Arial"/>
          <w:sz w:val="24"/>
          <w:szCs w:val="24"/>
        </w:rPr>
        <w:t>Quick Ratio is a more stringent test of liquidity, excluding inventory from current assets.</w:t>
      </w:r>
    </w:p>
    <w:p w14:paraId="7C5F403E" w14:textId="77777777" w:rsidR="00155577" w:rsidRPr="00155577" w:rsidRDefault="00155577" w:rsidP="001C3E34">
      <w:pPr>
        <w:pStyle w:val="ListParagraph"/>
        <w:numPr>
          <w:ilvl w:val="0"/>
          <w:numId w:val="2"/>
        </w:numPr>
        <w:spacing w:line="360" w:lineRule="auto"/>
        <w:rPr>
          <w:rFonts w:ascii="Arial" w:hAnsi="Arial" w:cs="Arial"/>
          <w:sz w:val="24"/>
          <w:szCs w:val="24"/>
        </w:rPr>
      </w:pPr>
      <w:r w:rsidRPr="00155577">
        <w:rPr>
          <w:rFonts w:ascii="Arial" w:hAnsi="Arial" w:cs="Arial"/>
          <w:sz w:val="24"/>
          <w:szCs w:val="24"/>
        </w:rPr>
        <w:t>2019: 0.97 (Quick Assets: $3,507,700; Current Liabilities: $3,621,000)</w:t>
      </w:r>
    </w:p>
    <w:p w14:paraId="6D30882D" w14:textId="77777777" w:rsidR="00155577" w:rsidRPr="00155577" w:rsidRDefault="00155577" w:rsidP="001C3E34">
      <w:pPr>
        <w:pStyle w:val="ListParagraph"/>
        <w:numPr>
          <w:ilvl w:val="0"/>
          <w:numId w:val="2"/>
        </w:numPr>
        <w:spacing w:line="360" w:lineRule="auto"/>
        <w:rPr>
          <w:rFonts w:ascii="Arial" w:hAnsi="Arial" w:cs="Arial"/>
          <w:sz w:val="24"/>
          <w:szCs w:val="24"/>
        </w:rPr>
      </w:pPr>
      <w:r w:rsidRPr="00155577">
        <w:rPr>
          <w:rFonts w:ascii="Arial" w:hAnsi="Arial" w:cs="Arial"/>
          <w:sz w:val="24"/>
          <w:szCs w:val="24"/>
        </w:rPr>
        <w:t>2020: 1.00 (Quick Assets: $6,192,100; Current Liabilities: $6,181,200)</w:t>
      </w:r>
    </w:p>
    <w:p w14:paraId="79E517B6" w14:textId="77777777" w:rsidR="00155577" w:rsidRPr="00155577" w:rsidRDefault="00155577" w:rsidP="001C3E34">
      <w:pPr>
        <w:pStyle w:val="ListParagraph"/>
        <w:numPr>
          <w:ilvl w:val="0"/>
          <w:numId w:val="2"/>
        </w:numPr>
        <w:spacing w:line="360" w:lineRule="auto"/>
        <w:rPr>
          <w:rFonts w:ascii="Arial" w:hAnsi="Arial" w:cs="Arial"/>
          <w:sz w:val="24"/>
          <w:szCs w:val="24"/>
        </w:rPr>
      </w:pPr>
      <w:r w:rsidRPr="00155577">
        <w:rPr>
          <w:rFonts w:ascii="Arial" w:hAnsi="Arial" w:cs="Arial"/>
          <w:sz w:val="24"/>
          <w:szCs w:val="24"/>
        </w:rPr>
        <w:t>2021: 1.76 (Quick Assets: $7,093,900; Current Liabilities: $4,020,000)</w:t>
      </w:r>
    </w:p>
    <w:p w14:paraId="64CB9A93" w14:textId="77777777" w:rsidR="00155577" w:rsidRPr="00155577" w:rsidRDefault="00155577" w:rsidP="001C3E34">
      <w:pPr>
        <w:pStyle w:val="ListParagraph"/>
        <w:numPr>
          <w:ilvl w:val="0"/>
          <w:numId w:val="2"/>
        </w:numPr>
        <w:spacing w:line="360" w:lineRule="auto"/>
        <w:rPr>
          <w:rFonts w:ascii="Arial" w:hAnsi="Arial" w:cs="Arial"/>
          <w:sz w:val="24"/>
          <w:szCs w:val="24"/>
        </w:rPr>
      </w:pPr>
      <w:r w:rsidRPr="00155577">
        <w:rPr>
          <w:rFonts w:ascii="Arial" w:hAnsi="Arial" w:cs="Arial"/>
          <w:sz w:val="24"/>
          <w:szCs w:val="24"/>
        </w:rPr>
        <w:t>2022: 1.41 (Quick Assets: $5,372,200; Current Liabilities: $3,802,100)</w:t>
      </w:r>
    </w:p>
    <w:p w14:paraId="223B3B5E" w14:textId="6EA757D2" w:rsidR="00155577" w:rsidRPr="001C3E34" w:rsidRDefault="00155577" w:rsidP="001C3E34">
      <w:pPr>
        <w:spacing w:line="360" w:lineRule="auto"/>
        <w:rPr>
          <w:rFonts w:ascii="Arial Black" w:hAnsi="Arial Black" w:cs="Arial"/>
          <w:sz w:val="24"/>
          <w:szCs w:val="24"/>
        </w:rPr>
      </w:pPr>
      <w:r w:rsidRPr="001C3E34">
        <w:rPr>
          <w:rFonts w:ascii="Arial Black" w:hAnsi="Arial Black" w:cs="Arial"/>
          <w:sz w:val="24"/>
          <w:szCs w:val="24"/>
        </w:rPr>
        <w:t>Profitability Ratios</w:t>
      </w:r>
    </w:p>
    <w:p w14:paraId="3FE8747E" w14:textId="77777777" w:rsidR="001C3E34" w:rsidRDefault="00155577" w:rsidP="001C3E34">
      <w:pPr>
        <w:spacing w:line="360" w:lineRule="auto"/>
        <w:rPr>
          <w:rFonts w:ascii="Arial" w:hAnsi="Arial" w:cs="Arial"/>
          <w:sz w:val="24"/>
          <w:szCs w:val="24"/>
        </w:rPr>
      </w:pPr>
      <w:r w:rsidRPr="00155577">
        <w:rPr>
          <w:rFonts w:ascii="Arial" w:hAnsi="Arial" w:cs="Arial"/>
          <w:sz w:val="24"/>
          <w:szCs w:val="24"/>
        </w:rPr>
        <w:t>Profitability ratios measure a company's ability to generate profit from its sales and other operations.</w:t>
      </w:r>
    </w:p>
    <w:p w14:paraId="4995DA37" w14:textId="6DA07654" w:rsidR="00155577" w:rsidRPr="00155577" w:rsidRDefault="00155577" w:rsidP="001C3E34">
      <w:pPr>
        <w:spacing w:line="360" w:lineRule="auto"/>
        <w:rPr>
          <w:rFonts w:ascii="Arial" w:hAnsi="Arial" w:cs="Arial"/>
          <w:sz w:val="24"/>
          <w:szCs w:val="24"/>
        </w:rPr>
      </w:pPr>
      <w:r w:rsidRPr="00155577">
        <w:rPr>
          <w:rFonts w:ascii="Arial" w:hAnsi="Arial" w:cs="Arial"/>
          <w:sz w:val="24"/>
          <w:szCs w:val="24"/>
        </w:rPr>
        <w:t>Gross Margin is calculated by dividing the gross profit by total revenue and reflects the percentage of revenue that exceeds the cost of goods sold.</w:t>
      </w:r>
    </w:p>
    <w:p w14:paraId="14E1513E" w14:textId="77777777" w:rsidR="00155577" w:rsidRPr="00155577" w:rsidRDefault="00155577" w:rsidP="001C3E34">
      <w:pPr>
        <w:pStyle w:val="ListParagraph"/>
        <w:numPr>
          <w:ilvl w:val="0"/>
          <w:numId w:val="3"/>
        </w:numPr>
        <w:spacing w:line="360" w:lineRule="auto"/>
        <w:rPr>
          <w:rFonts w:ascii="Arial" w:hAnsi="Arial" w:cs="Arial"/>
          <w:sz w:val="24"/>
          <w:szCs w:val="24"/>
        </w:rPr>
      </w:pPr>
      <w:r w:rsidRPr="00155577">
        <w:rPr>
          <w:rFonts w:ascii="Arial" w:hAnsi="Arial" w:cs="Arial"/>
          <w:sz w:val="24"/>
          <w:szCs w:val="24"/>
        </w:rPr>
        <w:t>2019: 52.36% (Gross Profit: $11,179,400; Total Revenue: $21,364,400)</w:t>
      </w:r>
    </w:p>
    <w:p w14:paraId="22F66229" w14:textId="77777777" w:rsidR="00155577" w:rsidRPr="00155577" w:rsidRDefault="00155577" w:rsidP="001C3E34">
      <w:pPr>
        <w:pStyle w:val="ListParagraph"/>
        <w:numPr>
          <w:ilvl w:val="0"/>
          <w:numId w:val="3"/>
        </w:numPr>
        <w:spacing w:line="360" w:lineRule="auto"/>
        <w:rPr>
          <w:rFonts w:ascii="Arial" w:hAnsi="Arial" w:cs="Arial"/>
          <w:sz w:val="24"/>
          <w:szCs w:val="24"/>
        </w:rPr>
      </w:pPr>
      <w:r w:rsidRPr="00155577">
        <w:rPr>
          <w:rFonts w:ascii="Arial" w:hAnsi="Arial" w:cs="Arial"/>
          <w:sz w:val="24"/>
          <w:szCs w:val="24"/>
        </w:rPr>
        <w:t>2020: 50.76% (Gross Profit: $9,752,100; Total Revenue: $19,207,800)</w:t>
      </w:r>
    </w:p>
    <w:p w14:paraId="61207FEE" w14:textId="77777777" w:rsidR="00155577" w:rsidRPr="00155577" w:rsidRDefault="00155577" w:rsidP="001C3E34">
      <w:pPr>
        <w:pStyle w:val="ListParagraph"/>
        <w:numPr>
          <w:ilvl w:val="0"/>
          <w:numId w:val="3"/>
        </w:numPr>
        <w:spacing w:line="360" w:lineRule="auto"/>
        <w:rPr>
          <w:rFonts w:ascii="Arial" w:hAnsi="Arial" w:cs="Arial"/>
          <w:sz w:val="24"/>
          <w:szCs w:val="24"/>
        </w:rPr>
      </w:pPr>
      <w:r w:rsidRPr="00155577">
        <w:rPr>
          <w:rFonts w:ascii="Arial" w:hAnsi="Arial" w:cs="Arial"/>
          <w:sz w:val="24"/>
          <w:szCs w:val="24"/>
        </w:rPr>
        <w:t>2021: 54.18% (Gross Profit: $12,580,200; Total Revenue: $23,222,900)</w:t>
      </w:r>
    </w:p>
    <w:p w14:paraId="36D8C0C7" w14:textId="77777777" w:rsidR="00155577" w:rsidRPr="00155577" w:rsidRDefault="00155577" w:rsidP="001C3E34">
      <w:pPr>
        <w:pStyle w:val="ListParagraph"/>
        <w:numPr>
          <w:ilvl w:val="0"/>
          <w:numId w:val="3"/>
        </w:numPr>
        <w:spacing w:line="360" w:lineRule="auto"/>
        <w:rPr>
          <w:rFonts w:ascii="Arial" w:hAnsi="Arial" w:cs="Arial"/>
          <w:sz w:val="24"/>
          <w:szCs w:val="24"/>
        </w:rPr>
      </w:pPr>
      <w:r w:rsidRPr="00155577">
        <w:rPr>
          <w:rFonts w:ascii="Arial" w:hAnsi="Arial" w:cs="Arial"/>
          <w:sz w:val="24"/>
          <w:szCs w:val="24"/>
        </w:rPr>
        <w:t>2022: 56.98% (Gross Profit: $13,207,200; Total Revenue: $23,182,600)</w:t>
      </w:r>
    </w:p>
    <w:p w14:paraId="34685AAD" w14:textId="77777777" w:rsidR="00155577" w:rsidRPr="00155577" w:rsidRDefault="00155577" w:rsidP="001C3E34">
      <w:pPr>
        <w:spacing w:line="360" w:lineRule="auto"/>
        <w:rPr>
          <w:rFonts w:ascii="Arial" w:hAnsi="Arial" w:cs="Arial"/>
          <w:sz w:val="24"/>
          <w:szCs w:val="24"/>
        </w:rPr>
      </w:pPr>
      <w:r w:rsidRPr="00155577">
        <w:rPr>
          <w:rFonts w:ascii="Arial" w:hAnsi="Arial" w:cs="Arial"/>
          <w:sz w:val="24"/>
          <w:szCs w:val="24"/>
        </w:rPr>
        <w:t>Net Profit Margin shows the percentage of revenue remaining after all expenses.</w:t>
      </w:r>
    </w:p>
    <w:p w14:paraId="226B6429" w14:textId="77777777" w:rsidR="00155577" w:rsidRPr="00155577" w:rsidRDefault="00155577" w:rsidP="001C3E34">
      <w:pPr>
        <w:pStyle w:val="ListParagraph"/>
        <w:numPr>
          <w:ilvl w:val="0"/>
          <w:numId w:val="4"/>
        </w:numPr>
        <w:spacing w:line="360" w:lineRule="auto"/>
        <w:rPr>
          <w:rFonts w:ascii="Arial" w:hAnsi="Arial" w:cs="Arial"/>
          <w:sz w:val="24"/>
          <w:szCs w:val="24"/>
        </w:rPr>
      </w:pPr>
      <w:r w:rsidRPr="00155577">
        <w:rPr>
          <w:rFonts w:ascii="Arial" w:hAnsi="Arial" w:cs="Arial"/>
          <w:sz w:val="24"/>
          <w:szCs w:val="24"/>
        </w:rPr>
        <w:t>2019: 28.20% (Net Income: $6,025,400; Total Revenue: $21,364,400)</w:t>
      </w:r>
    </w:p>
    <w:p w14:paraId="0CEE2D0C" w14:textId="77777777" w:rsidR="00155577" w:rsidRPr="00155577" w:rsidRDefault="00155577" w:rsidP="001C3E34">
      <w:pPr>
        <w:pStyle w:val="ListParagraph"/>
        <w:numPr>
          <w:ilvl w:val="0"/>
          <w:numId w:val="4"/>
        </w:numPr>
        <w:spacing w:line="360" w:lineRule="auto"/>
        <w:rPr>
          <w:rFonts w:ascii="Arial" w:hAnsi="Arial" w:cs="Arial"/>
          <w:sz w:val="24"/>
          <w:szCs w:val="24"/>
        </w:rPr>
      </w:pPr>
      <w:r w:rsidRPr="00155577">
        <w:rPr>
          <w:rFonts w:ascii="Arial" w:hAnsi="Arial" w:cs="Arial"/>
          <w:sz w:val="24"/>
          <w:szCs w:val="24"/>
        </w:rPr>
        <w:t>2020: 24.63% (Net Income: $4,730,500; Total Revenue: $19,207,800)</w:t>
      </w:r>
    </w:p>
    <w:p w14:paraId="2842E905" w14:textId="77777777" w:rsidR="00155577" w:rsidRPr="00155577" w:rsidRDefault="00155577" w:rsidP="001C3E34">
      <w:pPr>
        <w:pStyle w:val="ListParagraph"/>
        <w:numPr>
          <w:ilvl w:val="0"/>
          <w:numId w:val="4"/>
        </w:numPr>
        <w:spacing w:line="360" w:lineRule="auto"/>
        <w:rPr>
          <w:rFonts w:ascii="Arial" w:hAnsi="Arial" w:cs="Arial"/>
          <w:sz w:val="24"/>
          <w:szCs w:val="24"/>
        </w:rPr>
      </w:pPr>
      <w:r w:rsidRPr="00155577">
        <w:rPr>
          <w:rFonts w:ascii="Arial" w:hAnsi="Arial" w:cs="Arial"/>
          <w:sz w:val="24"/>
          <w:szCs w:val="24"/>
        </w:rPr>
        <w:lastRenderedPageBreak/>
        <w:t>2021: 32.50% (Net Income: $7,545,200; Total Revenue: $23,222,900)</w:t>
      </w:r>
    </w:p>
    <w:p w14:paraId="29F23F7B" w14:textId="77777777" w:rsidR="00155577" w:rsidRPr="00155577" w:rsidRDefault="00155577" w:rsidP="001C3E34">
      <w:pPr>
        <w:pStyle w:val="ListParagraph"/>
        <w:numPr>
          <w:ilvl w:val="0"/>
          <w:numId w:val="4"/>
        </w:numPr>
        <w:spacing w:line="360" w:lineRule="auto"/>
        <w:rPr>
          <w:rFonts w:ascii="Arial" w:hAnsi="Arial" w:cs="Arial"/>
          <w:sz w:val="24"/>
          <w:szCs w:val="24"/>
        </w:rPr>
      </w:pPr>
      <w:r w:rsidRPr="00155577">
        <w:rPr>
          <w:rFonts w:ascii="Arial" w:hAnsi="Arial" w:cs="Arial"/>
          <w:sz w:val="24"/>
          <w:szCs w:val="24"/>
        </w:rPr>
        <w:t>2022: 26.66% (Net Income: $6,177,400; Total Revenue: $23,182,600)</w:t>
      </w:r>
    </w:p>
    <w:p w14:paraId="4D7A2348" w14:textId="732F1ACF" w:rsidR="00155577" w:rsidRPr="001C3E34" w:rsidRDefault="00155577" w:rsidP="001C3E34">
      <w:pPr>
        <w:spacing w:line="360" w:lineRule="auto"/>
        <w:rPr>
          <w:rFonts w:ascii="Arial Black" w:hAnsi="Arial Black" w:cs="Arial"/>
          <w:sz w:val="24"/>
          <w:szCs w:val="24"/>
        </w:rPr>
      </w:pPr>
      <w:r w:rsidRPr="001C3E34">
        <w:rPr>
          <w:rFonts w:ascii="Arial Black" w:hAnsi="Arial Black" w:cs="Arial"/>
          <w:sz w:val="24"/>
          <w:szCs w:val="24"/>
        </w:rPr>
        <w:t>Solvency Ratios</w:t>
      </w:r>
    </w:p>
    <w:p w14:paraId="61A85393" w14:textId="77777777" w:rsidR="00155577" w:rsidRPr="00155577" w:rsidRDefault="00155577" w:rsidP="001C3E34">
      <w:pPr>
        <w:spacing w:line="360" w:lineRule="auto"/>
        <w:rPr>
          <w:rFonts w:ascii="Arial" w:hAnsi="Arial" w:cs="Arial"/>
          <w:sz w:val="24"/>
          <w:szCs w:val="24"/>
        </w:rPr>
      </w:pPr>
      <w:r w:rsidRPr="00155577">
        <w:rPr>
          <w:rFonts w:ascii="Arial" w:hAnsi="Arial" w:cs="Arial"/>
          <w:sz w:val="24"/>
          <w:szCs w:val="24"/>
        </w:rPr>
        <w:t>Solvency ratios assess a company's long-term stability and its ability to meet long-term obligations.</w:t>
      </w:r>
    </w:p>
    <w:p w14:paraId="08384EEB" w14:textId="77777777" w:rsidR="00155577" w:rsidRPr="00155577" w:rsidRDefault="00155577" w:rsidP="001C3E34">
      <w:pPr>
        <w:spacing w:line="360" w:lineRule="auto"/>
        <w:rPr>
          <w:rFonts w:ascii="Arial" w:hAnsi="Arial" w:cs="Arial"/>
          <w:sz w:val="24"/>
          <w:szCs w:val="24"/>
        </w:rPr>
      </w:pPr>
      <w:r w:rsidRPr="00155577">
        <w:rPr>
          <w:rFonts w:ascii="Arial" w:hAnsi="Arial" w:cs="Arial"/>
          <w:sz w:val="24"/>
          <w:szCs w:val="24"/>
        </w:rPr>
        <w:t>Debt to Equity Ratio is calculated by dividing total liabilities by shareholders' equity. It indicates the proportion of equity and debt used to finance the company's assets.</w:t>
      </w:r>
    </w:p>
    <w:p w14:paraId="73383681" w14:textId="77777777" w:rsidR="00155577" w:rsidRPr="00155577" w:rsidRDefault="00155577" w:rsidP="001C3E34">
      <w:pPr>
        <w:pStyle w:val="ListParagraph"/>
        <w:numPr>
          <w:ilvl w:val="0"/>
          <w:numId w:val="5"/>
        </w:numPr>
        <w:spacing w:line="360" w:lineRule="auto"/>
        <w:rPr>
          <w:rFonts w:ascii="Arial" w:hAnsi="Arial" w:cs="Arial"/>
          <w:sz w:val="24"/>
          <w:szCs w:val="24"/>
        </w:rPr>
      </w:pPr>
      <w:r w:rsidRPr="00155577">
        <w:rPr>
          <w:rFonts w:ascii="Arial" w:hAnsi="Arial" w:cs="Arial"/>
          <w:sz w:val="24"/>
          <w:szCs w:val="24"/>
        </w:rPr>
        <w:t>2019: Negative due to negative shareholders' equity (-$8,210,300)</w:t>
      </w:r>
    </w:p>
    <w:p w14:paraId="4E8FE85A" w14:textId="77777777" w:rsidR="00155577" w:rsidRPr="00155577" w:rsidRDefault="00155577" w:rsidP="001C3E34">
      <w:pPr>
        <w:pStyle w:val="ListParagraph"/>
        <w:numPr>
          <w:ilvl w:val="0"/>
          <w:numId w:val="5"/>
        </w:numPr>
        <w:spacing w:line="360" w:lineRule="auto"/>
        <w:rPr>
          <w:rFonts w:ascii="Arial" w:hAnsi="Arial" w:cs="Arial"/>
          <w:sz w:val="24"/>
          <w:szCs w:val="24"/>
        </w:rPr>
      </w:pPr>
      <w:r w:rsidRPr="00155577">
        <w:rPr>
          <w:rFonts w:ascii="Arial" w:hAnsi="Arial" w:cs="Arial"/>
          <w:sz w:val="24"/>
          <w:szCs w:val="24"/>
        </w:rPr>
        <w:t>2020: Negative due to negative shareholders' equity (-$7,824,900)</w:t>
      </w:r>
    </w:p>
    <w:p w14:paraId="01D19758" w14:textId="77777777" w:rsidR="00155577" w:rsidRPr="00155577" w:rsidRDefault="00155577" w:rsidP="001C3E34">
      <w:pPr>
        <w:pStyle w:val="ListParagraph"/>
        <w:numPr>
          <w:ilvl w:val="0"/>
          <w:numId w:val="5"/>
        </w:numPr>
        <w:spacing w:line="360" w:lineRule="auto"/>
        <w:rPr>
          <w:rFonts w:ascii="Arial" w:hAnsi="Arial" w:cs="Arial"/>
          <w:sz w:val="24"/>
          <w:szCs w:val="24"/>
        </w:rPr>
      </w:pPr>
      <w:r w:rsidRPr="00155577">
        <w:rPr>
          <w:rFonts w:ascii="Arial" w:hAnsi="Arial" w:cs="Arial"/>
          <w:sz w:val="24"/>
          <w:szCs w:val="24"/>
        </w:rPr>
        <w:t>2021: Negative due to negative shareholders' equity (-$4,601,000)</w:t>
      </w:r>
    </w:p>
    <w:p w14:paraId="2831C5BB" w14:textId="60A7CBDB" w:rsidR="00155577" w:rsidRDefault="00155577" w:rsidP="001C3E34">
      <w:pPr>
        <w:pStyle w:val="ListParagraph"/>
        <w:numPr>
          <w:ilvl w:val="0"/>
          <w:numId w:val="5"/>
        </w:numPr>
        <w:spacing w:line="360" w:lineRule="auto"/>
        <w:rPr>
          <w:rFonts w:ascii="Arial" w:hAnsi="Arial" w:cs="Arial"/>
          <w:sz w:val="24"/>
          <w:szCs w:val="24"/>
        </w:rPr>
      </w:pPr>
      <w:r w:rsidRPr="00155577">
        <w:rPr>
          <w:rFonts w:ascii="Arial" w:hAnsi="Arial" w:cs="Arial"/>
          <w:sz w:val="24"/>
          <w:szCs w:val="24"/>
        </w:rPr>
        <w:t>2022: Negative due to negative shareholders' equity (-$6,003,400)</w:t>
      </w:r>
    </w:p>
    <w:p w14:paraId="3612502F" w14:textId="2D2C84F5" w:rsidR="00155577" w:rsidRDefault="00155577" w:rsidP="001C3E34">
      <w:pPr>
        <w:spacing w:line="360" w:lineRule="auto"/>
        <w:rPr>
          <w:rFonts w:ascii="Arial" w:hAnsi="Arial" w:cs="Arial"/>
          <w:sz w:val="24"/>
          <w:szCs w:val="24"/>
        </w:rPr>
      </w:pPr>
      <w:r w:rsidRPr="00155577">
        <w:rPr>
          <w:rFonts w:ascii="Arial" w:hAnsi="Arial" w:cs="Arial"/>
          <w:sz w:val="24"/>
          <w:szCs w:val="24"/>
        </w:rPr>
        <w:t>The patterns in these ratios indicate that, while McDonald's has a very constant liquidity profile, its profitability varies according to external market conditions. The negative debt-to-equity ratio indicates severe leverage and financial risk, emphasising the importance of prudent debt management and proactive financial planning.</w:t>
      </w:r>
    </w:p>
    <w:p w14:paraId="6EE28D9D" w14:textId="6699D748" w:rsidR="00155577" w:rsidRPr="001C3E34" w:rsidRDefault="00155577" w:rsidP="001C3E34">
      <w:pPr>
        <w:spacing w:line="360" w:lineRule="auto"/>
        <w:rPr>
          <w:rFonts w:ascii="Arial Black" w:hAnsi="Arial Black" w:cs="Arial"/>
          <w:sz w:val="24"/>
          <w:szCs w:val="24"/>
        </w:rPr>
      </w:pPr>
      <w:r w:rsidRPr="001C3E34">
        <w:rPr>
          <w:rFonts w:ascii="Arial Black" w:hAnsi="Arial Black" w:cs="Arial"/>
          <w:sz w:val="24"/>
          <w:szCs w:val="24"/>
        </w:rPr>
        <w:t>Recommendation</w:t>
      </w:r>
    </w:p>
    <w:p w14:paraId="35A6BB5E" w14:textId="77777777" w:rsidR="001C3E34" w:rsidRDefault="00155577" w:rsidP="001C3E34">
      <w:pPr>
        <w:spacing w:line="360" w:lineRule="auto"/>
        <w:rPr>
          <w:rFonts w:ascii="Arial" w:hAnsi="Arial" w:cs="Arial"/>
          <w:sz w:val="24"/>
          <w:szCs w:val="24"/>
        </w:rPr>
      </w:pPr>
      <w:r w:rsidRPr="00155577">
        <w:rPr>
          <w:rFonts w:ascii="Arial" w:hAnsi="Arial" w:cs="Arial"/>
          <w:sz w:val="24"/>
          <w:szCs w:val="24"/>
        </w:rPr>
        <w:t xml:space="preserve">Based on a detailed ratio analysis of McDonald's financial data from 2019 to 2022, various strategic recommendations can be made to improve the company's long-term viability and financial health. Each of these recommendations is based on current best practices for corporate sustainability and financial management. </w:t>
      </w:r>
    </w:p>
    <w:p w14:paraId="012F666D" w14:textId="0D9EB613" w:rsidR="00155577" w:rsidRPr="001C3E34" w:rsidRDefault="00155577" w:rsidP="001C3E34">
      <w:pPr>
        <w:pStyle w:val="ListParagraph"/>
        <w:numPr>
          <w:ilvl w:val="0"/>
          <w:numId w:val="6"/>
        </w:numPr>
        <w:spacing w:line="360" w:lineRule="auto"/>
        <w:rPr>
          <w:rFonts w:ascii="Arial" w:hAnsi="Arial" w:cs="Arial"/>
          <w:sz w:val="24"/>
          <w:szCs w:val="24"/>
        </w:rPr>
      </w:pPr>
      <w:r w:rsidRPr="001C3E34">
        <w:rPr>
          <w:rFonts w:ascii="Arial" w:hAnsi="Arial" w:cs="Arial"/>
          <w:sz w:val="24"/>
          <w:szCs w:val="24"/>
        </w:rPr>
        <w:t>Cost-cutting strategies: McDonald's should continue to look for new ways to lower operational expenses without sacrificing quality. One successful strategy could be to adopt energy-efficient technologies in all sites, which can greatly cut energy expenses. Adopting more sustainable practices, such as trash reduction and recycling, can help reduce operational costs over time (Attrill and McLaney, 2015).</w:t>
      </w:r>
    </w:p>
    <w:p w14:paraId="7AF10117" w14:textId="36D0B007" w:rsidR="00155577" w:rsidRPr="001C3E34" w:rsidRDefault="00155577" w:rsidP="001C3E34">
      <w:pPr>
        <w:pStyle w:val="ListParagraph"/>
        <w:numPr>
          <w:ilvl w:val="0"/>
          <w:numId w:val="6"/>
        </w:numPr>
        <w:spacing w:line="360" w:lineRule="auto"/>
        <w:rPr>
          <w:rFonts w:ascii="Arial" w:hAnsi="Arial" w:cs="Arial"/>
          <w:sz w:val="24"/>
          <w:szCs w:val="24"/>
        </w:rPr>
      </w:pPr>
      <w:r w:rsidRPr="001C3E34">
        <w:rPr>
          <w:rFonts w:ascii="Arial" w:hAnsi="Arial" w:cs="Arial"/>
          <w:sz w:val="24"/>
          <w:szCs w:val="24"/>
        </w:rPr>
        <w:t>Revenue Diversification: Having many revenue streams might help to stabilise financial performance in the face of market volatility. McDonald's might broaden their menu options to include more nutritious, sustainable, and plant-</w:t>
      </w:r>
      <w:r w:rsidRPr="001C3E34">
        <w:rPr>
          <w:rFonts w:ascii="Arial" w:hAnsi="Arial" w:cs="Arial"/>
          <w:sz w:val="24"/>
          <w:szCs w:val="24"/>
        </w:rPr>
        <w:lastRenderedPageBreak/>
        <w:t xml:space="preserve">based options </w:t>
      </w:r>
      <w:r w:rsidRPr="001C3E34">
        <w:rPr>
          <w:rFonts w:ascii="Arial" w:hAnsi="Arial" w:cs="Arial"/>
          <w:sz w:val="24"/>
          <w:szCs w:val="24"/>
        </w:rPr>
        <w:t>to</w:t>
      </w:r>
      <w:r w:rsidRPr="001C3E34">
        <w:rPr>
          <w:rFonts w:ascii="Arial" w:hAnsi="Arial" w:cs="Arial"/>
          <w:sz w:val="24"/>
          <w:szCs w:val="24"/>
        </w:rPr>
        <w:t xml:space="preserve"> appeal to a wider demographic, particularly ecologically and health-conscious consumers (Wood, 2015). Furthermore, increasing digital interaction through mobile apps and delivery services might provide new revenue streams.</w:t>
      </w:r>
    </w:p>
    <w:p w14:paraId="43A29EF7" w14:textId="578985D5" w:rsidR="00155577" w:rsidRPr="001C3E34" w:rsidRDefault="00155577" w:rsidP="001C3E34">
      <w:pPr>
        <w:pStyle w:val="ListParagraph"/>
        <w:numPr>
          <w:ilvl w:val="0"/>
          <w:numId w:val="6"/>
        </w:numPr>
        <w:spacing w:line="360" w:lineRule="auto"/>
        <w:rPr>
          <w:rFonts w:ascii="Arial" w:hAnsi="Arial" w:cs="Arial"/>
          <w:sz w:val="24"/>
          <w:szCs w:val="24"/>
        </w:rPr>
      </w:pPr>
      <w:r w:rsidRPr="001C3E34">
        <w:rPr>
          <w:rFonts w:ascii="Arial" w:hAnsi="Arial" w:cs="Arial"/>
          <w:sz w:val="24"/>
          <w:szCs w:val="24"/>
        </w:rPr>
        <w:t>Technology Investment: Investing in technology, particularly automation and artificial intelligence, can boost operational efficiency while lowering labour costs. Technologies that improve inventory management and streamline the supply chain can result in significant cost savings and reduced environmental impact, aligned with sustainability objectives (Drury, 20).</w:t>
      </w:r>
    </w:p>
    <w:p w14:paraId="065C2A6A" w14:textId="2CC3BAA3" w:rsidR="00155577" w:rsidRPr="001C3E34" w:rsidRDefault="00155577" w:rsidP="001C3E34">
      <w:pPr>
        <w:pStyle w:val="ListParagraph"/>
        <w:numPr>
          <w:ilvl w:val="0"/>
          <w:numId w:val="6"/>
        </w:numPr>
        <w:spacing w:line="360" w:lineRule="auto"/>
        <w:rPr>
          <w:rFonts w:ascii="Arial" w:hAnsi="Arial" w:cs="Arial"/>
          <w:sz w:val="24"/>
          <w:szCs w:val="24"/>
        </w:rPr>
      </w:pPr>
      <w:r w:rsidRPr="001C3E34">
        <w:rPr>
          <w:rFonts w:ascii="Arial" w:hAnsi="Arial" w:cs="Arial"/>
          <w:sz w:val="24"/>
          <w:szCs w:val="24"/>
        </w:rPr>
        <w:t>Enhancements in Supply Chain Management: McDonald's should prioritize the sustainability of its supply chain by partnering with suppliers who adhere to responsible environmental practices. This not only ensures the sustainability of resources but also strengthens consumer trust in the brand's commitment to environmental stewardship (Lucey, 2009).</w:t>
      </w:r>
    </w:p>
    <w:p w14:paraId="7BE65A77" w14:textId="631A93A3" w:rsidR="00155577" w:rsidRPr="001C3E34" w:rsidRDefault="00155577" w:rsidP="001C3E34">
      <w:pPr>
        <w:pStyle w:val="ListParagraph"/>
        <w:numPr>
          <w:ilvl w:val="0"/>
          <w:numId w:val="6"/>
        </w:numPr>
        <w:spacing w:line="360" w:lineRule="auto"/>
        <w:rPr>
          <w:rFonts w:ascii="Arial" w:hAnsi="Arial" w:cs="Arial"/>
          <w:sz w:val="24"/>
          <w:szCs w:val="24"/>
        </w:rPr>
      </w:pPr>
      <w:r w:rsidRPr="001C3E34">
        <w:rPr>
          <w:rFonts w:ascii="Arial" w:hAnsi="Arial" w:cs="Arial"/>
          <w:sz w:val="24"/>
          <w:szCs w:val="24"/>
        </w:rPr>
        <w:t>Strategic Debt Management Initiatives: Effective debt management is critical to McDonald's financial viability. To lessen reliance on borrowing, the company should explore restructuring existing debt on more favourable terms and focusing on generating more cash flow from operations (Attrill &amp; McLaney, 2015).</w:t>
      </w:r>
    </w:p>
    <w:p w14:paraId="442F87D7" w14:textId="5FDF8832" w:rsidR="00155577" w:rsidRDefault="00155577" w:rsidP="001C3E34">
      <w:pPr>
        <w:spacing w:line="360" w:lineRule="auto"/>
        <w:rPr>
          <w:rFonts w:ascii="Arial" w:hAnsi="Arial" w:cs="Arial"/>
          <w:sz w:val="24"/>
          <w:szCs w:val="24"/>
        </w:rPr>
      </w:pPr>
      <w:r w:rsidRPr="00155577">
        <w:rPr>
          <w:rFonts w:ascii="Arial" w:hAnsi="Arial" w:cs="Arial"/>
          <w:sz w:val="24"/>
          <w:szCs w:val="24"/>
        </w:rPr>
        <w:t>By following these measures, McDonald's may improve its financial sustainability, lessen its environmental impact, and create a stronger, more resilient business model that is in line with current consumer values and market expectations. These enhancements will not only contribute to a better balance sheet but will also help the company meet its long-term strategic goals in sustainability and corporate responsibility.</w:t>
      </w:r>
    </w:p>
    <w:p w14:paraId="383C4B17" w14:textId="77777777" w:rsidR="00176C95" w:rsidRDefault="00176C95" w:rsidP="001C3E34">
      <w:pPr>
        <w:spacing w:line="360" w:lineRule="auto"/>
        <w:rPr>
          <w:rFonts w:ascii="Arial" w:hAnsi="Arial" w:cs="Arial"/>
          <w:sz w:val="24"/>
          <w:szCs w:val="24"/>
        </w:rPr>
      </w:pPr>
    </w:p>
    <w:p w14:paraId="7B4B6B57" w14:textId="77777777" w:rsidR="00176C95" w:rsidRDefault="00176C95" w:rsidP="001C3E34">
      <w:pPr>
        <w:spacing w:line="360" w:lineRule="auto"/>
        <w:rPr>
          <w:rFonts w:ascii="Arial" w:hAnsi="Arial" w:cs="Arial"/>
          <w:sz w:val="24"/>
          <w:szCs w:val="24"/>
        </w:rPr>
      </w:pPr>
    </w:p>
    <w:p w14:paraId="22B15900" w14:textId="77777777" w:rsidR="00176C95" w:rsidRDefault="00176C95" w:rsidP="001C3E34">
      <w:pPr>
        <w:spacing w:line="360" w:lineRule="auto"/>
        <w:rPr>
          <w:rFonts w:ascii="Arial" w:hAnsi="Arial" w:cs="Arial"/>
          <w:sz w:val="24"/>
          <w:szCs w:val="24"/>
        </w:rPr>
      </w:pPr>
    </w:p>
    <w:p w14:paraId="659252DC" w14:textId="77777777" w:rsidR="00176C95" w:rsidRDefault="00176C95" w:rsidP="001C3E34">
      <w:pPr>
        <w:spacing w:line="360" w:lineRule="auto"/>
        <w:rPr>
          <w:rFonts w:ascii="Arial" w:hAnsi="Arial" w:cs="Arial"/>
          <w:sz w:val="24"/>
          <w:szCs w:val="24"/>
        </w:rPr>
      </w:pPr>
    </w:p>
    <w:p w14:paraId="3EAB5DB5" w14:textId="77777777" w:rsidR="00176C95" w:rsidRDefault="00176C95" w:rsidP="001C3E34">
      <w:pPr>
        <w:spacing w:line="360" w:lineRule="auto"/>
        <w:rPr>
          <w:rFonts w:ascii="Arial" w:hAnsi="Arial" w:cs="Arial"/>
          <w:sz w:val="24"/>
          <w:szCs w:val="24"/>
        </w:rPr>
      </w:pPr>
    </w:p>
    <w:p w14:paraId="4092482F" w14:textId="77777777" w:rsidR="001C3E34" w:rsidRDefault="001C3E34" w:rsidP="001C3E34">
      <w:pPr>
        <w:spacing w:line="360" w:lineRule="auto"/>
        <w:rPr>
          <w:rFonts w:ascii="Arial" w:hAnsi="Arial" w:cs="Arial"/>
          <w:sz w:val="24"/>
          <w:szCs w:val="24"/>
        </w:rPr>
      </w:pPr>
    </w:p>
    <w:p w14:paraId="690BD973" w14:textId="1D78DBBB" w:rsidR="00176C95" w:rsidRPr="001C3E34" w:rsidRDefault="00176C95" w:rsidP="001C3E34">
      <w:pPr>
        <w:spacing w:line="360" w:lineRule="auto"/>
        <w:rPr>
          <w:rFonts w:ascii="Arial Black" w:hAnsi="Arial Black" w:cs="Arial"/>
          <w:sz w:val="24"/>
          <w:szCs w:val="24"/>
        </w:rPr>
      </w:pPr>
      <w:r w:rsidRPr="001C3E34">
        <w:rPr>
          <w:rFonts w:ascii="Arial Black" w:hAnsi="Arial Black" w:cs="Arial"/>
          <w:sz w:val="24"/>
          <w:szCs w:val="24"/>
        </w:rPr>
        <w:lastRenderedPageBreak/>
        <w:t xml:space="preserve">Conclusion </w:t>
      </w:r>
    </w:p>
    <w:p w14:paraId="4217EA3E" w14:textId="374BAF0E" w:rsidR="00176C95" w:rsidRDefault="00176C95" w:rsidP="001C3E34">
      <w:pPr>
        <w:spacing w:line="360" w:lineRule="auto"/>
        <w:rPr>
          <w:rFonts w:ascii="Arial" w:hAnsi="Arial" w:cs="Arial"/>
          <w:sz w:val="24"/>
          <w:szCs w:val="24"/>
        </w:rPr>
      </w:pPr>
      <w:r w:rsidRPr="00176C95">
        <w:rPr>
          <w:rFonts w:ascii="Arial" w:hAnsi="Arial" w:cs="Arial"/>
          <w:sz w:val="24"/>
          <w:szCs w:val="24"/>
        </w:rPr>
        <w:t xml:space="preserve">The </w:t>
      </w:r>
      <w:r>
        <w:rPr>
          <w:rFonts w:ascii="Arial" w:hAnsi="Arial" w:cs="Arial"/>
          <w:sz w:val="24"/>
          <w:szCs w:val="24"/>
        </w:rPr>
        <w:t>comprehensive</w:t>
      </w:r>
      <w:r w:rsidRPr="00176C95">
        <w:rPr>
          <w:rFonts w:ascii="Arial" w:hAnsi="Arial" w:cs="Arial"/>
          <w:sz w:val="24"/>
          <w:szCs w:val="24"/>
        </w:rPr>
        <w:t xml:space="preserve"> ratio analysis of McDonald's financial statements from 2019 to 2022 yielded vital insights into the company's financial health and operational efficiencies. This analysis identified patterns and movements in liquidity, profitability, and solvency ratios, which are critical for informed strategic decision-making.</w:t>
      </w:r>
    </w:p>
    <w:p w14:paraId="02521079" w14:textId="7B94A818" w:rsidR="00176C95" w:rsidRDefault="00176C95" w:rsidP="001C3E34">
      <w:pPr>
        <w:spacing w:line="360" w:lineRule="auto"/>
        <w:rPr>
          <w:rFonts w:ascii="Arial" w:hAnsi="Arial" w:cs="Arial"/>
          <w:sz w:val="24"/>
          <w:szCs w:val="24"/>
        </w:rPr>
      </w:pPr>
      <w:r w:rsidRPr="00176C95">
        <w:rPr>
          <w:rFonts w:ascii="Arial" w:hAnsi="Arial" w:cs="Arial"/>
          <w:sz w:val="24"/>
          <w:szCs w:val="24"/>
        </w:rPr>
        <w:t>The liquidity ratios showed a relatively consistent ability to satisfy short-term obligations, with a modest decline in liquidity from 2021 to 2022. This highlights the importance of prudent financial management in maintaining operational fluidity. Profitability ratios revealed unpredictability in McDonald's ability to create earnings over time, with a significant recovery in gross margin by 2022, indicating better cost management. However, the net profit margin decreased somewhat, highlighting potential opportunities for improving operational efficiency.</w:t>
      </w:r>
    </w:p>
    <w:p w14:paraId="39494353" w14:textId="6DE25FD2" w:rsidR="00176C95" w:rsidRDefault="00176C95" w:rsidP="001C3E34">
      <w:pPr>
        <w:spacing w:line="360" w:lineRule="auto"/>
        <w:rPr>
          <w:rFonts w:ascii="Arial" w:hAnsi="Arial" w:cs="Arial"/>
          <w:sz w:val="24"/>
          <w:szCs w:val="24"/>
        </w:rPr>
      </w:pPr>
      <w:r w:rsidRPr="00176C95">
        <w:rPr>
          <w:rFonts w:ascii="Arial" w:hAnsi="Arial" w:cs="Arial"/>
          <w:sz w:val="24"/>
          <w:szCs w:val="24"/>
        </w:rPr>
        <w:t>The solvency ratios were a key discovery, revealing constant negative shareholder equity, indicating significant leveraging and financial risk. This raises serious concerns about the company's long-term financial viability and the urgent need for strategic financial reorganisation.</w:t>
      </w:r>
    </w:p>
    <w:p w14:paraId="422571DB" w14:textId="4BA86DB9" w:rsidR="00176C95" w:rsidRDefault="00176C95" w:rsidP="001C3E34">
      <w:pPr>
        <w:spacing w:line="360" w:lineRule="auto"/>
        <w:rPr>
          <w:rFonts w:ascii="Arial" w:hAnsi="Arial" w:cs="Arial"/>
          <w:sz w:val="24"/>
          <w:szCs w:val="24"/>
        </w:rPr>
      </w:pPr>
      <w:r w:rsidRPr="00176C95">
        <w:rPr>
          <w:rFonts w:ascii="Arial" w:hAnsi="Arial" w:cs="Arial"/>
          <w:sz w:val="24"/>
          <w:szCs w:val="24"/>
        </w:rPr>
        <w:t xml:space="preserve">The recommendations, which include cost reduction through sustainable practices, revenue diversification, technological investments, supply chain improvements, and strategic debt management, are intended to address these results. If applied correctly, these measures have the potential to stabilise McDonald's financial metrics while also aligning the corporation more closely with modern sustainability principles. This connection could strengthen McDonald's competitive advantage and future financial sustainability, ensuring the company's resilience in the face of changing market difficulties and consumer preferences. Thus, the insights derived from this ratio analysis are critical not only for current financial </w:t>
      </w:r>
      <w:r>
        <w:rPr>
          <w:rFonts w:ascii="Arial" w:hAnsi="Arial" w:cs="Arial"/>
          <w:sz w:val="24"/>
          <w:szCs w:val="24"/>
        </w:rPr>
        <w:t>analysis</w:t>
      </w:r>
      <w:r w:rsidRPr="00176C95">
        <w:rPr>
          <w:rFonts w:ascii="Arial" w:hAnsi="Arial" w:cs="Arial"/>
          <w:sz w:val="24"/>
          <w:szCs w:val="24"/>
        </w:rPr>
        <w:t xml:space="preserve"> but also for determining a sustainable and profitable course forward.</w:t>
      </w:r>
    </w:p>
    <w:p w14:paraId="13516325" w14:textId="77777777" w:rsidR="00176C95" w:rsidRDefault="00176C95" w:rsidP="001C3E34">
      <w:pPr>
        <w:spacing w:line="360" w:lineRule="auto"/>
        <w:rPr>
          <w:rFonts w:ascii="Arial" w:hAnsi="Arial" w:cs="Arial"/>
          <w:sz w:val="24"/>
          <w:szCs w:val="24"/>
        </w:rPr>
      </w:pPr>
    </w:p>
    <w:p w14:paraId="43DCEBB9" w14:textId="77777777" w:rsidR="00176C95" w:rsidRDefault="00176C95" w:rsidP="001C3E34">
      <w:pPr>
        <w:spacing w:line="360" w:lineRule="auto"/>
        <w:rPr>
          <w:rFonts w:ascii="Arial" w:hAnsi="Arial" w:cs="Arial"/>
          <w:sz w:val="24"/>
          <w:szCs w:val="24"/>
        </w:rPr>
      </w:pPr>
    </w:p>
    <w:p w14:paraId="37C7CE8E" w14:textId="77777777" w:rsidR="00176C95" w:rsidRDefault="00176C95" w:rsidP="001C3E34">
      <w:pPr>
        <w:spacing w:line="360" w:lineRule="auto"/>
        <w:rPr>
          <w:rFonts w:ascii="Arial" w:hAnsi="Arial" w:cs="Arial"/>
          <w:sz w:val="24"/>
          <w:szCs w:val="24"/>
        </w:rPr>
      </w:pPr>
    </w:p>
    <w:p w14:paraId="064F08C6" w14:textId="77777777" w:rsidR="001C3E34" w:rsidRDefault="001C3E34" w:rsidP="00155577">
      <w:pPr>
        <w:rPr>
          <w:rFonts w:ascii="Arial" w:hAnsi="Arial" w:cs="Arial"/>
          <w:sz w:val="24"/>
          <w:szCs w:val="24"/>
        </w:rPr>
      </w:pPr>
    </w:p>
    <w:p w14:paraId="129EEBAC" w14:textId="7B1240DB" w:rsidR="00176C95" w:rsidRPr="001C3E34" w:rsidRDefault="00176C95" w:rsidP="00155577">
      <w:pPr>
        <w:rPr>
          <w:rFonts w:ascii="Arial Black" w:hAnsi="Arial Black" w:cs="Arial"/>
          <w:sz w:val="24"/>
          <w:szCs w:val="24"/>
        </w:rPr>
      </w:pPr>
      <w:r w:rsidRPr="001C3E34">
        <w:rPr>
          <w:rFonts w:ascii="Arial Black" w:hAnsi="Arial Black" w:cs="Arial"/>
          <w:sz w:val="24"/>
          <w:szCs w:val="24"/>
        </w:rPr>
        <w:lastRenderedPageBreak/>
        <w:t xml:space="preserve">References </w:t>
      </w:r>
    </w:p>
    <w:p w14:paraId="675D2981" w14:textId="77777777" w:rsidR="00176C95" w:rsidRPr="00176C95" w:rsidRDefault="00176C95" w:rsidP="00176C95">
      <w:pPr>
        <w:rPr>
          <w:rFonts w:ascii="Arial" w:hAnsi="Arial" w:cs="Arial"/>
          <w:sz w:val="24"/>
          <w:szCs w:val="24"/>
        </w:rPr>
      </w:pPr>
      <w:r w:rsidRPr="00176C95">
        <w:rPr>
          <w:rFonts w:ascii="Arial" w:hAnsi="Arial" w:cs="Arial"/>
          <w:sz w:val="24"/>
          <w:szCs w:val="24"/>
        </w:rPr>
        <w:t xml:space="preserve">Attrill, P. &amp; McLaney, E. (2015). </w:t>
      </w:r>
      <w:r w:rsidRPr="00176C95">
        <w:rPr>
          <w:rFonts w:ascii="Arial" w:hAnsi="Arial" w:cs="Arial"/>
          <w:i/>
          <w:iCs/>
          <w:sz w:val="24"/>
          <w:szCs w:val="24"/>
        </w:rPr>
        <w:t>Management Accounting for Decision Makers</w:t>
      </w:r>
      <w:r w:rsidRPr="00176C95">
        <w:rPr>
          <w:rFonts w:ascii="Arial" w:hAnsi="Arial" w:cs="Arial"/>
          <w:sz w:val="24"/>
          <w:szCs w:val="24"/>
        </w:rPr>
        <w:t>. 8th ed. Cengage Learning.</w:t>
      </w:r>
    </w:p>
    <w:p w14:paraId="7C0E16B2" w14:textId="77777777" w:rsidR="00176C95" w:rsidRPr="00176C95" w:rsidRDefault="00176C95" w:rsidP="00176C95">
      <w:pPr>
        <w:rPr>
          <w:rFonts w:ascii="Arial" w:hAnsi="Arial" w:cs="Arial"/>
          <w:sz w:val="24"/>
          <w:szCs w:val="24"/>
        </w:rPr>
      </w:pPr>
      <w:r w:rsidRPr="00176C95">
        <w:rPr>
          <w:rFonts w:ascii="Arial" w:hAnsi="Arial" w:cs="Arial"/>
          <w:sz w:val="24"/>
          <w:szCs w:val="24"/>
        </w:rPr>
        <w:t xml:space="preserve">Brigham, E.F. &amp; Daves, P.R. (2012). </w:t>
      </w:r>
      <w:r w:rsidRPr="00176C95">
        <w:rPr>
          <w:rFonts w:ascii="Arial" w:hAnsi="Arial" w:cs="Arial"/>
          <w:i/>
          <w:iCs/>
          <w:sz w:val="24"/>
          <w:szCs w:val="24"/>
        </w:rPr>
        <w:t>Financial Management: Theory and Practice</w:t>
      </w:r>
      <w:r w:rsidRPr="00176C95">
        <w:rPr>
          <w:rFonts w:ascii="Arial" w:hAnsi="Arial" w:cs="Arial"/>
          <w:sz w:val="24"/>
          <w:szCs w:val="24"/>
        </w:rPr>
        <w:t>. Boston: Cengage Learning.</w:t>
      </w:r>
    </w:p>
    <w:p w14:paraId="4389ACE4" w14:textId="77777777" w:rsidR="00176C95" w:rsidRPr="00176C95" w:rsidRDefault="00176C95" w:rsidP="00176C95">
      <w:pPr>
        <w:rPr>
          <w:rFonts w:ascii="Arial" w:hAnsi="Arial" w:cs="Arial"/>
          <w:sz w:val="24"/>
          <w:szCs w:val="24"/>
        </w:rPr>
      </w:pPr>
      <w:r w:rsidRPr="00176C95">
        <w:rPr>
          <w:rFonts w:ascii="Arial" w:hAnsi="Arial" w:cs="Arial"/>
          <w:sz w:val="24"/>
          <w:szCs w:val="24"/>
        </w:rPr>
        <w:t xml:space="preserve">Choi, J. &amp; Wang, H. (2009). 'Stakeholder Relations and the Persistence of Corporate Financial Performance.' </w:t>
      </w:r>
      <w:r w:rsidRPr="00176C95">
        <w:rPr>
          <w:rFonts w:ascii="Arial" w:hAnsi="Arial" w:cs="Arial"/>
          <w:i/>
          <w:iCs/>
          <w:sz w:val="24"/>
          <w:szCs w:val="24"/>
        </w:rPr>
        <w:t>Strategic Management Journal</w:t>
      </w:r>
      <w:r w:rsidRPr="00176C95">
        <w:rPr>
          <w:rFonts w:ascii="Arial" w:hAnsi="Arial" w:cs="Arial"/>
          <w:sz w:val="24"/>
          <w:szCs w:val="24"/>
        </w:rPr>
        <w:t>, 30(8), pp. 895-907.</w:t>
      </w:r>
    </w:p>
    <w:p w14:paraId="13BA74FB" w14:textId="77777777" w:rsidR="00176C95" w:rsidRPr="00176C95" w:rsidRDefault="00176C95" w:rsidP="00176C95">
      <w:pPr>
        <w:rPr>
          <w:rFonts w:ascii="Arial" w:hAnsi="Arial" w:cs="Arial"/>
          <w:sz w:val="24"/>
          <w:szCs w:val="24"/>
        </w:rPr>
      </w:pPr>
      <w:r w:rsidRPr="00176C95">
        <w:rPr>
          <w:rFonts w:ascii="Arial" w:hAnsi="Arial" w:cs="Arial"/>
          <w:sz w:val="24"/>
          <w:szCs w:val="24"/>
        </w:rPr>
        <w:t xml:space="preserve">Damodaran, A. (2012). </w:t>
      </w:r>
      <w:r w:rsidRPr="00176C95">
        <w:rPr>
          <w:rFonts w:ascii="Arial" w:hAnsi="Arial" w:cs="Arial"/>
          <w:i/>
          <w:iCs/>
          <w:sz w:val="24"/>
          <w:szCs w:val="24"/>
        </w:rPr>
        <w:t>Investment Valuation: Tools and Techniques for Determining the Value of Any Asset</w:t>
      </w:r>
      <w:r w:rsidRPr="00176C95">
        <w:rPr>
          <w:rFonts w:ascii="Arial" w:hAnsi="Arial" w:cs="Arial"/>
          <w:sz w:val="24"/>
          <w:szCs w:val="24"/>
        </w:rPr>
        <w:t>. Hoboken: John Wiley &amp; Sons.</w:t>
      </w:r>
    </w:p>
    <w:p w14:paraId="732685F7" w14:textId="0519C8D8" w:rsidR="00176C95" w:rsidRPr="00176C95" w:rsidRDefault="00176C95" w:rsidP="00176C95">
      <w:pPr>
        <w:rPr>
          <w:rFonts w:ascii="Arial" w:hAnsi="Arial" w:cs="Arial"/>
          <w:sz w:val="24"/>
          <w:szCs w:val="24"/>
        </w:rPr>
      </w:pPr>
      <w:r w:rsidRPr="00176C95">
        <w:rPr>
          <w:rFonts w:ascii="Arial" w:hAnsi="Arial" w:cs="Arial"/>
          <w:sz w:val="24"/>
          <w:szCs w:val="24"/>
        </w:rPr>
        <w:t>Drury, J. (20</w:t>
      </w:r>
      <w:r w:rsidR="001C3E34">
        <w:rPr>
          <w:rFonts w:ascii="Arial" w:hAnsi="Arial" w:cs="Arial"/>
          <w:sz w:val="24"/>
          <w:szCs w:val="24"/>
        </w:rPr>
        <w:t>18</w:t>
      </w:r>
      <w:r w:rsidRPr="00176C95">
        <w:rPr>
          <w:rFonts w:ascii="Arial" w:hAnsi="Arial" w:cs="Arial"/>
          <w:sz w:val="24"/>
          <w:szCs w:val="24"/>
        </w:rPr>
        <w:t xml:space="preserve">). </w:t>
      </w:r>
      <w:r w:rsidRPr="00176C95">
        <w:rPr>
          <w:rFonts w:ascii="Arial" w:hAnsi="Arial" w:cs="Arial"/>
          <w:i/>
          <w:iCs/>
          <w:sz w:val="24"/>
          <w:szCs w:val="24"/>
        </w:rPr>
        <w:t>Management and Cost Accounting</w:t>
      </w:r>
      <w:r w:rsidRPr="00176C95">
        <w:rPr>
          <w:rFonts w:ascii="Arial" w:hAnsi="Arial" w:cs="Arial"/>
          <w:sz w:val="24"/>
          <w:szCs w:val="24"/>
        </w:rPr>
        <w:t>. 9th ed. Cengage Learning.</w:t>
      </w:r>
    </w:p>
    <w:p w14:paraId="27EE4B32" w14:textId="77777777" w:rsidR="00176C95" w:rsidRPr="00176C95" w:rsidRDefault="00176C95" w:rsidP="00176C95">
      <w:pPr>
        <w:rPr>
          <w:rFonts w:ascii="Arial" w:hAnsi="Arial" w:cs="Arial"/>
          <w:sz w:val="24"/>
          <w:szCs w:val="24"/>
        </w:rPr>
      </w:pPr>
      <w:r w:rsidRPr="00176C95">
        <w:rPr>
          <w:rFonts w:ascii="Arial" w:hAnsi="Arial" w:cs="Arial"/>
          <w:sz w:val="24"/>
          <w:szCs w:val="24"/>
        </w:rPr>
        <w:t xml:space="preserve">Dyson, J.R. (2010). </w:t>
      </w:r>
      <w:r w:rsidRPr="00176C95">
        <w:rPr>
          <w:rFonts w:ascii="Arial" w:hAnsi="Arial" w:cs="Arial"/>
          <w:i/>
          <w:iCs/>
          <w:sz w:val="24"/>
          <w:szCs w:val="24"/>
        </w:rPr>
        <w:t>Accounting for Non-Accounting Students</w:t>
      </w:r>
      <w:r w:rsidRPr="00176C95">
        <w:rPr>
          <w:rFonts w:ascii="Arial" w:hAnsi="Arial" w:cs="Arial"/>
          <w:sz w:val="24"/>
          <w:szCs w:val="24"/>
        </w:rPr>
        <w:t>. 8th ed. Pearson.</w:t>
      </w:r>
    </w:p>
    <w:p w14:paraId="7BC77761" w14:textId="77777777" w:rsidR="00176C95" w:rsidRPr="00176C95" w:rsidRDefault="00176C95" w:rsidP="00176C95">
      <w:pPr>
        <w:rPr>
          <w:rFonts w:ascii="Arial" w:hAnsi="Arial" w:cs="Arial"/>
          <w:sz w:val="24"/>
          <w:szCs w:val="24"/>
        </w:rPr>
      </w:pPr>
      <w:r w:rsidRPr="00176C95">
        <w:rPr>
          <w:rFonts w:ascii="Arial" w:hAnsi="Arial" w:cs="Arial"/>
          <w:sz w:val="24"/>
          <w:szCs w:val="24"/>
        </w:rPr>
        <w:t>Fridson, M.S. &amp; Alvarez, F. (2011</w:t>
      </w:r>
      <w:r w:rsidRPr="00176C95">
        <w:rPr>
          <w:rFonts w:ascii="Arial" w:hAnsi="Arial" w:cs="Arial"/>
          <w:i/>
          <w:iCs/>
          <w:sz w:val="24"/>
          <w:szCs w:val="24"/>
        </w:rPr>
        <w:t>). Financial Statement Analysis: A Practitioner's Guide.</w:t>
      </w:r>
      <w:r w:rsidRPr="00176C95">
        <w:rPr>
          <w:rFonts w:ascii="Arial" w:hAnsi="Arial" w:cs="Arial"/>
          <w:sz w:val="24"/>
          <w:szCs w:val="24"/>
        </w:rPr>
        <w:t xml:space="preserve"> Hoboken: John Wiley &amp; Sons.</w:t>
      </w:r>
    </w:p>
    <w:p w14:paraId="2E3BC99D" w14:textId="77777777" w:rsidR="00176C95" w:rsidRPr="00176C95" w:rsidRDefault="00176C95" w:rsidP="00176C95">
      <w:pPr>
        <w:rPr>
          <w:rFonts w:ascii="Arial" w:hAnsi="Arial" w:cs="Arial"/>
          <w:sz w:val="24"/>
          <w:szCs w:val="24"/>
        </w:rPr>
      </w:pPr>
      <w:r w:rsidRPr="00176C95">
        <w:rPr>
          <w:rFonts w:ascii="Arial" w:hAnsi="Arial" w:cs="Arial"/>
          <w:sz w:val="24"/>
          <w:szCs w:val="24"/>
        </w:rPr>
        <w:t xml:space="preserve">Kothari, S.P. (2001). 'Capital Markets Research in Accounting.' </w:t>
      </w:r>
      <w:r w:rsidRPr="00176C95">
        <w:rPr>
          <w:rFonts w:ascii="Arial" w:hAnsi="Arial" w:cs="Arial"/>
          <w:i/>
          <w:iCs/>
          <w:sz w:val="24"/>
          <w:szCs w:val="24"/>
        </w:rPr>
        <w:t xml:space="preserve">Journal of Accounting and Economics, </w:t>
      </w:r>
      <w:r w:rsidRPr="00176C95">
        <w:rPr>
          <w:rFonts w:ascii="Arial" w:hAnsi="Arial" w:cs="Arial"/>
          <w:sz w:val="24"/>
          <w:szCs w:val="24"/>
        </w:rPr>
        <w:t>31(1-3), pp. 105-253.</w:t>
      </w:r>
    </w:p>
    <w:p w14:paraId="46B24BCD" w14:textId="77777777" w:rsidR="00176C95" w:rsidRPr="00176C95" w:rsidRDefault="00176C95" w:rsidP="00176C95">
      <w:pPr>
        <w:rPr>
          <w:rFonts w:ascii="Arial" w:hAnsi="Arial" w:cs="Arial"/>
          <w:sz w:val="24"/>
          <w:szCs w:val="24"/>
        </w:rPr>
      </w:pPr>
      <w:r w:rsidRPr="00176C95">
        <w:rPr>
          <w:rFonts w:ascii="Arial" w:hAnsi="Arial" w:cs="Arial"/>
          <w:sz w:val="24"/>
          <w:szCs w:val="24"/>
        </w:rPr>
        <w:t xml:space="preserve">Lucey, T. (2009). </w:t>
      </w:r>
      <w:r w:rsidRPr="00176C95">
        <w:rPr>
          <w:rFonts w:ascii="Arial" w:hAnsi="Arial" w:cs="Arial"/>
          <w:i/>
          <w:iCs/>
          <w:sz w:val="24"/>
          <w:szCs w:val="24"/>
        </w:rPr>
        <w:t>Costing.</w:t>
      </w:r>
      <w:r w:rsidRPr="00176C95">
        <w:rPr>
          <w:rFonts w:ascii="Arial" w:hAnsi="Arial" w:cs="Arial"/>
          <w:sz w:val="24"/>
          <w:szCs w:val="24"/>
        </w:rPr>
        <w:t xml:space="preserve"> 7th ed. Cengage Learning.</w:t>
      </w:r>
    </w:p>
    <w:p w14:paraId="4112C10D" w14:textId="77777777" w:rsidR="00176C95" w:rsidRPr="00176C95" w:rsidRDefault="00176C95" w:rsidP="00176C95">
      <w:pPr>
        <w:rPr>
          <w:rFonts w:ascii="Arial" w:hAnsi="Arial" w:cs="Arial"/>
          <w:sz w:val="24"/>
          <w:szCs w:val="24"/>
        </w:rPr>
      </w:pPr>
      <w:r w:rsidRPr="00176C95">
        <w:rPr>
          <w:rFonts w:ascii="Arial" w:hAnsi="Arial" w:cs="Arial"/>
          <w:sz w:val="24"/>
          <w:szCs w:val="24"/>
        </w:rPr>
        <w:t>Ohlson, J.A. (1995). 'Earnings, Book Values, and Dividends in Equity Valuation.' Contemporary Accounting Research, 11(2), pp. 661-688.</w:t>
      </w:r>
    </w:p>
    <w:p w14:paraId="0784F7CD" w14:textId="77777777" w:rsidR="00176C95" w:rsidRPr="00176C95" w:rsidRDefault="00176C95" w:rsidP="00176C95">
      <w:pPr>
        <w:rPr>
          <w:rFonts w:ascii="Arial" w:hAnsi="Arial" w:cs="Arial"/>
          <w:sz w:val="24"/>
          <w:szCs w:val="24"/>
        </w:rPr>
      </w:pPr>
      <w:r w:rsidRPr="00176C95">
        <w:rPr>
          <w:rFonts w:ascii="Arial" w:hAnsi="Arial" w:cs="Arial"/>
          <w:sz w:val="24"/>
          <w:szCs w:val="24"/>
        </w:rPr>
        <w:t xml:space="preserve">Palepu, K.G., Healy, P.M. &amp; Bernard, V.L. (2012). </w:t>
      </w:r>
      <w:r w:rsidRPr="00176C95">
        <w:rPr>
          <w:rFonts w:ascii="Arial" w:hAnsi="Arial" w:cs="Arial"/>
          <w:i/>
          <w:iCs/>
          <w:sz w:val="24"/>
          <w:szCs w:val="24"/>
        </w:rPr>
        <w:t>Business Analysis and Valuation: Using Financial Statements</w:t>
      </w:r>
      <w:r w:rsidRPr="00176C95">
        <w:rPr>
          <w:rFonts w:ascii="Arial" w:hAnsi="Arial" w:cs="Arial"/>
          <w:sz w:val="24"/>
          <w:szCs w:val="24"/>
        </w:rPr>
        <w:t>. Boston: Cengage Learning.</w:t>
      </w:r>
    </w:p>
    <w:p w14:paraId="1323326A" w14:textId="77777777" w:rsidR="00176C95" w:rsidRPr="00176C95" w:rsidRDefault="00176C95" w:rsidP="00176C95">
      <w:pPr>
        <w:rPr>
          <w:rFonts w:ascii="Arial" w:hAnsi="Arial" w:cs="Arial"/>
          <w:sz w:val="24"/>
          <w:szCs w:val="24"/>
        </w:rPr>
      </w:pPr>
      <w:r w:rsidRPr="00176C95">
        <w:rPr>
          <w:rFonts w:ascii="Arial" w:hAnsi="Arial" w:cs="Arial"/>
          <w:sz w:val="24"/>
          <w:szCs w:val="24"/>
        </w:rPr>
        <w:t>Penman, S.H. (2010). Accounting for Value. New York: Columbia University Press.</w:t>
      </w:r>
    </w:p>
    <w:p w14:paraId="4851D62A" w14:textId="77777777" w:rsidR="00176C95" w:rsidRPr="00176C95" w:rsidRDefault="00176C95" w:rsidP="00176C95">
      <w:pPr>
        <w:rPr>
          <w:rFonts w:ascii="Arial" w:hAnsi="Arial" w:cs="Arial"/>
          <w:sz w:val="24"/>
          <w:szCs w:val="24"/>
        </w:rPr>
      </w:pPr>
      <w:r w:rsidRPr="00176C95">
        <w:rPr>
          <w:rFonts w:ascii="Arial" w:hAnsi="Arial" w:cs="Arial"/>
          <w:sz w:val="24"/>
          <w:szCs w:val="24"/>
        </w:rPr>
        <w:t xml:space="preserve">Ross, S.A., Westerfield, R.W. &amp; Jordan, B.D. (2018). </w:t>
      </w:r>
      <w:r w:rsidRPr="00176C95">
        <w:rPr>
          <w:rFonts w:ascii="Arial" w:hAnsi="Arial" w:cs="Arial"/>
          <w:i/>
          <w:iCs/>
          <w:sz w:val="24"/>
          <w:szCs w:val="24"/>
        </w:rPr>
        <w:t>Fundamentals of Corporate Finance</w:t>
      </w:r>
      <w:r w:rsidRPr="00176C95">
        <w:rPr>
          <w:rFonts w:ascii="Arial" w:hAnsi="Arial" w:cs="Arial"/>
          <w:sz w:val="24"/>
          <w:szCs w:val="24"/>
        </w:rPr>
        <w:t>. New York: McGraw-Hill Education.</w:t>
      </w:r>
    </w:p>
    <w:p w14:paraId="0691D1F1" w14:textId="77777777" w:rsidR="00176C95" w:rsidRPr="00176C95" w:rsidRDefault="00176C95" w:rsidP="00176C95">
      <w:pPr>
        <w:rPr>
          <w:rFonts w:ascii="Arial" w:hAnsi="Arial" w:cs="Arial"/>
          <w:sz w:val="24"/>
          <w:szCs w:val="24"/>
        </w:rPr>
      </w:pPr>
      <w:r w:rsidRPr="00176C95">
        <w:rPr>
          <w:rFonts w:ascii="Arial" w:hAnsi="Arial" w:cs="Arial"/>
          <w:sz w:val="24"/>
          <w:szCs w:val="24"/>
        </w:rPr>
        <w:t xml:space="preserve">Walls, J.L., Berrone, P. &amp; Phan, P.H. (2012). 'Corporate Governance and Environmental Performance: Is There Really a Link?' </w:t>
      </w:r>
      <w:r w:rsidRPr="00176C95">
        <w:rPr>
          <w:rFonts w:ascii="Arial" w:hAnsi="Arial" w:cs="Arial"/>
          <w:i/>
          <w:iCs/>
          <w:sz w:val="24"/>
          <w:szCs w:val="24"/>
        </w:rPr>
        <w:t>Strategic Management Journal,</w:t>
      </w:r>
      <w:r w:rsidRPr="00176C95">
        <w:rPr>
          <w:rFonts w:ascii="Arial" w:hAnsi="Arial" w:cs="Arial"/>
          <w:sz w:val="24"/>
          <w:szCs w:val="24"/>
        </w:rPr>
        <w:t xml:space="preserve"> 33(8), pp. 885-913.</w:t>
      </w:r>
    </w:p>
    <w:p w14:paraId="42305127" w14:textId="232FC55F" w:rsidR="00176C95" w:rsidRDefault="00176C95" w:rsidP="00176C95">
      <w:pPr>
        <w:rPr>
          <w:rFonts w:ascii="Arial" w:hAnsi="Arial" w:cs="Arial"/>
          <w:sz w:val="24"/>
          <w:szCs w:val="24"/>
        </w:rPr>
      </w:pPr>
      <w:r w:rsidRPr="00176C95">
        <w:rPr>
          <w:rFonts w:ascii="Arial" w:hAnsi="Arial" w:cs="Arial"/>
          <w:sz w:val="24"/>
          <w:szCs w:val="24"/>
        </w:rPr>
        <w:t xml:space="preserve">Weetman, P. (2016). </w:t>
      </w:r>
      <w:r w:rsidRPr="00176C95">
        <w:rPr>
          <w:rFonts w:ascii="Arial" w:hAnsi="Arial" w:cs="Arial"/>
          <w:i/>
          <w:iCs/>
          <w:sz w:val="24"/>
          <w:szCs w:val="24"/>
        </w:rPr>
        <w:t>Financial Accounting: An Introduction</w:t>
      </w:r>
      <w:r w:rsidRPr="00176C95">
        <w:rPr>
          <w:rFonts w:ascii="Arial" w:hAnsi="Arial" w:cs="Arial"/>
          <w:sz w:val="24"/>
          <w:szCs w:val="24"/>
        </w:rPr>
        <w:t>. 7th Edition. Pearson.</w:t>
      </w:r>
    </w:p>
    <w:p w14:paraId="78162821" w14:textId="77777777" w:rsidR="00176C95" w:rsidRDefault="00176C95" w:rsidP="00155577">
      <w:pPr>
        <w:rPr>
          <w:rFonts w:ascii="Arial" w:hAnsi="Arial" w:cs="Arial"/>
          <w:sz w:val="24"/>
          <w:szCs w:val="24"/>
        </w:rPr>
      </w:pPr>
    </w:p>
    <w:p w14:paraId="138468D1" w14:textId="77777777" w:rsidR="00176C95" w:rsidRDefault="00176C95" w:rsidP="00155577">
      <w:pPr>
        <w:rPr>
          <w:rFonts w:ascii="Arial" w:hAnsi="Arial" w:cs="Arial"/>
          <w:sz w:val="24"/>
          <w:szCs w:val="24"/>
        </w:rPr>
      </w:pPr>
    </w:p>
    <w:p w14:paraId="2D3FA97B" w14:textId="77777777" w:rsidR="00176C95" w:rsidRDefault="00176C95" w:rsidP="00155577">
      <w:pPr>
        <w:rPr>
          <w:rFonts w:ascii="Arial" w:hAnsi="Arial" w:cs="Arial"/>
          <w:sz w:val="24"/>
          <w:szCs w:val="24"/>
        </w:rPr>
      </w:pPr>
    </w:p>
    <w:p w14:paraId="369E6E7C" w14:textId="77777777" w:rsidR="00176C95" w:rsidRDefault="00176C95" w:rsidP="00155577">
      <w:pPr>
        <w:rPr>
          <w:rFonts w:ascii="Arial" w:hAnsi="Arial" w:cs="Arial"/>
          <w:sz w:val="24"/>
          <w:szCs w:val="24"/>
        </w:rPr>
      </w:pPr>
    </w:p>
    <w:p w14:paraId="08FE875E" w14:textId="77777777" w:rsidR="00176C95" w:rsidRDefault="00176C95" w:rsidP="00155577">
      <w:pPr>
        <w:rPr>
          <w:rFonts w:ascii="Arial" w:hAnsi="Arial" w:cs="Arial"/>
          <w:sz w:val="24"/>
          <w:szCs w:val="24"/>
        </w:rPr>
      </w:pPr>
    </w:p>
    <w:p w14:paraId="17142BAB" w14:textId="77777777" w:rsidR="00155577" w:rsidRPr="00155577" w:rsidRDefault="00155577" w:rsidP="00155577">
      <w:pPr>
        <w:rPr>
          <w:rFonts w:ascii="Arial" w:hAnsi="Arial" w:cs="Arial"/>
          <w:sz w:val="24"/>
          <w:szCs w:val="24"/>
        </w:rPr>
      </w:pPr>
    </w:p>
    <w:p w14:paraId="4F109957" w14:textId="77777777" w:rsidR="00C412F8" w:rsidRPr="00C412F8" w:rsidRDefault="00C412F8">
      <w:pPr>
        <w:rPr>
          <w:rFonts w:ascii="Arial" w:hAnsi="Arial" w:cs="Arial"/>
          <w:sz w:val="24"/>
          <w:szCs w:val="24"/>
        </w:rPr>
      </w:pPr>
    </w:p>
    <w:sectPr w:rsidR="00C412F8" w:rsidRPr="00C412F8" w:rsidSect="00B37183">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2F573" w14:textId="77777777" w:rsidR="00B37183" w:rsidRDefault="00B37183" w:rsidP="001C3E34">
      <w:pPr>
        <w:spacing w:after="0" w:line="240" w:lineRule="auto"/>
      </w:pPr>
      <w:r>
        <w:separator/>
      </w:r>
    </w:p>
  </w:endnote>
  <w:endnote w:type="continuationSeparator" w:id="0">
    <w:p w14:paraId="51EBCBD0" w14:textId="77777777" w:rsidR="00B37183" w:rsidRDefault="00B37183" w:rsidP="001C3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D8597" w14:textId="77777777" w:rsidR="00B37183" w:rsidRDefault="00B37183" w:rsidP="001C3E34">
      <w:pPr>
        <w:spacing w:after="0" w:line="240" w:lineRule="auto"/>
      </w:pPr>
      <w:r>
        <w:separator/>
      </w:r>
    </w:p>
  </w:footnote>
  <w:footnote w:type="continuationSeparator" w:id="0">
    <w:p w14:paraId="4606996A" w14:textId="77777777" w:rsidR="00B37183" w:rsidRDefault="00B37183" w:rsidP="001C3E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3915868"/>
      <w:docPartObj>
        <w:docPartGallery w:val="Page Numbers (Top of Page)"/>
        <w:docPartUnique/>
      </w:docPartObj>
    </w:sdtPr>
    <w:sdtEndPr>
      <w:rPr>
        <w:color w:val="7F7F7F" w:themeColor="background1" w:themeShade="7F"/>
        <w:spacing w:val="60"/>
      </w:rPr>
    </w:sdtEndPr>
    <w:sdtContent>
      <w:p w14:paraId="1E8CE382" w14:textId="6307DE37" w:rsidR="001C3E34" w:rsidRDefault="001C3E34">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AA3C8C9" w14:textId="77777777" w:rsidR="001C3E34" w:rsidRDefault="001C3E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20E93"/>
    <w:multiLevelType w:val="hybridMultilevel"/>
    <w:tmpl w:val="94E82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B27AA2"/>
    <w:multiLevelType w:val="hybridMultilevel"/>
    <w:tmpl w:val="B5842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5625E1"/>
    <w:multiLevelType w:val="hybridMultilevel"/>
    <w:tmpl w:val="CDE8B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722B79"/>
    <w:multiLevelType w:val="hybridMultilevel"/>
    <w:tmpl w:val="D2D23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A873F3"/>
    <w:multiLevelType w:val="hybridMultilevel"/>
    <w:tmpl w:val="11A8C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BB09E6"/>
    <w:multiLevelType w:val="hybridMultilevel"/>
    <w:tmpl w:val="B936F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6852178">
    <w:abstractNumId w:val="2"/>
  </w:num>
  <w:num w:numId="2" w16cid:durableId="1166937816">
    <w:abstractNumId w:val="0"/>
  </w:num>
  <w:num w:numId="3" w16cid:durableId="593692">
    <w:abstractNumId w:val="4"/>
  </w:num>
  <w:num w:numId="4" w16cid:durableId="1212305778">
    <w:abstractNumId w:val="3"/>
  </w:num>
  <w:num w:numId="5" w16cid:durableId="364214225">
    <w:abstractNumId w:val="5"/>
  </w:num>
  <w:num w:numId="6" w16cid:durableId="1039597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2F8"/>
    <w:rsid w:val="00155577"/>
    <w:rsid w:val="00176C95"/>
    <w:rsid w:val="001C3E34"/>
    <w:rsid w:val="003A2F4E"/>
    <w:rsid w:val="007A1C6A"/>
    <w:rsid w:val="009652AE"/>
    <w:rsid w:val="00A9647F"/>
    <w:rsid w:val="00B37183"/>
    <w:rsid w:val="00C412F8"/>
    <w:rsid w:val="00DA5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AFD5F9"/>
  <w15:chartTrackingRefBased/>
  <w15:docId w15:val="{5DC1E026-B475-4B8E-A342-0FD88EE2D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12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12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12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12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12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12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12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12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12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2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12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12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12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12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12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12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12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12F8"/>
    <w:rPr>
      <w:rFonts w:eastAsiaTheme="majorEastAsia" w:cstheme="majorBidi"/>
      <w:color w:val="272727" w:themeColor="text1" w:themeTint="D8"/>
    </w:rPr>
  </w:style>
  <w:style w:type="paragraph" w:styleId="Title">
    <w:name w:val="Title"/>
    <w:basedOn w:val="Normal"/>
    <w:next w:val="Normal"/>
    <w:link w:val="TitleChar"/>
    <w:uiPriority w:val="10"/>
    <w:qFormat/>
    <w:rsid w:val="00C412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12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12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12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12F8"/>
    <w:pPr>
      <w:spacing w:before="160"/>
      <w:jc w:val="center"/>
    </w:pPr>
    <w:rPr>
      <w:i/>
      <w:iCs/>
      <w:color w:val="404040" w:themeColor="text1" w:themeTint="BF"/>
    </w:rPr>
  </w:style>
  <w:style w:type="character" w:customStyle="1" w:styleId="QuoteChar">
    <w:name w:val="Quote Char"/>
    <w:basedOn w:val="DefaultParagraphFont"/>
    <w:link w:val="Quote"/>
    <w:uiPriority w:val="29"/>
    <w:rsid w:val="00C412F8"/>
    <w:rPr>
      <w:i/>
      <w:iCs/>
      <w:color w:val="404040" w:themeColor="text1" w:themeTint="BF"/>
    </w:rPr>
  </w:style>
  <w:style w:type="paragraph" w:styleId="ListParagraph">
    <w:name w:val="List Paragraph"/>
    <w:basedOn w:val="Normal"/>
    <w:uiPriority w:val="34"/>
    <w:qFormat/>
    <w:rsid w:val="00C412F8"/>
    <w:pPr>
      <w:ind w:left="720"/>
      <w:contextualSpacing/>
    </w:pPr>
  </w:style>
  <w:style w:type="character" w:styleId="IntenseEmphasis">
    <w:name w:val="Intense Emphasis"/>
    <w:basedOn w:val="DefaultParagraphFont"/>
    <w:uiPriority w:val="21"/>
    <w:qFormat/>
    <w:rsid w:val="00C412F8"/>
    <w:rPr>
      <w:i/>
      <w:iCs/>
      <w:color w:val="0F4761" w:themeColor="accent1" w:themeShade="BF"/>
    </w:rPr>
  </w:style>
  <w:style w:type="paragraph" w:styleId="IntenseQuote">
    <w:name w:val="Intense Quote"/>
    <w:basedOn w:val="Normal"/>
    <w:next w:val="Normal"/>
    <w:link w:val="IntenseQuoteChar"/>
    <w:uiPriority w:val="30"/>
    <w:qFormat/>
    <w:rsid w:val="00C412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12F8"/>
    <w:rPr>
      <w:i/>
      <w:iCs/>
      <w:color w:val="0F4761" w:themeColor="accent1" w:themeShade="BF"/>
    </w:rPr>
  </w:style>
  <w:style w:type="character" w:styleId="IntenseReference">
    <w:name w:val="Intense Reference"/>
    <w:basedOn w:val="DefaultParagraphFont"/>
    <w:uiPriority w:val="32"/>
    <w:qFormat/>
    <w:rsid w:val="00C412F8"/>
    <w:rPr>
      <w:b/>
      <w:bCs/>
      <w:smallCaps/>
      <w:color w:val="0F4761" w:themeColor="accent1" w:themeShade="BF"/>
      <w:spacing w:val="5"/>
    </w:rPr>
  </w:style>
  <w:style w:type="paragraph" w:styleId="Header">
    <w:name w:val="header"/>
    <w:basedOn w:val="Normal"/>
    <w:link w:val="HeaderChar"/>
    <w:uiPriority w:val="99"/>
    <w:unhideWhenUsed/>
    <w:rsid w:val="001C3E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E34"/>
  </w:style>
  <w:style w:type="paragraph" w:styleId="Footer">
    <w:name w:val="footer"/>
    <w:basedOn w:val="Normal"/>
    <w:link w:val="FooterChar"/>
    <w:uiPriority w:val="99"/>
    <w:unhideWhenUsed/>
    <w:rsid w:val="001C3E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E34"/>
  </w:style>
  <w:style w:type="paragraph" w:styleId="NoSpacing">
    <w:name w:val="No Spacing"/>
    <w:link w:val="NoSpacingChar"/>
    <w:uiPriority w:val="1"/>
    <w:qFormat/>
    <w:rsid w:val="001C3E3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C3E34"/>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26A7C1846744A799DFE143965E51251"/>
        <w:category>
          <w:name w:val="General"/>
          <w:gallery w:val="placeholder"/>
        </w:category>
        <w:types>
          <w:type w:val="bbPlcHdr"/>
        </w:types>
        <w:behaviors>
          <w:behavior w:val="content"/>
        </w:behaviors>
        <w:guid w:val="{513FB09A-ED7C-4B24-8346-76AE52CB6ECE}"/>
      </w:docPartPr>
      <w:docPartBody>
        <w:p w:rsidR="00000000" w:rsidRDefault="00C72837" w:rsidP="00C72837">
          <w:pPr>
            <w:pStyle w:val="226A7C1846744A799DFE143965E51251"/>
          </w:pPr>
          <w:r>
            <w:rPr>
              <w:rFonts w:asciiTheme="majorHAnsi" w:eastAsiaTheme="majorEastAsia" w:hAnsiTheme="majorHAnsi" w:cstheme="majorBidi"/>
              <w:color w:val="156082" w:themeColor="accent1"/>
              <w:sz w:val="88"/>
              <w:szCs w:val="88"/>
            </w:rPr>
            <w:t>[Document title]</w:t>
          </w:r>
        </w:p>
      </w:docPartBody>
    </w:docPart>
    <w:docPart>
      <w:docPartPr>
        <w:name w:val="CE4A5D7C77DE40C08DBD9739B0ACCB92"/>
        <w:category>
          <w:name w:val="General"/>
          <w:gallery w:val="placeholder"/>
        </w:category>
        <w:types>
          <w:type w:val="bbPlcHdr"/>
        </w:types>
        <w:behaviors>
          <w:behavior w:val="content"/>
        </w:behaviors>
        <w:guid w:val="{F50249A0-1B71-435C-9F1B-D64B85836EE1}"/>
      </w:docPartPr>
      <w:docPartBody>
        <w:p w:rsidR="00000000" w:rsidRDefault="00C72837" w:rsidP="00C72837">
          <w:pPr>
            <w:pStyle w:val="CE4A5D7C77DE40C08DBD9739B0ACCB92"/>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837"/>
    <w:rsid w:val="0031086F"/>
    <w:rsid w:val="00C72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BF07225FCF4343BB566845A01F28FF">
    <w:name w:val="B4BF07225FCF4343BB566845A01F28FF"/>
    <w:rsid w:val="00C72837"/>
  </w:style>
  <w:style w:type="paragraph" w:customStyle="1" w:styleId="226A7C1846744A799DFE143965E51251">
    <w:name w:val="226A7C1846744A799DFE143965E51251"/>
    <w:rsid w:val="00C72837"/>
  </w:style>
  <w:style w:type="paragraph" w:customStyle="1" w:styleId="3738ABABEC6C408B958D9F89E709F8BE">
    <w:name w:val="3738ABABEC6C408B958D9F89E709F8BE"/>
    <w:rsid w:val="00C72837"/>
  </w:style>
  <w:style w:type="paragraph" w:customStyle="1" w:styleId="CDFD4CD5D4BC4DC69526D8BCCD5AB2A8">
    <w:name w:val="CDFD4CD5D4BC4DC69526D8BCCD5AB2A8"/>
    <w:rsid w:val="00C72837"/>
  </w:style>
  <w:style w:type="paragraph" w:customStyle="1" w:styleId="CE4A5D7C77DE40C08DBD9739B0ACCB92">
    <w:name w:val="CE4A5D7C77DE40C08DBD9739B0ACCB92"/>
    <w:rsid w:val="00C728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2024-05-12T00:00:00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1688</Words>
  <Characters>11008</Characters>
  <Application>Microsoft Office Word</Application>
  <DocSecurity>0</DocSecurity>
  <Lines>221</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Analysis</dc:title>
  <dc:subject/>
  <dc:creator>Mirabela Voican (1907947)</dc:creator>
  <cp:keywords/>
  <dc:description/>
  <cp:lastModifiedBy>Mirabela Voican (1907947)</cp:lastModifiedBy>
  <cp:revision>1</cp:revision>
  <dcterms:created xsi:type="dcterms:W3CDTF">2024-05-07T06:52:00Z</dcterms:created>
  <dcterms:modified xsi:type="dcterms:W3CDTF">2024-05-07T07:38:00Z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02d41a36-70c8-427c-a2ee-82a849c37cea</vt:lpwstr>
  </property>
</Properties>
</file>