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4BD9" w:rsidP="3142D777" w:rsidRDefault="329AFDDF" w14:paraId="5E5787A5" w14:textId="1FAB0008">
      <w:pPr>
        <w:spacing w:line="360" w:lineRule="auto"/>
        <w:rPr>
          <w:rFonts w:ascii="Calibri" w:hAnsi="Calibri" w:eastAsia="Calibri" w:cs="Calibri" w:asciiTheme="minorAscii" w:hAnsiTheme="minorAscii" w:eastAsiaTheme="minorAscii" w:cstheme="minorAscii"/>
          <w:color w:val="4472C4" w:themeColor="accent1" w:themeTint="FF" w:themeShade="FF"/>
          <w:sz w:val="24"/>
          <w:szCs w:val="24"/>
        </w:rPr>
      </w:pPr>
      <w:hyperlink r:id="R1d19382c0d484c3d">
        <w:r w:rsidRPr="3142D777" w:rsidR="6713732E">
          <w:rPr>
            <w:rStyle w:val="Hyperlink"/>
            <w:rFonts w:ascii="Calibri" w:hAnsi="Calibri" w:eastAsia="Calibri" w:cs="Calibri" w:asciiTheme="minorAscii" w:hAnsiTheme="minorAscii" w:eastAsiaTheme="minorAscii" w:cstheme="minorAscii"/>
            <w:color w:val="4472C4" w:themeColor="accent1" w:themeTint="FF" w:themeShade="FF"/>
            <w:sz w:val="24"/>
            <w:szCs w:val="24"/>
          </w:rPr>
          <w:t>TASK</w:t>
        </w:r>
      </w:hyperlink>
      <w:r w:rsidRPr="3142D777" w:rsidR="6713732E">
        <w:rPr>
          <w:rFonts w:ascii="Calibri" w:hAnsi="Calibri" w:eastAsia="Calibri" w:cs="Calibri" w:asciiTheme="minorAscii" w:hAnsiTheme="minorAscii" w:eastAsiaTheme="minorAscii" w:cstheme="minorAscii"/>
          <w:color w:val="4472C4" w:themeColor="accent1" w:themeTint="FF" w:themeShade="FF"/>
          <w:sz w:val="24"/>
          <w:szCs w:val="24"/>
        </w:rPr>
        <w:t xml:space="preserve"> 1: SUPPORTING PAPER</w:t>
      </w:r>
    </w:p>
    <w:p w:rsidR="329AFDDF" w:rsidP="3142D777" w:rsidRDefault="329AFDDF" w14:paraId="42D6B961" w14:textId="720EF9C2">
      <w:pPr>
        <w:rPr>
          <w:rFonts w:ascii="Calibri" w:hAnsi="Calibri" w:eastAsia="Calibri" w:cs="Calibri" w:asciiTheme="minorAscii" w:hAnsiTheme="minorAscii" w:eastAsiaTheme="minorAscii" w:cstheme="minorAscii"/>
          <w:sz w:val="24"/>
          <w:szCs w:val="24"/>
        </w:rPr>
      </w:pPr>
    </w:p>
    <w:p w:rsidR="329AFDDF" w:rsidP="3142D777" w:rsidRDefault="329AFDDF" w14:paraId="7E5F35C3" w14:textId="54D68BD1" w14:noSpellErr="1">
      <w:pPr>
        <w:rPr>
          <w:rFonts w:ascii="Calibri" w:hAnsi="Calibri" w:eastAsia="Calibri" w:cs="Calibri" w:asciiTheme="minorAscii" w:hAnsiTheme="minorAscii" w:eastAsiaTheme="minorAscii" w:cstheme="minorAscii"/>
          <w:color w:val="000000" w:themeColor="text1"/>
          <w:sz w:val="24"/>
          <w:szCs w:val="24"/>
        </w:rPr>
      </w:pPr>
      <w:r w:rsidRPr="3142D777" w:rsidR="6713732E">
        <w:rPr>
          <w:rFonts w:ascii="Calibri" w:hAnsi="Calibri" w:eastAsia="Calibri" w:cs="Calibri" w:asciiTheme="minorAscii" w:hAnsiTheme="minorAscii" w:eastAsiaTheme="minorAscii" w:cstheme="minorAscii"/>
          <w:color w:val="000000" w:themeColor="text1" w:themeTint="FF" w:themeShade="FF"/>
          <w:sz w:val="24"/>
          <w:szCs w:val="24"/>
        </w:rPr>
        <w:t>STUDENT NAME:  Mawe Alix Sandrine</w:t>
      </w:r>
    </w:p>
    <w:p w:rsidR="329AFDDF" w:rsidP="3142D777" w:rsidRDefault="329AFDDF" w14:paraId="6ABB36E7" w14:textId="753CA565" w14:noSpellErr="1">
      <w:pPr>
        <w:rPr>
          <w:rFonts w:ascii="Calibri" w:hAnsi="Calibri" w:eastAsia="Calibri" w:cs="Calibri" w:asciiTheme="minorAscii" w:hAnsiTheme="minorAscii" w:eastAsiaTheme="minorAscii" w:cstheme="minorAscii"/>
          <w:sz w:val="24"/>
          <w:szCs w:val="24"/>
        </w:rPr>
      </w:pPr>
      <w:r w:rsidRPr="3142D777" w:rsidR="6713732E">
        <w:rPr>
          <w:rFonts w:ascii="Calibri" w:hAnsi="Calibri" w:eastAsia="Calibri" w:cs="Calibri" w:asciiTheme="minorAscii" w:hAnsiTheme="minorAscii" w:eastAsiaTheme="minorAscii" w:cstheme="minorAscii"/>
          <w:sz w:val="24"/>
          <w:szCs w:val="24"/>
        </w:rPr>
        <w:t>STUDENT NUMBER:2014838</w:t>
      </w:r>
    </w:p>
    <w:p w:rsidR="329AFDDF" w:rsidP="3142D777" w:rsidRDefault="329AFDDF" w14:paraId="6AD0028C" w14:textId="46EB317B" w14:noSpellErr="1">
      <w:pPr>
        <w:rPr>
          <w:rFonts w:ascii="Calibri" w:hAnsi="Calibri" w:eastAsia="Calibri" w:cs="Calibri" w:asciiTheme="minorAscii" w:hAnsiTheme="minorAscii" w:eastAsiaTheme="minorAscii" w:cstheme="minorAscii"/>
          <w:sz w:val="24"/>
          <w:szCs w:val="24"/>
        </w:rPr>
      </w:pPr>
      <w:r w:rsidRPr="3142D777" w:rsidR="6713732E">
        <w:rPr>
          <w:rFonts w:ascii="Calibri" w:hAnsi="Calibri" w:eastAsia="Calibri" w:cs="Calibri" w:asciiTheme="minorAscii" w:hAnsiTheme="minorAscii" w:eastAsiaTheme="minorAscii" w:cstheme="minorAscii"/>
          <w:sz w:val="24"/>
          <w:szCs w:val="24"/>
        </w:rPr>
        <w:t>MOULE CODE:  BMHP5004</w:t>
      </w:r>
    </w:p>
    <w:p w:rsidR="329AFDDF" w:rsidP="3142D777" w:rsidRDefault="329AFDDF" w14:paraId="048D864A" w14:textId="669E43AC" w14:noSpellErr="1">
      <w:pPr>
        <w:rPr>
          <w:rFonts w:ascii="Calibri" w:hAnsi="Calibri" w:eastAsia="Calibri" w:cs="Calibri" w:asciiTheme="minorAscii" w:hAnsiTheme="minorAscii" w:eastAsiaTheme="minorAscii" w:cstheme="minorAscii"/>
          <w:sz w:val="24"/>
          <w:szCs w:val="24"/>
        </w:rPr>
      </w:pPr>
      <w:r w:rsidRPr="3142D777" w:rsidR="6713732E">
        <w:rPr>
          <w:rFonts w:ascii="Calibri" w:hAnsi="Calibri" w:eastAsia="Calibri" w:cs="Calibri" w:asciiTheme="minorAscii" w:hAnsiTheme="minorAscii" w:eastAsiaTheme="minorAscii" w:cstheme="minorAscii"/>
          <w:sz w:val="24"/>
          <w:szCs w:val="24"/>
        </w:rPr>
        <w:t>LECTURER NAME: Dr Muhammad Hossain</w:t>
      </w:r>
    </w:p>
    <w:p w:rsidR="26C75C48" w:rsidP="3142D777" w:rsidRDefault="26C75C48" w14:paraId="6FD13FD4" w14:textId="4C9377BA" w14:noSpellErr="1">
      <w:pPr>
        <w:rPr>
          <w:rFonts w:ascii="Calibri" w:hAnsi="Calibri" w:eastAsia="Calibri" w:cs="Calibri" w:asciiTheme="minorAscii" w:hAnsiTheme="minorAscii" w:eastAsiaTheme="minorAscii" w:cstheme="minorAscii"/>
          <w:sz w:val="24"/>
          <w:szCs w:val="24"/>
        </w:rPr>
      </w:pPr>
      <w:r w:rsidRPr="3142D777">
        <w:rPr>
          <w:rFonts w:ascii="Calibri" w:hAnsi="Calibri" w:eastAsia="Calibri" w:cs="Calibri" w:asciiTheme="minorAscii" w:hAnsiTheme="minorAscii" w:eastAsiaTheme="minorAscii" w:cstheme="minorAscii"/>
          <w:sz w:val="24"/>
          <w:szCs w:val="24"/>
        </w:rPr>
        <w:br w:type="page"/>
      </w:r>
      <w:r w:rsidRPr="3142D777" w:rsidR="2664477C">
        <w:rPr>
          <w:rFonts w:ascii="Calibri" w:hAnsi="Calibri" w:eastAsia="Calibri" w:cs="Calibri" w:asciiTheme="minorAscii" w:hAnsiTheme="minorAscii" w:eastAsiaTheme="minorAscii" w:cstheme="minorAscii"/>
          <w:sz w:val="24"/>
          <w:szCs w:val="24"/>
        </w:rPr>
        <w:t xml:space="preserve">                                              </w:t>
      </w:r>
    </w:p>
    <w:p w:rsidR="32637C4F" w:rsidP="3142D777" w:rsidRDefault="32637C4F" w14:paraId="16DDA388" w14:textId="16E436DB" w14:noSpellErr="1">
      <w:pPr>
        <w:rPr>
          <w:rFonts w:ascii="Calibri" w:hAnsi="Calibri" w:eastAsia="Calibri" w:cs="Calibri" w:asciiTheme="minorAscii" w:hAnsiTheme="minorAscii" w:eastAsiaTheme="minorAscii" w:cstheme="minorAscii"/>
          <w:color w:val="4472C4" w:themeColor="accent1" w:themeTint="FF" w:themeShade="FF"/>
          <w:sz w:val="24"/>
          <w:szCs w:val="24"/>
        </w:rPr>
      </w:pPr>
      <w:r w:rsidRPr="3142D777" w:rsidR="2664477C">
        <w:rPr>
          <w:rFonts w:ascii="Calibri" w:hAnsi="Calibri" w:eastAsia="Calibri" w:cs="Calibri" w:asciiTheme="minorAscii" w:hAnsiTheme="minorAscii" w:eastAsiaTheme="minorAscii" w:cstheme="minorAscii"/>
          <w:sz w:val="24"/>
          <w:szCs w:val="24"/>
        </w:rPr>
        <w:t xml:space="preserve">                                                      </w:t>
      </w:r>
      <w:r w:rsidRPr="3142D777" w:rsidR="2664477C">
        <w:rPr>
          <w:rFonts w:ascii="Calibri" w:hAnsi="Calibri" w:eastAsia="Calibri" w:cs="Calibri" w:asciiTheme="minorAscii" w:hAnsiTheme="minorAscii" w:eastAsiaTheme="minorAscii" w:cstheme="minorAscii"/>
          <w:color w:val="4472C4" w:themeColor="accent1" w:themeTint="FF" w:themeShade="FF"/>
          <w:sz w:val="24"/>
          <w:szCs w:val="24"/>
        </w:rPr>
        <w:t>TABLE   CONTENT</w:t>
      </w:r>
    </w:p>
    <w:p w:rsidR="14ACFE28" w:rsidP="3142D777" w:rsidRDefault="14ACFE28" w14:paraId="4CA03D8B" w14:textId="48F596F8">
      <w:pPr>
        <w:pStyle w:val="Normal"/>
        <w:rPr>
          <w:rFonts w:ascii="Calibri" w:hAnsi="Calibri" w:eastAsia="Calibri" w:cs="Calibri" w:asciiTheme="minorAscii" w:hAnsiTheme="minorAscii" w:eastAsiaTheme="minorAscii" w:cstheme="minorAscii"/>
          <w:sz w:val="24"/>
          <w:szCs w:val="24"/>
        </w:rPr>
      </w:pPr>
      <w:r w:rsidRPr="3142D777" w:rsidR="79E38630">
        <w:rPr>
          <w:rFonts w:ascii="Calibri" w:hAnsi="Calibri" w:eastAsia="Calibri" w:cs="Calibri" w:asciiTheme="minorAscii" w:hAnsiTheme="minorAscii" w:eastAsiaTheme="minorAscii" w:cstheme="minorAscii"/>
          <w:sz w:val="24"/>
          <w:szCs w:val="24"/>
        </w:rPr>
        <w:t xml:space="preserve"> Introduction.....................................................................................................................</w:t>
      </w:r>
      <w:r w:rsidRPr="3142D777" w:rsidR="590B61EC">
        <w:rPr>
          <w:rFonts w:ascii="Calibri" w:hAnsi="Calibri" w:eastAsia="Calibri" w:cs="Calibri" w:asciiTheme="minorAscii" w:hAnsiTheme="minorAscii" w:eastAsiaTheme="minorAscii" w:cstheme="minorAscii"/>
          <w:sz w:val="24"/>
          <w:szCs w:val="24"/>
        </w:rPr>
        <w:t>.....3</w:t>
      </w:r>
    </w:p>
    <w:p w:rsidR="14ACFE28" w:rsidP="3142D777" w:rsidRDefault="14ACFE28" w14:paraId="46E694FD" w14:textId="13763E8A">
      <w:pPr>
        <w:pStyle w:val="Normal"/>
        <w:rPr>
          <w:rFonts w:ascii="Calibri" w:hAnsi="Calibri" w:eastAsia="Calibri" w:cs="Calibri" w:asciiTheme="minorAscii" w:hAnsiTheme="minorAscii" w:eastAsiaTheme="minorAscii" w:cstheme="minorAscii"/>
          <w:sz w:val="24"/>
          <w:szCs w:val="24"/>
        </w:rPr>
      </w:pPr>
      <w:r w:rsidRPr="61F2F5A5" w:rsidR="590B61EC">
        <w:rPr>
          <w:rFonts w:ascii="Calibri" w:hAnsi="Calibri" w:eastAsia="Calibri" w:cs="Calibri" w:asciiTheme="minorAscii" w:hAnsiTheme="minorAscii" w:eastAsiaTheme="minorAscii" w:cstheme="minorAscii"/>
          <w:sz w:val="24"/>
          <w:szCs w:val="24"/>
        </w:rPr>
        <w:t>Children and young adult perception</w:t>
      </w:r>
      <w:r w:rsidRPr="61F2F5A5" w:rsidR="590B61EC">
        <w:rPr>
          <w:rFonts w:ascii="Calibri" w:hAnsi="Calibri" w:eastAsia="Calibri" w:cs="Calibri" w:asciiTheme="minorAscii" w:hAnsiTheme="minorAscii" w:eastAsiaTheme="minorAscii" w:cstheme="minorAscii"/>
          <w:sz w:val="24"/>
          <w:szCs w:val="24"/>
        </w:rPr>
        <w:t xml:space="preserve"> </w:t>
      </w:r>
      <w:r w:rsidRPr="61F2F5A5" w:rsidR="590B61EC">
        <w:rPr>
          <w:rFonts w:ascii="Calibri" w:hAnsi="Calibri" w:eastAsia="Calibri" w:cs="Calibri" w:asciiTheme="minorAscii" w:hAnsiTheme="minorAscii" w:eastAsiaTheme="minorAscii" w:cstheme="minorAscii"/>
          <w:sz w:val="24"/>
          <w:szCs w:val="24"/>
        </w:rPr>
        <w:t>of well-being............................................................3</w:t>
      </w:r>
    </w:p>
    <w:p w:rsidR="2D7C01E4" w:rsidP="3142D777" w:rsidRDefault="2D7C01E4" w14:paraId="3317F4A6" w14:textId="48F952C0">
      <w:pPr>
        <w:pStyle w:val="Normal"/>
        <w:rPr>
          <w:rFonts w:ascii="Calibri" w:hAnsi="Calibri" w:eastAsia="Calibri" w:cs="Calibri" w:asciiTheme="minorAscii" w:hAnsiTheme="minorAscii" w:eastAsiaTheme="minorAscii" w:cstheme="minorAscii"/>
          <w:sz w:val="24"/>
          <w:szCs w:val="24"/>
        </w:rPr>
      </w:pPr>
      <w:r w:rsidRPr="3142D777" w:rsidR="79E38630">
        <w:rPr>
          <w:rFonts w:ascii="Calibri" w:hAnsi="Calibri" w:eastAsia="Calibri" w:cs="Calibri" w:asciiTheme="minorAscii" w:hAnsiTheme="minorAscii" w:eastAsiaTheme="minorAscii" w:cstheme="minorAscii"/>
          <w:sz w:val="24"/>
          <w:szCs w:val="24"/>
        </w:rPr>
        <w:t>Child welfare and protection of young people......................................................................3</w:t>
      </w:r>
    </w:p>
    <w:p w:rsidR="2D7C01E4" w:rsidP="3142D777" w:rsidRDefault="2D7C01E4" w14:paraId="63D2F34C" w14:textId="09ED65C8">
      <w:pPr>
        <w:pStyle w:val="Normal"/>
        <w:rPr>
          <w:rFonts w:ascii="Calibri" w:hAnsi="Calibri" w:eastAsia="Calibri" w:cs="Calibri" w:asciiTheme="minorAscii" w:hAnsiTheme="minorAscii" w:eastAsiaTheme="minorAscii" w:cstheme="minorAscii"/>
          <w:sz w:val="24"/>
          <w:szCs w:val="24"/>
        </w:rPr>
      </w:pPr>
      <w:r w:rsidRPr="3142D777" w:rsidR="79E38630">
        <w:rPr>
          <w:rFonts w:ascii="Calibri" w:hAnsi="Calibri" w:eastAsia="Calibri" w:cs="Calibri" w:asciiTheme="minorAscii" w:hAnsiTheme="minorAscii" w:eastAsiaTheme="minorAscii" w:cstheme="minorAscii"/>
          <w:sz w:val="24"/>
          <w:szCs w:val="24"/>
        </w:rPr>
        <w:t>Multidisciplinary service and safeguarding...........................................................................3</w:t>
      </w:r>
    </w:p>
    <w:p w:rsidR="2D7C01E4" w:rsidP="3142D777" w:rsidRDefault="2D7C01E4" w14:paraId="28417475" w14:textId="70350039">
      <w:pPr>
        <w:pStyle w:val="Normal"/>
        <w:rPr>
          <w:rFonts w:ascii="Calibri" w:hAnsi="Calibri" w:eastAsia="Calibri" w:cs="Calibri" w:asciiTheme="minorAscii" w:hAnsiTheme="minorAscii" w:eastAsiaTheme="minorAscii" w:cstheme="minorAscii"/>
          <w:sz w:val="24"/>
          <w:szCs w:val="24"/>
        </w:rPr>
      </w:pPr>
      <w:r w:rsidRPr="3142D777" w:rsidR="79E38630">
        <w:rPr>
          <w:rFonts w:ascii="Calibri" w:hAnsi="Calibri" w:eastAsia="Calibri" w:cs="Calibri" w:asciiTheme="minorAscii" w:hAnsiTheme="minorAscii" w:eastAsiaTheme="minorAscii" w:cstheme="minorAscii"/>
          <w:sz w:val="24"/>
          <w:szCs w:val="24"/>
        </w:rPr>
        <w:t>Conclusion..............................................................................................................................4</w:t>
      </w:r>
    </w:p>
    <w:p w:rsidR="2D7C01E4" w:rsidP="3142D777" w:rsidRDefault="2D7C01E4" w14:paraId="2462C08B" w14:textId="25947C1E">
      <w:pPr>
        <w:pStyle w:val="Normal"/>
        <w:rPr>
          <w:rFonts w:ascii="Calibri" w:hAnsi="Calibri" w:eastAsia="Calibri" w:cs="Calibri" w:asciiTheme="minorAscii" w:hAnsiTheme="minorAscii" w:eastAsiaTheme="minorAscii" w:cstheme="minorAscii"/>
          <w:sz w:val="24"/>
          <w:szCs w:val="24"/>
        </w:rPr>
      </w:pPr>
      <w:r w:rsidRPr="3142D777" w:rsidR="79E38630">
        <w:rPr>
          <w:rFonts w:ascii="Calibri" w:hAnsi="Calibri" w:eastAsia="Calibri" w:cs="Calibri" w:asciiTheme="minorAscii" w:hAnsiTheme="minorAscii" w:eastAsiaTheme="minorAscii" w:cstheme="minorAscii"/>
          <w:sz w:val="24"/>
          <w:szCs w:val="24"/>
        </w:rPr>
        <w:t>References..............................................................................................................................4</w:t>
      </w:r>
    </w:p>
    <w:p w:rsidR="32637C4F" w:rsidP="3142D777" w:rsidRDefault="32637C4F" w14:paraId="6286BF92" w14:textId="112F1581" w14:noSpellErr="1">
      <w:pPr>
        <w:rPr>
          <w:rFonts w:ascii="Calibri" w:hAnsi="Calibri" w:eastAsia="Calibri" w:cs="Calibri" w:asciiTheme="minorAscii" w:hAnsiTheme="minorAscii" w:eastAsiaTheme="minorAscii" w:cstheme="minorAscii"/>
          <w:sz w:val="24"/>
          <w:szCs w:val="24"/>
        </w:rPr>
      </w:pPr>
    </w:p>
    <w:p w:rsidR="32637C4F" w:rsidP="3142D777" w:rsidRDefault="32637C4F" w14:paraId="0E0BB4EF" w14:textId="0CDACFFE" w14:noSpellErr="1">
      <w:pPr>
        <w:rPr>
          <w:rFonts w:ascii="Calibri" w:hAnsi="Calibri" w:eastAsia="Calibri" w:cs="Calibri" w:asciiTheme="minorAscii" w:hAnsiTheme="minorAscii" w:eastAsiaTheme="minorAscii" w:cstheme="minorAscii"/>
          <w:sz w:val="24"/>
          <w:szCs w:val="24"/>
        </w:rPr>
      </w:pPr>
    </w:p>
    <w:p w:rsidR="32637C4F" w:rsidP="3142D777" w:rsidRDefault="32637C4F" w14:paraId="018AB764" w14:textId="40764FBB" w14:noSpellErr="1">
      <w:pPr>
        <w:rPr>
          <w:rFonts w:ascii="Calibri" w:hAnsi="Calibri" w:eastAsia="Calibri" w:cs="Calibri" w:asciiTheme="minorAscii" w:hAnsiTheme="minorAscii" w:eastAsiaTheme="minorAscii" w:cstheme="minorAscii"/>
          <w:sz w:val="24"/>
          <w:szCs w:val="24"/>
        </w:rPr>
      </w:pPr>
    </w:p>
    <w:p w:rsidR="32637C4F" w:rsidP="3142D777" w:rsidRDefault="32637C4F" w14:paraId="20967409" w14:textId="45878178" w14:noSpellErr="1">
      <w:pPr>
        <w:rPr>
          <w:rFonts w:ascii="Calibri" w:hAnsi="Calibri" w:eastAsia="Calibri" w:cs="Calibri" w:asciiTheme="minorAscii" w:hAnsiTheme="minorAscii" w:eastAsiaTheme="minorAscii" w:cstheme="minorAscii"/>
          <w:sz w:val="24"/>
          <w:szCs w:val="24"/>
        </w:rPr>
      </w:pPr>
      <w:r w:rsidRPr="3142D777">
        <w:rPr>
          <w:rFonts w:ascii="Calibri" w:hAnsi="Calibri" w:eastAsia="Calibri" w:cs="Calibri" w:asciiTheme="minorAscii" w:hAnsiTheme="minorAscii" w:eastAsiaTheme="minorAscii" w:cstheme="minorAscii"/>
          <w:sz w:val="24"/>
          <w:szCs w:val="24"/>
        </w:rPr>
        <w:br w:type="page"/>
      </w:r>
    </w:p>
    <w:p w:rsidR="32637C4F" w:rsidP="3142D777" w:rsidRDefault="32637C4F" w14:paraId="19099CFC" w14:textId="72A683AB" w14:noSpellErr="1">
      <w:pPr>
        <w:rPr>
          <w:rFonts w:ascii="Calibri" w:hAnsi="Calibri" w:eastAsia="Calibri" w:cs="Calibri" w:asciiTheme="minorAscii" w:hAnsiTheme="minorAscii" w:eastAsiaTheme="minorAscii" w:cstheme="minorAscii"/>
          <w:sz w:val="24"/>
          <w:szCs w:val="24"/>
        </w:rPr>
      </w:pPr>
      <w:r w:rsidRPr="3142D777" w:rsidR="2664477C">
        <w:rPr>
          <w:rFonts w:ascii="Calibri" w:hAnsi="Calibri" w:eastAsia="Calibri" w:cs="Calibri" w:asciiTheme="minorAscii" w:hAnsiTheme="minorAscii" w:eastAsiaTheme="minorAscii" w:cstheme="minorAscii"/>
          <w:sz w:val="24"/>
          <w:szCs w:val="24"/>
        </w:rPr>
        <w:t xml:space="preserve">                                              </w:t>
      </w:r>
      <w:r w:rsidRPr="3142D777" w:rsidR="2664477C">
        <w:rPr>
          <w:rFonts w:ascii="Calibri" w:hAnsi="Calibri" w:eastAsia="Calibri" w:cs="Calibri" w:asciiTheme="minorAscii" w:hAnsiTheme="minorAscii" w:eastAsiaTheme="minorAscii" w:cstheme="minorAscii"/>
          <w:color w:val="4472C4" w:themeColor="accent1" w:themeTint="FF" w:themeShade="FF"/>
          <w:sz w:val="24"/>
          <w:szCs w:val="24"/>
        </w:rPr>
        <w:t>INTRODUCION</w:t>
      </w:r>
    </w:p>
    <w:p w:rsidR="32637C4F" w:rsidP="3142D777" w:rsidRDefault="32637C4F" w14:paraId="174F9E45" w14:textId="79E5E87A" w14:noSpellErr="1">
      <w:pPr>
        <w:rPr>
          <w:rFonts w:ascii="Calibri" w:hAnsi="Calibri" w:eastAsia="Calibri" w:cs="Calibri" w:asciiTheme="minorAscii" w:hAnsiTheme="minorAscii" w:eastAsiaTheme="minorAscii" w:cstheme="minorAscii"/>
          <w:sz w:val="24"/>
          <w:szCs w:val="24"/>
        </w:rPr>
      </w:pPr>
    </w:p>
    <w:p w:rsidR="32637C4F" w:rsidP="3142D777" w:rsidRDefault="32637C4F" w14:paraId="095494A3" w14:textId="7E2E6A6E">
      <w:pPr>
        <w:rPr>
          <w:rFonts w:ascii="Calibri" w:hAnsi="Calibri" w:eastAsia="Calibri" w:cs="Calibri" w:asciiTheme="minorAscii" w:hAnsiTheme="minorAscii" w:eastAsiaTheme="minorAscii" w:cstheme="minorAscii"/>
          <w:sz w:val="24"/>
          <w:szCs w:val="24"/>
        </w:rPr>
      </w:pPr>
      <w:r w:rsidRPr="3142D777" w:rsidR="2664477C">
        <w:rPr>
          <w:rFonts w:ascii="Calibri" w:hAnsi="Calibri" w:eastAsia="Calibri" w:cs="Calibri" w:asciiTheme="minorAscii" w:hAnsiTheme="minorAscii" w:eastAsiaTheme="minorAscii" w:cstheme="minorAscii"/>
          <w:sz w:val="24"/>
          <w:szCs w:val="24"/>
        </w:rPr>
        <w:t>Complex health care can include any condition requiring clinical support such as paralysis, epilepsy, brain injury and many more. This report is based on the case of young john aged only 15 who had health issue due to his multiple illnesses. In the body of support paper, it will be a question of analysing the well-being of the child by referring to the case of John who died suddenly. Then I would assess the policy and the roles of multidisciplinary services in general and in the case of john while highlighting the impact it has on the well-being of children and young people in families.</w:t>
      </w:r>
    </w:p>
    <w:p w:rsidR="2D7C01E4" w:rsidP="3142D777" w:rsidRDefault="2D7C01E4" w14:paraId="7C2A1BBE" w14:textId="3C73CFF1">
      <w:pPr>
        <w:pStyle w:val="Normal"/>
        <w:rPr>
          <w:rFonts w:ascii="Calibri" w:hAnsi="Calibri" w:eastAsia="Calibri" w:cs="Calibri" w:asciiTheme="minorAscii" w:hAnsiTheme="minorAscii" w:eastAsiaTheme="minorAscii" w:cstheme="minorAscii"/>
          <w:sz w:val="24"/>
          <w:szCs w:val="24"/>
        </w:rPr>
      </w:pPr>
    </w:p>
    <w:p w:rsidR="14ACFE28" w:rsidP="3142D777" w:rsidRDefault="14ACFE28" w14:paraId="24F460A6" w14:textId="1DA3BB95">
      <w:pPr>
        <w:pStyle w:val="Normal"/>
        <w:rPr>
          <w:rFonts w:ascii="Calibri" w:hAnsi="Calibri" w:eastAsia="Calibri" w:cs="Calibri" w:asciiTheme="minorAscii" w:hAnsiTheme="minorAscii" w:eastAsiaTheme="minorAscii" w:cstheme="minorAscii"/>
          <w:color w:val="4472C4" w:themeColor="accent1" w:themeTint="FF" w:themeShade="FF"/>
          <w:sz w:val="24"/>
          <w:szCs w:val="24"/>
        </w:rPr>
      </w:pPr>
      <w:r w:rsidRPr="61F2F5A5" w:rsidR="3142D777">
        <w:rPr>
          <w:rFonts w:ascii="Calibri" w:hAnsi="Calibri" w:eastAsia="Calibri" w:cs="Calibri" w:asciiTheme="minorAscii" w:hAnsiTheme="minorAscii" w:eastAsiaTheme="minorAscii" w:cstheme="minorAscii"/>
          <w:color w:val="4471C4"/>
          <w:sz w:val="24"/>
          <w:szCs w:val="24"/>
        </w:rPr>
        <w:t>CHILDREN AND YOUNG ADULT PERCEPTION OF WELLBEING</w:t>
      </w:r>
    </w:p>
    <w:p w:rsidR="14ACFE28" w:rsidP="61F2F5A5" w:rsidRDefault="14ACFE28" w14:paraId="44242D81" w14:textId="547E0DF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1F2F5A5" w:rsidR="590B61EC">
        <w:rPr>
          <w:rFonts w:ascii="Calibri" w:hAnsi="Calibri" w:eastAsia="Calibri" w:cs="Calibri" w:asciiTheme="minorAscii" w:hAnsiTheme="minorAscii" w:eastAsiaTheme="minorAscii" w:cstheme="minorAscii"/>
          <w:color w:val="333333"/>
          <w:sz w:val="24"/>
          <w:szCs w:val="24"/>
        </w:rPr>
        <w:t xml:space="preserve">Well-being is a </w:t>
      </w:r>
      <w:r w:rsidRPr="61F2F5A5" w:rsidR="590B61EC">
        <w:rPr>
          <w:rFonts w:ascii="Calibri" w:hAnsi="Calibri" w:eastAsia="Calibri" w:cs="Calibri" w:asciiTheme="minorAscii" w:hAnsiTheme="minorAscii" w:eastAsiaTheme="minorAscii" w:cstheme="minorAscii"/>
          <w:color w:val="333333"/>
          <w:sz w:val="24"/>
          <w:szCs w:val="24"/>
        </w:rPr>
        <w:t>state</w:t>
      </w:r>
      <w:r w:rsidRPr="61F2F5A5" w:rsidR="590B61EC">
        <w:rPr>
          <w:rFonts w:ascii="Calibri" w:hAnsi="Calibri" w:eastAsia="Calibri" w:cs="Calibri" w:asciiTheme="minorAscii" w:hAnsiTheme="minorAscii" w:eastAsiaTheme="minorAscii" w:cstheme="minorAscii"/>
          <w:color w:val="333333"/>
          <w:sz w:val="24"/>
          <w:szCs w:val="24"/>
        </w:rPr>
        <w:t xml:space="preserve"> of being or doing well in life; happy, healthy, or prosperous condition; moral or physical welfare (of a person or community</w:t>
      </w:r>
      <w:r w:rsidRPr="61F2F5A5" w:rsidR="590B61EC">
        <w:rPr>
          <w:rFonts w:ascii="Calibri" w:hAnsi="Calibri" w:eastAsia="Calibri" w:cs="Calibri" w:asciiTheme="minorAscii" w:hAnsiTheme="minorAscii" w:eastAsiaTheme="minorAscii" w:cstheme="minorAscii"/>
          <w:color w:val="333333"/>
          <w:sz w:val="24"/>
          <w:szCs w:val="24"/>
        </w:rPr>
        <w:t xml:space="preserve">). </w:t>
      </w:r>
      <w:r w:rsidRPr="61F2F5A5" w:rsidR="590B61EC">
        <w:rPr>
          <w:rFonts w:ascii="Calibri" w:hAnsi="Calibri" w:eastAsia="Calibri" w:cs="Calibri" w:asciiTheme="minorAscii" w:hAnsiTheme="minorAscii" w:eastAsiaTheme="minorAscii" w:cstheme="minorAscii"/>
          <w:color w:val="333333"/>
          <w:sz w:val="24"/>
          <w:szCs w:val="24"/>
        </w:rPr>
        <w:t>Fox (</w:t>
      </w:r>
      <w:r w:rsidRPr="61F2F5A5" w:rsidR="590B61EC">
        <w:rPr>
          <w:rFonts w:ascii="Calibri" w:hAnsi="Calibri" w:eastAsia="Calibri" w:cs="Calibri" w:asciiTheme="minorAscii" w:hAnsiTheme="minorAscii" w:eastAsiaTheme="minorAscii" w:cstheme="minorAscii"/>
          <w:color w:val="333333"/>
          <w:sz w:val="24"/>
          <w:szCs w:val="24"/>
        </w:rPr>
        <w:t>2019) note</w:t>
      </w:r>
      <w:r w:rsidRPr="61F2F5A5" w:rsidR="590B61EC">
        <w:rPr>
          <w:rFonts w:ascii="Calibri" w:hAnsi="Calibri" w:eastAsia="Calibri" w:cs="Calibri" w:asciiTheme="minorAscii" w:hAnsiTheme="minorAscii" w:eastAsiaTheme="minorAscii" w:cstheme="minorAscii"/>
          <w:color w:val="333333"/>
          <w:sz w:val="24"/>
          <w:szCs w:val="24"/>
        </w:rPr>
        <w:t xml:space="preserve"> </w:t>
      </w:r>
      <w:r w:rsidRPr="61F2F5A5" w:rsidR="590B61EC">
        <w:rPr>
          <w:rFonts w:ascii="Calibri" w:hAnsi="Calibri" w:eastAsia="Calibri" w:cs="Calibri" w:asciiTheme="minorAscii" w:hAnsiTheme="minorAscii" w:eastAsiaTheme="minorAscii" w:cstheme="minorAscii"/>
          <w:color w:val="333333"/>
          <w:sz w:val="24"/>
          <w:szCs w:val="24"/>
        </w:rPr>
        <w:t xml:space="preserve">that </w:t>
      </w:r>
      <w:r w:rsidRPr="61F2F5A5" w:rsidR="61F2F5A5">
        <w:rPr>
          <w:rFonts w:ascii="Calibri" w:hAnsi="Calibri" w:eastAsia="Calibri" w:cs="Calibri" w:asciiTheme="minorAscii" w:hAnsiTheme="minorAscii" w:eastAsiaTheme="minorAscii" w:cstheme="minorAscii"/>
          <w:color w:val="333333"/>
          <w:sz w:val="24"/>
          <w:szCs w:val="24"/>
        </w:rPr>
        <w:t>to</w:t>
      </w:r>
      <w:r w:rsidRPr="61F2F5A5" w:rsidR="61F2F5A5">
        <w:rPr>
          <w:rFonts w:ascii="Calibri" w:hAnsi="Calibri" w:eastAsia="Calibri" w:cs="Calibri" w:asciiTheme="minorAscii" w:hAnsiTheme="minorAscii" w:eastAsiaTheme="minorAscii" w:cstheme="minorAscii"/>
          <w:color w:val="333333"/>
          <w:sz w:val="24"/>
          <w:szCs w:val="24"/>
        </w:rPr>
        <w:t xml:space="preserve"> help children with complex needs, it is necessary to understand their expectations and manage their emotions. Children and young people with disabilities need special attention and good understanding.</w:t>
      </w:r>
      <w:r w:rsidRPr="61F2F5A5" w:rsidR="590B61EC">
        <w:rPr>
          <w:rFonts w:ascii="Calibri" w:hAnsi="Calibri" w:eastAsia="Calibri" w:cs="Calibri" w:asciiTheme="minorAscii" w:hAnsiTheme="minorAscii" w:eastAsiaTheme="minorAscii" w:cstheme="minorAscii"/>
          <w:color w:val="333333"/>
          <w:sz w:val="24"/>
          <w:szCs w:val="24"/>
        </w:rPr>
        <w:t xml:space="preserve"> The well-being of children encompasses the quality of life in a broad sense. It refers to the economic situation of the child, to his relations with his peers, to his political rights and to the possibilities of development which are offered to him. It is important to consider human rights. </w:t>
      </w:r>
      <w:r w:rsidRPr="61F2F5A5" w:rsidR="590B61EC">
        <w:rPr>
          <w:rFonts w:ascii="Calibri" w:hAnsi="Calibri" w:eastAsia="Calibri" w:cs="Calibri" w:asciiTheme="minorAscii" w:hAnsiTheme="minorAscii" w:eastAsiaTheme="minorAscii" w:cstheme="minorAscii"/>
          <w:color w:val="333333"/>
          <w:sz w:val="24"/>
          <w:szCs w:val="24"/>
        </w:rPr>
        <w:t>Every child has the right to protection.</w:t>
      </w:r>
      <w:r w:rsidRPr="61F2F5A5" w:rsidR="590B61EC">
        <w:rPr>
          <w:rFonts w:ascii="Calibri" w:hAnsi="Calibri" w:eastAsia="Calibri" w:cs="Calibri" w:asciiTheme="minorAscii" w:hAnsiTheme="minorAscii" w:eastAsiaTheme="minorAscii" w:cstheme="minorAscii"/>
          <w:color w:val="333333"/>
          <w:sz w:val="24"/>
          <w:szCs w:val="24"/>
        </w:rPr>
        <w:t xml:space="preserve"> In this case study, John's human rights did not work in his </w:t>
      </w:r>
      <w:r w:rsidRPr="61F2F5A5" w:rsidR="590B61EC">
        <w:rPr>
          <w:rFonts w:ascii="Calibri" w:hAnsi="Calibri" w:eastAsia="Calibri" w:cs="Calibri" w:asciiTheme="minorAscii" w:hAnsiTheme="minorAscii" w:eastAsiaTheme="minorAscii" w:cstheme="minorAscii"/>
          <w:color w:val="333333"/>
          <w:sz w:val="24"/>
          <w:szCs w:val="24"/>
        </w:rPr>
        <w:t>Favor</w:t>
      </w:r>
      <w:r w:rsidRPr="61F2F5A5" w:rsidR="590B61EC">
        <w:rPr>
          <w:rFonts w:ascii="Calibri" w:hAnsi="Calibri" w:eastAsia="Calibri" w:cs="Calibri" w:asciiTheme="minorAscii" w:hAnsiTheme="minorAscii" w:eastAsiaTheme="minorAscii" w:cstheme="minorAscii"/>
          <w:color w:val="333333"/>
          <w:sz w:val="24"/>
          <w:szCs w:val="24"/>
        </w:rPr>
        <w:t>. He had intense health needs. john should be a priority given the fact that he suffered from several illnesses. His follow-up should be taken as a first rank. In addition to the fact that his mother was taking care of him, he had to be followed very carefully by the health services. Given his mother who was nervous all the time, he had the right to have extra support.</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According to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Underdown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2007</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children health and wellbeing are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figured out</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by social environmental and economics influences.</w:t>
      </w:r>
    </w:p>
    <w:p w:rsidR="14ACFE28" w:rsidP="61F2F5A5" w:rsidRDefault="14ACFE28" w14:paraId="378C3153" w14:textId="0D926E5A">
      <w:pPr>
        <w:pStyle w:val="Normal"/>
        <w:rPr>
          <w:rFonts w:ascii="Calibri" w:hAnsi="Calibri" w:eastAsia="Calibri" w:cs="Calibri" w:asciiTheme="minorAscii" w:hAnsiTheme="minorAscii" w:eastAsiaTheme="minorAscii" w:cstheme="minorAscii"/>
          <w:sz w:val="24"/>
          <w:szCs w:val="24"/>
        </w:rPr>
      </w:pPr>
    </w:p>
    <w:p w:rsidR="14ACFE28" w:rsidP="3142D777" w:rsidRDefault="14ACFE28" w14:paraId="5C472B4F" w14:textId="34B5C87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CHILD WELFARE AND PROTECTION OF YOUNG PEOPLE</w:t>
      </w:r>
    </w:p>
    <w:p w:rsidR="14ACFE28" w:rsidP="3142D777" w:rsidRDefault="14ACFE28" w14:paraId="3CA08434" w14:textId="79C4F9D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Childhood is a particularly important period in the life of every human being. It is a period during which each child needs protection on the health,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family,</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and humanitarian level.</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Every child has the right to health and to good medical follow-up. In John's case, the medical team in charge of his case should have taken the necessary measures and precautions for his protection. Given the fact that he had complex needs, the approach of the medical staff would have been more committed. Every child has the right to health and to good medical follow-up. In John's case, the medical team in charge of his case should have taken the necessary measures and precautions for his protection.</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the health professionals should have worked in collaboration with john's parents, they should have understood from time to time the grievances of john's mother</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working</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for the complex need of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vulnerable</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children and young people contributes to their wellbeing</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(Heathcot,2021</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p>
    <w:p w:rsidR="14ACFE28" w:rsidP="3142D777" w:rsidRDefault="14ACFE28" w14:paraId="51832AEB" w14:textId="0464D36D">
      <w:pPr>
        <w:pStyle w:val="Normal"/>
        <w:rPr>
          <w:rFonts w:ascii="Calibri" w:hAnsi="Calibri" w:eastAsia="Calibri" w:cs="Calibri" w:asciiTheme="minorAscii" w:hAnsiTheme="minorAscii" w:eastAsiaTheme="minorAscii" w:cstheme="minorAscii"/>
          <w:color w:val="4472C4" w:themeColor="accent1" w:themeTint="FF" w:themeShade="FF"/>
          <w:sz w:val="24"/>
          <w:szCs w:val="24"/>
        </w:rPr>
      </w:pPr>
      <w:r w:rsidRPr="3142D777" w:rsidR="79E38630">
        <w:rPr>
          <w:rFonts w:ascii="Calibri" w:hAnsi="Calibri" w:eastAsia="Calibri" w:cs="Calibri" w:asciiTheme="minorAscii" w:hAnsiTheme="minorAscii" w:eastAsiaTheme="minorAscii" w:cstheme="minorAscii"/>
          <w:color w:val="4472C4" w:themeColor="accent1" w:themeTint="FF" w:themeShade="FF"/>
          <w:sz w:val="24"/>
          <w:szCs w:val="24"/>
        </w:rPr>
        <w:t>MULTIDICIPLINARY SERVICE AND SAFEGUARDING</w:t>
      </w:r>
    </w:p>
    <w:p w:rsidR="14ACFE28" w:rsidP="3142D777" w:rsidRDefault="14ACFE28" w14:paraId="23CD500C" w14:textId="6D0EC962">
      <w:pPr>
        <w:pStyle w:val="Normal"/>
        <w:rPr>
          <w:rFonts w:ascii="Calibri" w:hAnsi="Calibri" w:eastAsia="Calibri" w:cs="Calibri" w:asciiTheme="minorAscii" w:hAnsiTheme="minorAscii" w:eastAsiaTheme="minorAscii" w:cstheme="minorAscii"/>
          <w:sz w:val="24"/>
          <w:szCs w:val="24"/>
        </w:rPr>
      </w:pPr>
      <w:r w:rsidRPr="3142D777" w:rsidR="79E38630">
        <w:rPr>
          <w:rFonts w:ascii="Calibri" w:hAnsi="Calibri" w:eastAsia="Calibri" w:cs="Calibri" w:asciiTheme="minorAscii" w:hAnsiTheme="minorAscii" w:eastAsiaTheme="minorAscii" w:cstheme="minorAscii"/>
          <w:sz w:val="24"/>
          <w:szCs w:val="24"/>
        </w:rPr>
        <w:t xml:space="preserve">Multidisciplinary teams </w:t>
      </w:r>
      <w:r w:rsidRPr="3142D777" w:rsidR="79E38630">
        <w:rPr>
          <w:rFonts w:ascii="Calibri" w:hAnsi="Calibri" w:eastAsia="Calibri" w:cs="Calibri" w:asciiTheme="minorAscii" w:hAnsiTheme="minorAscii" w:eastAsiaTheme="minorAscii" w:cstheme="minorAscii"/>
          <w:sz w:val="24"/>
          <w:szCs w:val="24"/>
        </w:rPr>
        <w:t>are the</w:t>
      </w:r>
      <w:r w:rsidRPr="3142D777" w:rsidR="3142D777">
        <w:rPr>
          <w:rFonts w:ascii="Calibri" w:hAnsi="Calibri" w:eastAsia="Calibri" w:cs="Calibri" w:asciiTheme="minorAscii" w:hAnsiTheme="minorAscii" w:eastAsiaTheme="minorAscii" w:cstheme="minorAscii"/>
          <w:sz w:val="24"/>
          <w:szCs w:val="24"/>
        </w:rPr>
        <w:t xml:space="preserve"> organization of health and care structures available to people with complex care needs</w:t>
      </w:r>
      <w:r w:rsidRPr="3142D777" w:rsidR="79E38630">
        <w:rPr>
          <w:rFonts w:ascii="Calibri" w:hAnsi="Calibri" w:eastAsia="Calibri" w:cs="Calibri" w:asciiTheme="minorAscii" w:hAnsiTheme="minorAscii" w:eastAsiaTheme="minorAscii" w:cstheme="minorAscii"/>
          <w:sz w:val="24"/>
          <w:szCs w:val="24"/>
        </w:rPr>
        <w:t>. The</w:t>
      </w:r>
      <w:r w:rsidRPr="3142D777" w:rsidR="79E38630">
        <w:rPr>
          <w:rFonts w:ascii="Calibri" w:hAnsi="Calibri" w:eastAsia="Calibri" w:cs="Calibri" w:asciiTheme="minorAscii" w:hAnsiTheme="minorAscii" w:eastAsiaTheme="minorAscii" w:cstheme="minorAscii"/>
          <w:sz w:val="24"/>
          <w:szCs w:val="24"/>
        </w:rPr>
        <w:t xml:space="preserve"> team bring together the </w:t>
      </w:r>
      <w:r w:rsidRPr="3142D777" w:rsidR="79E38630">
        <w:rPr>
          <w:rFonts w:ascii="Calibri" w:hAnsi="Calibri" w:eastAsia="Calibri" w:cs="Calibri" w:asciiTheme="minorAscii" w:hAnsiTheme="minorAscii" w:eastAsiaTheme="minorAscii" w:cstheme="minorAscii"/>
          <w:sz w:val="24"/>
          <w:szCs w:val="24"/>
        </w:rPr>
        <w:t>ability</w:t>
      </w:r>
      <w:r w:rsidRPr="3142D777" w:rsidR="79E38630">
        <w:rPr>
          <w:rFonts w:ascii="Calibri" w:hAnsi="Calibri" w:eastAsia="Calibri" w:cs="Calibri" w:asciiTheme="minorAscii" w:hAnsiTheme="minorAscii" w:eastAsiaTheme="minorAscii" w:cstheme="minorAscii"/>
          <w:sz w:val="24"/>
          <w:szCs w:val="24"/>
        </w:rPr>
        <w:t xml:space="preserve"> and skills of different </w:t>
      </w:r>
      <w:r w:rsidRPr="3142D777" w:rsidR="79E38630">
        <w:rPr>
          <w:rFonts w:ascii="Calibri" w:hAnsi="Calibri" w:eastAsia="Calibri" w:cs="Calibri" w:asciiTheme="minorAscii" w:hAnsiTheme="minorAscii" w:eastAsiaTheme="minorAscii" w:cstheme="minorAscii"/>
          <w:sz w:val="24"/>
          <w:szCs w:val="24"/>
        </w:rPr>
        <w:t>professionals</w:t>
      </w:r>
      <w:r w:rsidRPr="3142D777" w:rsidR="79E38630">
        <w:rPr>
          <w:rFonts w:ascii="Calibri" w:hAnsi="Calibri" w:eastAsia="Calibri" w:cs="Calibri" w:asciiTheme="minorAscii" w:hAnsiTheme="minorAscii" w:eastAsiaTheme="minorAscii" w:cstheme="minorAscii"/>
          <w:sz w:val="24"/>
          <w:szCs w:val="24"/>
        </w:rPr>
        <w:t xml:space="preserve"> manage and care jointly. The</w:t>
      </w:r>
      <w:r w:rsidRPr="3142D777" w:rsidR="79E38630">
        <w:rPr>
          <w:rFonts w:ascii="Calibri" w:hAnsi="Calibri" w:eastAsia="Calibri" w:cs="Calibri" w:asciiTheme="minorAscii" w:hAnsiTheme="minorAscii" w:eastAsiaTheme="minorAscii" w:cstheme="minorAscii"/>
          <w:sz w:val="24"/>
          <w:szCs w:val="24"/>
        </w:rPr>
        <w:t xml:space="preserve"> fact that john suffered from </w:t>
      </w:r>
      <w:r w:rsidRPr="3142D777" w:rsidR="79E38630">
        <w:rPr>
          <w:rFonts w:ascii="Calibri" w:hAnsi="Calibri" w:eastAsia="Calibri" w:cs="Calibri" w:asciiTheme="minorAscii" w:hAnsiTheme="minorAscii" w:eastAsiaTheme="minorAscii" w:cstheme="minorAscii"/>
          <w:sz w:val="24"/>
          <w:szCs w:val="24"/>
        </w:rPr>
        <w:t>cerebral</w:t>
      </w:r>
      <w:r w:rsidRPr="3142D777" w:rsidR="79E38630">
        <w:rPr>
          <w:rFonts w:ascii="Calibri" w:hAnsi="Calibri" w:eastAsia="Calibri" w:cs="Calibri" w:asciiTheme="minorAscii" w:hAnsiTheme="minorAscii" w:eastAsiaTheme="minorAscii" w:cstheme="minorAscii"/>
          <w:sz w:val="24"/>
          <w:szCs w:val="24"/>
        </w:rPr>
        <w:t xml:space="preserve"> palsy he needed a team of multidisciplinary specialist health personnel such as: physiotherapists, occupational therapy psychologists. </w:t>
      </w:r>
      <w:r w:rsidRPr="3142D777" w:rsidR="79E38630">
        <w:rPr>
          <w:rFonts w:ascii="Calibri" w:hAnsi="Calibri" w:eastAsia="Calibri" w:cs="Calibri" w:asciiTheme="minorAscii" w:hAnsiTheme="minorAscii" w:eastAsiaTheme="minorAscii" w:cstheme="minorAscii"/>
          <w:sz w:val="24"/>
          <w:szCs w:val="24"/>
        </w:rPr>
        <w:t>According</w:t>
      </w:r>
      <w:r w:rsidRPr="3142D777" w:rsidR="79E38630">
        <w:rPr>
          <w:rFonts w:ascii="Calibri" w:hAnsi="Calibri" w:eastAsia="Calibri" w:cs="Calibri" w:asciiTheme="minorAscii" w:hAnsiTheme="minorAscii" w:eastAsiaTheme="minorAscii" w:cstheme="minorAscii"/>
          <w:sz w:val="24"/>
          <w:szCs w:val="24"/>
        </w:rPr>
        <w:t xml:space="preserve"> to working together safeguarding 2018, “Where a local authority is accessing the needs of disabled child, a Carer of that child may also require the local authority to undertake an assessment of their ability to (recognition and services) act 1995”.</w:t>
      </w:r>
    </w:p>
    <w:p w:rsidR="14ACFE28" w:rsidP="61F2F5A5" w:rsidRDefault="14ACFE28" w14:paraId="12295A92" w14:textId="2F1EEC7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1F2F5A5" w:rsidR="79E38630">
        <w:rPr>
          <w:rFonts w:ascii="Calibri" w:hAnsi="Calibri" w:eastAsia="Calibri" w:cs="Calibri" w:asciiTheme="minorAscii" w:hAnsiTheme="minorAscii" w:eastAsiaTheme="minorAscii" w:cstheme="minorAscii"/>
          <w:sz w:val="24"/>
          <w:szCs w:val="24"/>
        </w:rPr>
        <w:t xml:space="preserve">Several factors can explain John sudden death, including parental neglect, his mother with a low </w:t>
      </w:r>
      <w:r w:rsidRPr="61F2F5A5" w:rsidR="79E38630">
        <w:rPr>
          <w:rFonts w:ascii="Calibri" w:hAnsi="Calibri" w:eastAsia="Calibri" w:cs="Calibri" w:asciiTheme="minorAscii" w:hAnsiTheme="minorAscii" w:eastAsiaTheme="minorAscii" w:cstheme="minorAscii"/>
          <w:sz w:val="24"/>
          <w:szCs w:val="24"/>
        </w:rPr>
        <w:t>ability</w:t>
      </w:r>
      <w:r w:rsidRPr="61F2F5A5" w:rsidR="79E38630">
        <w:rPr>
          <w:rFonts w:ascii="Calibri" w:hAnsi="Calibri" w:eastAsia="Calibri" w:cs="Calibri" w:asciiTheme="minorAscii" w:hAnsiTheme="minorAscii" w:eastAsiaTheme="minorAscii" w:cstheme="minorAscii"/>
          <w:sz w:val="24"/>
          <w:szCs w:val="24"/>
        </w:rPr>
        <w:t xml:space="preserve"> to take full responsibility for his illness. The latter suffered from a mental illness which may occasionally cause him memory problems. </w:t>
      </w:r>
      <w:r w:rsidRPr="61F2F5A5" w:rsidR="4962065C">
        <w:rPr>
          <w:rFonts w:ascii="Calibri" w:hAnsi="Calibri" w:eastAsia="Calibri" w:cs="Calibri" w:asciiTheme="minorAscii" w:hAnsiTheme="minorAscii" w:eastAsiaTheme="minorAscii" w:cstheme="minorAscii"/>
          <w:sz w:val="24"/>
          <w:szCs w:val="24"/>
        </w:rPr>
        <w:t xml:space="preserve">John's father should not have let his wife take responsibility for his son's illness, knowing his wife's mental </w:t>
      </w:r>
      <w:r w:rsidRPr="61F2F5A5" w:rsidR="4962065C">
        <w:rPr>
          <w:rFonts w:ascii="Calibri" w:hAnsi="Calibri" w:eastAsia="Calibri" w:cs="Calibri" w:asciiTheme="minorAscii" w:hAnsiTheme="minorAscii" w:eastAsiaTheme="minorAscii" w:cstheme="minorAscii"/>
          <w:sz w:val="24"/>
          <w:szCs w:val="24"/>
        </w:rPr>
        <w:t>state he</w:t>
      </w:r>
      <w:r w:rsidRPr="61F2F5A5" w:rsidR="4962065C">
        <w:rPr>
          <w:rFonts w:ascii="Calibri" w:hAnsi="Calibri" w:eastAsia="Calibri" w:cs="Calibri" w:asciiTheme="minorAscii" w:hAnsiTheme="minorAscii" w:eastAsiaTheme="minorAscii" w:cstheme="minorAscii"/>
          <w:sz w:val="24"/>
          <w:szCs w:val="24"/>
        </w:rPr>
        <w:t xml:space="preserve"> should have taken charge. Therefore, he is partly responsible for John's death. The</w:t>
      </w:r>
      <w:r w:rsidRPr="61F2F5A5" w:rsidR="79E38630">
        <w:rPr>
          <w:rFonts w:ascii="Calibri" w:hAnsi="Calibri" w:eastAsia="Calibri" w:cs="Calibri" w:asciiTheme="minorAscii" w:hAnsiTheme="minorAscii" w:eastAsiaTheme="minorAscii" w:cstheme="minorAscii"/>
          <w:sz w:val="24"/>
          <w:szCs w:val="24"/>
        </w:rPr>
        <w:t xml:space="preserve"> medical staff has its responsibility for the death of john, knowing that john has a complex health need and that his mother did not meet all the favourable conditions for the follow-up of the latter, he should have placed john in a nursing home for better health control. The health personnel were not competent in the management of John's case.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multidisciplinary service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eases</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collaboration between team members in the health sector, it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helps</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communication in social care (Housley</w:t>
      </w:r>
      <w:r w:rsidRPr="61F2F5A5" w:rsidR="3142D7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2003)</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4ACFE28" w:rsidP="3142D777" w:rsidRDefault="14ACFE28" w14:paraId="41AA8256" w14:textId="7604187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medical team could have contacted a lawyer to plead the case of John's death. His death was sudden, due to the limited care. His father could have been more present. The contribution of both parents would have been beneficial for the well-being and health of john. the mother alone, given her mental concern, could not alone ensure john's health. His father's contribution might have saved his life. the father could have invested in the state of health of his son by giving him medication for example, by checking the health personnel took diligent care of him as it should. His father should have been more vigilant about John's actions. Given the fact that an epileptic patient needs special attention, john had to be treated with delicacy by his two parents. According to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Musgrave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2017</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Every</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adult or healthcare worker has the right to care for the health of young adults. We all have a responsibility to work to keep children healthy.</w:t>
      </w:r>
    </w:p>
    <w:p w:rsidR="2D7C01E4" w:rsidP="3142D777" w:rsidRDefault="2D7C01E4" w14:paraId="4DEA7F5B" w14:textId="74FDC14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CONCLUSION</w:t>
      </w:r>
    </w:p>
    <w:p w:rsidR="2D7C01E4" w:rsidP="3142D777" w:rsidRDefault="2D7C01E4" w14:paraId="79EE5904" w14:textId="4904749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short, the well-being of children and young people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needs</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lot of sacrifice and patience. From the sudden death of john, we can conclude that neither his parents nor the health personnel took care of him as they should, it is highly likely that john died of neglect and various medical changes. John's case challenges us to take into consideration any health problem, more precisely young </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people,</w:t>
      </w: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children.</w:t>
      </w:r>
    </w:p>
    <w:p w:rsidR="2D7C01E4" w:rsidP="3142D777" w:rsidRDefault="2D7C01E4" w14:paraId="0DD98C2A" w14:textId="5BCCAB4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142D777" w:rsidR="79E3863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REFERENCES</w:t>
      </w:r>
    </w:p>
    <w:p w:rsidR="2D7C01E4" w:rsidP="61F2F5A5" w:rsidRDefault="2D7C01E4" w14:paraId="6ECA2F1A" w14:textId="70286C0F">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Heathcote, G., (2021.) </w:t>
      </w:r>
      <w:r w:rsidRPr="61F2F5A5" w:rsidR="79E38630">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Working with Vulnerable Children, Young People and Families.</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Brotherton</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and </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Cronin</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Second edition. 2020. London: Routledge. Support for Learning, 36(2), pp.318-319.</w:t>
      </w:r>
      <w:r w:rsidRPr="61F2F5A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Hill/Open University Press.</w:t>
      </w:r>
    </w:p>
    <w:p w:rsidR="61F2F5A5" w:rsidP="61F2F5A5" w:rsidRDefault="61F2F5A5" w14:paraId="707AC52F" w14:textId="49C0A665">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p>
    <w:p w:rsidR="61F2F5A5" w:rsidP="61F2F5A5" w:rsidRDefault="61F2F5A5" w14:paraId="79A59B03" w14:textId="0F9B1270">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r w:rsidRPr="61F2F5A5" w:rsidR="61F2F5A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61F2F5A5" w:rsidR="61F2F5A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Fox</w:t>
      </w:r>
      <w:r w:rsidRPr="61F2F5A5" w:rsidR="61F2F5A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M. (2019) </w:t>
      </w:r>
      <w:r w:rsidRPr="61F2F5A5" w:rsidR="61F2F5A5">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Supporting the emotional well-being of children and young people with learning disabilities a whole school approach</w:t>
      </w:r>
      <w:r w:rsidRPr="61F2F5A5" w:rsidR="61F2F5A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S. l: ROUTLEDGE.</w:t>
      </w:r>
    </w:p>
    <w:p w:rsidR="61F2F5A5" w:rsidP="61F2F5A5" w:rsidRDefault="61F2F5A5" w14:paraId="68EE97D0" w14:textId="7E229D37">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p>
    <w:p w:rsidR="2D7C01E4" w:rsidP="7EE82BB5" w:rsidRDefault="2D7C01E4" w14:paraId="62226328" w14:textId="0CAB95C4">
      <w:pPr>
        <w:pStyle w:val="Normal"/>
        <w:spacing w:after="160" w:line="240" w:lineRule="exact"/>
        <w:ind w:left="0"/>
        <w:jc w:val="left"/>
        <w:rPr>
          <w:rFonts w:ascii="Calibri" w:hAnsi="Calibri" w:eastAsia="Calibri" w:cs="Calibri" w:asciiTheme="minorAscii" w:hAnsiTheme="minorAscii" w:eastAsiaTheme="minorAscii" w:cstheme="minorAscii"/>
          <w:i w:val="0"/>
          <w:iCs w:val="0"/>
          <w:sz w:val="24"/>
          <w:szCs w:val="24"/>
        </w:rPr>
      </w:pPr>
      <w:r w:rsidRPr="7EE82BB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Housley, W. (2003). </w:t>
      </w:r>
      <w:r w:rsidRPr="7EE82BB5" w:rsidR="79E3863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Interaction in Multidisciplinary Teams </w:t>
      </w:r>
      <w:r w:rsidRPr="7EE82BB5" w:rsidR="79E3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(1st ed.). Routledge. </w:t>
      </w:r>
      <w:hyperlink r:id="R466cac6f4cdc4525">
        <w:r w:rsidRPr="7EE82BB5" w:rsidR="79E3863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https://doi.org/10.4324/9781315191669</w:t>
        </w:r>
      </w:hyperlink>
    </w:p>
    <w:p w:rsidR="2D7C01E4" w:rsidP="7EE82BB5" w:rsidRDefault="2D7C01E4" w14:paraId="45F32C8F" w14:textId="526D6FDA">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pPr>
      <w:r w:rsidRPr="7EE82BB5" w:rsidR="79E3863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Musgrave, J., (2017). </w:t>
      </w:r>
      <w:r w:rsidRPr="7EE82BB5" w:rsidR="79E38630">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US"/>
        </w:rPr>
        <w:t>Supporting Children’s Health and Wellbeing.</w:t>
      </w:r>
      <w:r w:rsidRPr="7EE82BB5" w:rsidR="79E3863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55 City Road, London: SAGE Publications Ltd. Available at: &lt;https://dx.doi.org/10.4135/9781529715040&gt; [Accessed 7 Mar 2022].</w:t>
      </w:r>
    </w:p>
    <w:p w:rsidR="2D7C01E4" w:rsidP="7EE82BB5" w:rsidRDefault="2D7C01E4" w14:paraId="6D63E8D6" w14:textId="6A444985">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hyperlink r:id="R93401300e09d44ca">
        <w:r w:rsidRPr="7EE82BB5" w:rsidR="79E3863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https://assets.publishing.service.gov.uk/government/uploads/system/uploads/attachment_data/file/942454/Working_together_to_safeguard_children_inter_agency_guidance.pdf</w:t>
        </w:r>
      </w:hyperlink>
    </w:p>
    <w:p w:rsidR="2D7C01E4" w:rsidP="7EE82BB5" w:rsidRDefault="2D7C01E4" w14:paraId="5ADFEB7B" w14:textId="5D3F9AC0">
      <w:pPr>
        <w:pStyle w:val="Normal"/>
        <w:spacing w:after="160"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EE82BB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Underdown, A. (2007) </w:t>
      </w:r>
      <w:r w:rsidRPr="7EE82BB5" w:rsidR="79E38630">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Young children’s health and well-being</w:t>
      </w:r>
      <w:r w:rsidRPr="7EE82BB5" w:rsidR="79E38630">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Maidenhead: McGraw Hill/Open University Press.</w:t>
      </w:r>
    </w:p>
    <w:p w:rsidR="2D7C01E4" w:rsidP="3142D777" w:rsidRDefault="2D7C01E4" w14:paraId="566C0647" w14:textId="66EE961A">
      <w:pPr>
        <w:spacing w:after="160" w:line="240" w:lineRule="exact"/>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p>
    <w:p w:rsidR="2D7C01E4" w:rsidP="3142D777" w:rsidRDefault="2D7C01E4" w14:paraId="63CF3A01" w14:textId="50DBAC54">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D7C01E4" w:rsidP="3142D777" w:rsidRDefault="2D7C01E4" w14:paraId="365F66C1" w14:textId="77A7D52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rsidR="14ACFE2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957B7" w:rsidP="005957B7" w:rsidRDefault="005957B7" w14:paraId="0A2E5BF1" w14:textId="77777777">
      <w:pPr>
        <w:spacing w:after="0" w:line="240" w:lineRule="auto"/>
      </w:pPr>
      <w:r>
        <w:separator/>
      </w:r>
    </w:p>
  </w:endnote>
  <w:endnote w:type="continuationSeparator" w:id="0">
    <w:p w:rsidR="005957B7" w:rsidP="005957B7" w:rsidRDefault="005957B7" w14:paraId="02058D3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957B7" w:rsidP="005957B7" w:rsidRDefault="005957B7" w14:paraId="148B2ECB" w14:textId="77777777">
      <w:pPr>
        <w:spacing w:after="0" w:line="240" w:lineRule="auto"/>
      </w:pPr>
      <w:r>
        <w:separator/>
      </w:r>
    </w:p>
  </w:footnote>
  <w:footnote w:type="continuationSeparator" w:id="0">
    <w:p w:rsidR="005957B7" w:rsidP="005957B7" w:rsidRDefault="005957B7" w14:paraId="07214D63" w14:textId="77777777">
      <w:pPr>
        <w:spacing w:after="0" w:line="240" w:lineRule="auto"/>
      </w:pPr>
      <w:r>
        <w:continuationSeparator/>
      </w: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1582794661-531300360 1121368417-1913584066 2120168899-1423346641 1790654183-1966908773 1792017036-1189818747 76383818-1721648044 1875984340-1284732858 383624072-384055003 1285569931-1224054520 1189516541-1748065631 857207974-1224299200 1674769228-166553032 675378293-1882521657 610451595-630488094 1652998034-288298369 235648239-215666686 25868132-1081495483 546731017-1166508408 420060412-1923515307 391093829-2045110394 156538019-2116971118 2083134398-1014222833 619995302-497269653 931934547-247269924 1403937768-1661287228 1548168015-884328575 1017152564-1304700812 1367550699-73716589 600657932-1829685602 304700050-1580314740 1101693526-1979979896 1307213659-1962787140 2045663492-1225028759 232361002-1540139840 1858744090-1881697295 1646420776-212571588 1173564559-1382903770 1835264214-1782860165 1524624251-1564449472 1449920071-1726912026 1674525185-1356573780 912221889-2007487787"/>
  </int:OnDemandWorkflows>
  <int:IntelligenceSettings>
    <int:extLst>
      <oel:ext uri="74B372B9-2EFF-4315-9A3F-32BA87CA82B1">
        <int:Goals Version="1" Formality="0"/>
      </oel:ext>
    </int:extLst>
  </int:IntelligenceSettings>
  <int:Manifest>
    <int:ParagraphRange paragraphId="1403937768" textId="218847269" start="400" length="41" invalidationStart="400" invalidationLength="41" id="TBm9ZOuS"/>
    <int:ParagraphRange paragraphId="2045663492" textId="812421214" start="0" length="298" invalidationStart="0" invalidationLength="298" id="XHnryhI5"/>
    <int:ParagraphRange paragraphId="600657932" textId="860218880" start="435" length="259" invalidationStart="435" invalidationLength="259" id="cdZ59Jhh"/>
    <int:ParagraphRange paragraphId="600657932" textId="1829685602" start="396" length="259" invalidationStart="396" invalidationLength="259" id="cqrBL1hT"/>
    <int:EntireDocument id="yLx2ABWU"/>
    <int:ParagraphRange paragraphId="2040896259" textId="982289151" start="0" length="149" invalidationStart="0" invalidationLength="149" id="K1m4j5rN"/>
  </int:Manifest>
  <int:Observations>
    <int:Content id="TBm9ZOuS">
      <int:Reviewed type="WordDesignerPullQuotesAnnotation"/>
    </int:Content>
    <int:Content id="XHnryhI5">
      <int:Rejection type="WordDesignerDefaultAnnotation"/>
    </int:Content>
    <int:Content id="cdZ59Jhh">
      <int:Reviewed type="WordDesignerPullQuotesAnnotation"/>
    </int:Content>
    <int:Content id="cqrBL1hT">
      <int:extLst>
        <oel:ext uri="426473B9-03D8-482F-96C9-C2C85392BACA">
          <int:SimilarityCritique Version="1" Context="According to working together safeguarding 2018, “Where a local authority is accessing the needs of disabled child, a Carer of that child may also require the local authority to undertake an assessment of their ability to (recognition and services) act 1995”." SourceType="Online" SourceTitle="1.18 Additional guidance | West Midlands Safeguarding ..." SourceUrl="https://westmidlands.procedures.org.uk/ykpzl/statutory-child-protection-procedures/additional-guidance" SourceSnippet="Where the local authority is assessing the needs of a disabled child, a carer of that child may also require the local authority to undertake an assessment of their ability to provide, or to continue to provide, care for the child, under section 1 of the Carers (Recognition and Services) Act 1995.">
            <int:Suggestions CitationType="Inline">
              <int:Suggestion CitationStyle="Mla" IsIdentical="0">
                <int:CitationText>(“1.18 Additional guidance | West Midlands Safeguarding ...”)</int:CitationText>
              </int:Suggestion>
              <int:Suggestion CitationStyle="Apa" IsIdentical="0">
                <int:CitationText>(“1.18 Additional guidance | West Midlands Safeguarding ...”)</int:CitationText>
              </int:Suggestion>
              <int:Suggestion CitationStyle="Chicago" IsIdentical="0">
                <int:CitationText>(“1.18 Additional guidance | West Midlands Safeguarding ...”)</int:CitationText>
              </int:Suggestion>
            </int:Suggestions>
            <int:Suggestions CitationType="Full">
              <int:Suggestion CitationStyle="Mla" IsIdentical="0">
                <int:CitationText>&lt;i&gt;1.18 Additional guidance | West Midlands Safeguarding ...&lt;/i&gt;, https://westmidlands.procedures.org.uk/ykpzl/statutory-child-protection-procedures/additional-guidance.</int:CitationText>
              </int:Suggestion>
              <int:Suggestion CitationStyle="Apa" IsIdentical="0">
                <int:CitationText>&lt;i&gt;1.18 Additional guidance | West Midlands Safeguarding ...&lt;/i&gt;. (n.d.). Retrieved from https://westmidlands.procedures.org.uk/ykpzl/statutory-child-protection-procedures/additional-guidance</int:CitationText>
              </int:Suggestion>
              <int:Suggestion CitationStyle="Chicago" IsIdentical="0">
                <int:CitationText>“1.18 Additional guidance | West Midlands Safeguarding ...” n.d., https://westmidlands.procedures.org.uk/ykpzl/statutory-child-protection-procedures/additional-guidance.</int:CitationText>
              </int:Suggestion>
            </int:Suggestions>
            <int:AdditionalSources SourceType="Online" SourceTitle="Chapter 1: Assessing need and providing help" SourceUrl="https://www.workingtogetheronline.co.uk/chapters/chapter_one.html" SourceSnippet="Where a local authority is assessing the needs of a disabled child, a carer of that child may also require the local authority to undertake an assessment of their ability to provide, or to continue to provide, care for the child, under section 1 of the Carers (Recognition and Services) Act 1995.">
              <int:Suggestions CitationType="Inline">
                <int:Suggestion CitationStyle="Mla" IsIdentical="0">
                  <int:CitationText>(“Chapter 1: Assessing need and providing help”)</int:CitationText>
                </int:Suggestion>
                <int:Suggestion CitationStyle="Apa" IsIdentical="0">
                  <int:CitationText>(“Chapter 1: Assessing need and providing help”)</int:CitationText>
                </int:Suggestion>
                <int:Suggestion CitationStyle="Chicago" IsIdentical="0">
                  <int:CitationText>(“Chapter 1: Assessing need and providing help”)</int:CitationText>
                </int:Suggestion>
              </int:Suggestions>
              <int:Suggestions CitationType="Full">
                <int:Suggestion CitationStyle="Mla" IsIdentical="0">
                  <int:CitationText>&lt;i&gt;Chapter 1: Assessing need and providing help&lt;/i&gt;, https://www.workingtogetheronline.co.uk/chapters/chapter_one.html.</int:CitationText>
                </int:Suggestion>
                <int:Suggestion CitationStyle="Apa" IsIdentical="0">
                  <int:CitationText>&lt;i&gt;Chapter 1: Assessing need and providing help&lt;/i&gt;. (n.d.). Retrieved from https://www.workingtogetheronline.co.uk/chapters/chapter_one.html</int:CitationText>
                </int:Suggestion>
                <int:Suggestion CitationStyle="Chicago" IsIdentical="0">
                  <int:CitationText>“Chapter 1: Assessing need and providing help” n.d., https://www.workingtogetheronline.co.uk/chapters/chapter_one.html.</int:CitationText>
                </int:Suggestion>
              </int:Suggestions>
            </int:AdditionalSources>
            <int:AdditionalSources SourceType="Online" SourceTitle="Amendments &amp; Archives" SourceUrl="https://www.londoncp.co.uk/amendments.html" SourceSnippet="2.1.12 Where a local authority is assessing the needs of a disabled child, a carer of that child may also require the local authority to undertake an assessment of their ability to provide, or to continue to provide, care for the child, under section 1 of the Carers (Recognition and Services) Act 1995.">
              <int:Suggestions CitationType="Inline">
                <int:Suggestion CitationStyle="Mla" IsIdentical="0">
                  <int:CitationText>(“Amendments &amp; Archives”)</int:CitationText>
                </int:Suggestion>
                <int:Suggestion CitationStyle="Apa" IsIdentical="0">
                  <int:CitationText>(“Amendments &amp; Archives”)</int:CitationText>
                </int:Suggestion>
                <int:Suggestion CitationStyle="Chicago" IsIdentical="0">
                  <int:CitationText>(“Amendments &amp; Archives”)</int:CitationText>
                </int:Suggestion>
              </int:Suggestions>
              <int:Suggestions CitationType="Full">
                <int:Suggestion CitationStyle="Mla" IsIdentical="0">
                  <int:CitationText>&lt;i&gt;Amendments &amp; Archives&lt;/i&gt;, https://www.londoncp.co.uk/amendments.html.</int:CitationText>
                </int:Suggestion>
                <int:Suggestion CitationStyle="Apa" IsIdentical="0">
                  <int:CitationText>&lt;i&gt;Amendments &amp; Archives&lt;/i&gt;. (n.d.). Retrieved from https://www.londoncp.co.uk/amendments.html</int:CitationText>
                </int:Suggestion>
                <int:Suggestion CitationStyle="Chicago" IsIdentical="0">
                  <int:CitationText>“Amendments &amp; Archives” n.d., https://www.londoncp.co.uk/amendments.html.</int:CitationText>
                </int:Suggestion>
              </int:Suggestions>
            </int:AdditionalSources>
          </int:SimilarityCritique>
        </oel:ext>
      </int:extLst>
    </int:Content>
    <int:Content id="yLx2ABWU">
      <int:extLst>
        <oel:ext uri="E302BA01-7950-474C-9AD3-286E660C40A8">
          <int:SimilaritySummary Version="1" RunId="1647267213537" TilesCheckedInThisRun="31" TotalNumOfTiles="31" SimilarityAnnotationCount="1" NumWords="1060" NumFlaggedWords="41"/>
        </oel:ext>
      </int:extLst>
    </int:Content>
    <int:Content id="K1m4j5rN">
      <int:Rejection type="WordDesignerDefaultAnnotation"/>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1C9BEF"/>
    <w:rsid w:val="00447CB5"/>
    <w:rsid w:val="005461D0"/>
    <w:rsid w:val="005957B7"/>
    <w:rsid w:val="00FC4BD9"/>
    <w:rsid w:val="01866A82"/>
    <w:rsid w:val="01E04D16"/>
    <w:rsid w:val="02D56E9D"/>
    <w:rsid w:val="02D77D8C"/>
    <w:rsid w:val="0398A176"/>
    <w:rsid w:val="0517EDD8"/>
    <w:rsid w:val="05E9084C"/>
    <w:rsid w:val="06A3F742"/>
    <w:rsid w:val="0784D8AD"/>
    <w:rsid w:val="083BB6BB"/>
    <w:rsid w:val="0A1C588C"/>
    <w:rsid w:val="0A7BBE0D"/>
    <w:rsid w:val="0AACB3DD"/>
    <w:rsid w:val="0C60A9D5"/>
    <w:rsid w:val="0CB58F0C"/>
    <w:rsid w:val="0D52A535"/>
    <w:rsid w:val="0E785C06"/>
    <w:rsid w:val="0EDDB1FD"/>
    <w:rsid w:val="0EFFA0D6"/>
    <w:rsid w:val="0F28EF22"/>
    <w:rsid w:val="0F4E26A7"/>
    <w:rsid w:val="0F9AC948"/>
    <w:rsid w:val="121552BF"/>
    <w:rsid w:val="1256FAA0"/>
    <w:rsid w:val="1286CFF2"/>
    <w:rsid w:val="133B2BCC"/>
    <w:rsid w:val="1378A324"/>
    <w:rsid w:val="14AC5B39"/>
    <w:rsid w:val="14ACFE28"/>
    <w:rsid w:val="15147385"/>
    <w:rsid w:val="152D9BE2"/>
    <w:rsid w:val="15842A02"/>
    <w:rsid w:val="160A0ACC"/>
    <w:rsid w:val="16B233A7"/>
    <w:rsid w:val="17C79E3E"/>
    <w:rsid w:val="1813BD56"/>
    <w:rsid w:val="191365E6"/>
    <w:rsid w:val="1B4B5E18"/>
    <w:rsid w:val="1B8FACCD"/>
    <w:rsid w:val="1DCA914F"/>
    <w:rsid w:val="1E03F726"/>
    <w:rsid w:val="2095BAAF"/>
    <w:rsid w:val="21A642E7"/>
    <w:rsid w:val="228BB8E5"/>
    <w:rsid w:val="24D3E375"/>
    <w:rsid w:val="252B2C26"/>
    <w:rsid w:val="25C359A7"/>
    <w:rsid w:val="2664477C"/>
    <w:rsid w:val="26A4DF83"/>
    <w:rsid w:val="26C75C48"/>
    <w:rsid w:val="26E024E4"/>
    <w:rsid w:val="26E92A77"/>
    <w:rsid w:val="2877C622"/>
    <w:rsid w:val="2C2BBC5B"/>
    <w:rsid w:val="2D363E0B"/>
    <w:rsid w:val="2D7C01E4"/>
    <w:rsid w:val="2DE36E3E"/>
    <w:rsid w:val="2F3F193A"/>
    <w:rsid w:val="2F596C38"/>
    <w:rsid w:val="3130C518"/>
    <w:rsid w:val="3142D777"/>
    <w:rsid w:val="32637C4F"/>
    <w:rsid w:val="329AFDDF"/>
    <w:rsid w:val="33A57F8F"/>
    <w:rsid w:val="33FB0F45"/>
    <w:rsid w:val="345B0180"/>
    <w:rsid w:val="34848F90"/>
    <w:rsid w:val="34F133D9"/>
    <w:rsid w:val="351C9BEF"/>
    <w:rsid w:val="35414FF0"/>
    <w:rsid w:val="35E8BB4E"/>
    <w:rsid w:val="35ED6B38"/>
    <w:rsid w:val="363512E3"/>
    <w:rsid w:val="363512E3"/>
    <w:rsid w:val="366DDAE3"/>
    <w:rsid w:val="370D51D0"/>
    <w:rsid w:val="37F31134"/>
    <w:rsid w:val="384FE868"/>
    <w:rsid w:val="395AE3F7"/>
    <w:rsid w:val="39E3996D"/>
    <w:rsid w:val="3AA8C8E9"/>
    <w:rsid w:val="3AF6B458"/>
    <w:rsid w:val="3C309BC5"/>
    <w:rsid w:val="3E66D516"/>
    <w:rsid w:val="3F23EC61"/>
    <w:rsid w:val="3F585A93"/>
    <w:rsid w:val="3FCA257B"/>
    <w:rsid w:val="3FE97D1A"/>
    <w:rsid w:val="4095A4FF"/>
    <w:rsid w:val="40BFBCC2"/>
    <w:rsid w:val="425A2E8F"/>
    <w:rsid w:val="425B8D23"/>
    <w:rsid w:val="42E19792"/>
    <w:rsid w:val="43E04416"/>
    <w:rsid w:val="43F5FEF0"/>
    <w:rsid w:val="4454DF90"/>
    <w:rsid w:val="44BCEE3D"/>
    <w:rsid w:val="452E6B70"/>
    <w:rsid w:val="459E8EE1"/>
    <w:rsid w:val="45BE55AE"/>
    <w:rsid w:val="45F0AFF1"/>
    <w:rsid w:val="45F9BF69"/>
    <w:rsid w:val="46CA3BD1"/>
    <w:rsid w:val="46EF220A"/>
    <w:rsid w:val="470706FA"/>
    <w:rsid w:val="478A40DA"/>
    <w:rsid w:val="47BF928B"/>
    <w:rsid w:val="492F5B3A"/>
    <w:rsid w:val="4962065C"/>
    <w:rsid w:val="49A42117"/>
    <w:rsid w:val="4AC1E19C"/>
    <w:rsid w:val="4AFA1869"/>
    <w:rsid w:val="4C5BF4DD"/>
    <w:rsid w:val="4C781154"/>
    <w:rsid w:val="4C999C0F"/>
    <w:rsid w:val="4D397D55"/>
    <w:rsid w:val="4DF7C53E"/>
    <w:rsid w:val="4E6D51B4"/>
    <w:rsid w:val="4EF8F082"/>
    <w:rsid w:val="4F502B89"/>
    <w:rsid w:val="506CF86C"/>
    <w:rsid w:val="508E7287"/>
    <w:rsid w:val="50CD3373"/>
    <w:rsid w:val="50FA40D5"/>
    <w:rsid w:val="5214DBFE"/>
    <w:rsid w:val="528AB1DA"/>
    <w:rsid w:val="54B44F3F"/>
    <w:rsid w:val="554C7CC0"/>
    <w:rsid w:val="560C81C9"/>
    <w:rsid w:val="572A255F"/>
    <w:rsid w:val="581BAEA5"/>
    <w:rsid w:val="583C2F69"/>
    <w:rsid w:val="587D3EB2"/>
    <w:rsid w:val="590B61EC"/>
    <w:rsid w:val="591407C0"/>
    <w:rsid w:val="591A8BA2"/>
    <w:rsid w:val="5944D03C"/>
    <w:rsid w:val="5963335F"/>
    <w:rsid w:val="5987C062"/>
    <w:rsid w:val="59F9ADD5"/>
    <w:rsid w:val="5A06C586"/>
    <w:rsid w:val="5A8351C4"/>
    <w:rsid w:val="5AB65C03"/>
    <w:rsid w:val="5ADFF2EC"/>
    <w:rsid w:val="5B828531"/>
    <w:rsid w:val="5BAC8643"/>
    <w:rsid w:val="5BB4DF74"/>
    <w:rsid w:val="5D578EA5"/>
    <w:rsid w:val="5DE778E3"/>
    <w:rsid w:val="5DEFF503"/>
    <w:rsid w:val="5E1793AE"/>
    <w:rsid w:val="5E49490B"/>
    <w:rsid w:val="5EF35F06"/>
    <w:rsid w:val="5F14E15B"/>
    <w:rsid w:val="5F548EE3"/>
    <w:rsid w:val="5F56C2E7"/>
    <w:rsid w:val="603173EB"/>
    <w:rsid w:val="603173EB"/>
    <w:rsid w:val="60557A03"/>
    <w:rsid w:val="606216EB"/>
    <w:rsid w:val="60AC83D7"/>
    <w:rsid w:val="60D107A5"/>
    <w:rsid w:val="614F3470"/>
    <w:rsid w:val="619EA7A0"/>
    <w:rsid w:val="61F2F5A5"/>
    <w:rsid w:val="626CD806"/>
    <w:rsid w:val="62818988"/>
    <w:rsid w:val="63229E76"/>
    <w:rsid w:val="63E42499"/>
    <w:rsid w:val="6413FE4B"/>
    <w:rsid w:val="6444938B"/>
    <w:rsid w:val="6528EB26"/>
    <w:rsid w:val="65C3D067"/>
    <w:rsid w:val="65F229DF"/>
    <w:rsid w:val="6713732E"/>
    <w:rsid w:val="696CBC86"/>
    <w:rsid w:val="6A7FD771"/>
    <w:rsid w:val="6B91E17B"/>
    <w:rsid w:val="6BD0B14C"/>
    <w:rsid w:val="6C2D7780"/>
    <w:rsid w:val="6C38A191"/>
    <w:rsid w:val="6CEC8E10"/>
    <w:rsid w:val="6DC518BE"/>
    <w:rsid w:val="6DD471F2"/>
    <w:rsid w:val="6ED83743"/>
    <w:rsid w:val="6ED83743"/>
    <w:rsid w:val="6F43F75D"/>
    <w:rsid w:val="6F704253"/>
    <w:rsid w:val="6F72A033"/>
    <w:rsid w:val="6FE3F761"/>
    <w:rsid w:val="7065529E"/>
    <w:rsid w:val="70E7C046"/>
    <w:rsid w:val="710E7094"/>
    <w:rsid w:val="72185425"/>
    <w:rsid w:val="72317C82"/>
    <w:rsid w:val="723BCA3B"/>
    <w:rsid w:val="723FF2D0"/>
    <w:rsid w:val="7369672F"/>
    <w:rsid w:val="73D79A9C"/>
    <w:rsid w:val="7426B9B7"/>
    <w:rsid w:val="754DFCA9"/>
    <w:rsid w:val="75736AFD"/>
    <w:rsid w:val="76953728"/>
    <w:rsid w:val="76E2CCD7"/>
    <w:rsid w:val="7729267B"/>
    <w:rsid w:val="77B579E7"/>
    <w:rsid w:val="78FA2ADA"/>
    <w:rsid w:val="794861E1"/>
    <w:rsid w:val="79E38630"/>
    <w:rsid w:val="7A95FB3B"/>
    <w:rsid w:val="7B3EC7A8"/>
    <w:rsid w:val="7BBF366B"/>
    <w:rsid w:val="7BCDACB9"/>
    <w:rsid w:val="7C51233B"/>
    <w:rsid w:val="7C88EB0A"/>
    <w:rsid w:val="7D7B03F8"/>
    <w:rsid w:val="7DC6434E"/>
    <w:rsid w:val="7DECF39C"/>
    <w:rsid w:val="7E82139B"/>
    <w:rsid w:val="7EE82BB5"/>
    <w:rsid w:val="7EF6D72D"/>
    <w:rsid w:val="7F6A01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1C9BEF"/>
  <w15:chartTrackingRefBased/>
  <w15:docId w15:val="{9EF86655-2C7B-427C-A924-278190C88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957B7"/>
    <w:pPr>
      <w:tabs>
        <w:tab w:val="center" w:pos="4513"/>
        <w:tab w:val="right" w:pos="9026"/>
      </w:tabs>
      <w:spacing w:after="0" w:line="240" w:lineRule="auto"/>
    </w:pPr>
  </w:style>
  <w:style w:type="character" w:styleId="HeaderChar" w:customStyle="1">
    <w:name w:val="Header Char"/>
    <w:basedOn w:val="DefaultParagraphFont"/>
    <w:link w:val="Header"/>
    <w:uiPriority w:val="99"/>
    <w:rsid w:val="005957B7"/>
  </w:style>
  <w:style w:type="paragraph" w:styleId="Footer">
    <w:name w:val="footer"/>
    <w:basedOn w:val="Normal"/>
    <w:link w:val="FooterChar"/>
    <w:uiPriority w:val="99"/>
    <w:unhideWhenUsed/>
    <w:rsid w:val="005957B7"/>
    <w:pPr>
      <w:tabs>
        <w:tab w:val="center" w:pos="4513"/>
        <w:tab w:val="right" w:pos="9026"/>
      </w:tabs>
      <w:spacing w:after="0" w:line="240" w:lineRule="auto"/>
    </w:pPr>
  </w:style>
  <w:style w:type="character" w:styleId="FooterChar" w:customStyle="1">
    <w:name w:val="Footer Char"/>
    <w:basedOn w:val="DefaultParagraphFont"/>
    <w:link w:val="Footer"/>
    <w:uiPriority w:val="99"/>
    <w:rsid w:val="005957B7"/>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19/09/relationships/intelligence" Target="intelligence.xml" Id="Rfae951d1aa5d4e42" /><Relationship Type="http://schemas.openxmlformats.org/officeDocument/2006/relationships/numbering" Target="numbering.xml" Id="Rd78711fc422f4f45" /><Relationship Type="http://schemas.openxmlformats.org/officeDocument/2006/relationships/hyperlink" Target="https://assets.publishing.service.gov.uk/government/uploads/system/uploads/attachment_data/file/942454/Working_together_to_safeguard_children_inter_agency_guidance.pdf" TargetMode="External" Id="R1d19382c0d484c3d" /><Relationship Type="http://schemas.openxmlformats.org/officeDocument/2006/relationships/hyperlink" Target="https://doi.org/10.4324/9781315191669" TargetMode="External" Id="R466cac6f4cdc4525" /><Relationship Type="http://schemas.openxmlformats.org/officeDocument/2006/relationships/hyperlink" Target="https://assets.publishing.service.gov.uk/government/uploads/system/uploads/attachment_data/file/942454/Working_together_to_safeguard_children_inter_agency_guidance.pdf" TargetMode="External" Id="R93401300e09d44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13</revision>
  <dcterms:created xsi:type="dcterms:W3CDTF">2022-02-27T20:59:00.0000000Z</dcterms:created>
  <dcterms:modified xsi:type="dcterms:W3CDTF">2022-03-17T21:08:04.4338690Z</dcterms:modified>
</coreProperties>
</file>