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55D0CA" w14:textId="77777777" w:rsidR="008E13F6" w:rsidRPr="008E13F6" w:rsidRDefault="008E13F6">
      <w:pPr>
        <w:pStyle w:val="Heading1"/>
      </w:pPr>
    </w:p>
    <w:sdt>
      <w:sdtPr>
        <w:rPr>
          <w:rFonts w:ascii="Arial" w:hAnsi="Arial" w:cs="Arial"/>
          <w:kern w:val="2"/>
          <w:sz w:val="24"/>
          <w:szCs w:val="24"/>
          <w:lang w:val="en-GB" w:eastAsia="zh-CN"/>
          <w14:ligatures w14:val="standardContextual"/>
        </w:rPr>
        <w:id w:val="459547944"/>
        <w:docPartObj>
          <w:docPartGallery w:val="Cover Pages"/>
          <w:docPartUnique/>
        </w:docPartObj>
      </w:sdtPr>
      <w:sdtEndPr>
        <w:rPr>
          <w:kern w:val="0"/>
          <w:szCs w:val="22"/>
          <w:lang w:eastAsia="en-US"/>
          <w14:ligatures w14:val="none"/>
        </w:rPr>
      </w:sdtEndPr>
      <w:sdtContent>
        <w:p w14:paraId="46272310" w14:textId="77777777" w:rsidR="008E13F6" w:rsidRPr="008E13F6" w:rsidRDefault="008E13F6" w:rsidP="008E13F6">
          <w:pPr>
            <w:pStyle w:val="NoSpacing"/>
            <w:spacing w:line="360" w:lineRule="auto"/>
            <w:jc w:val="both"/>
            <w:rPr>
              <w:rFonts w:ascii="Arial" w:hAnsi="Arial" w:cs="Arial"/>
              <w:sz w:val="24"/>
              <w:szCs w:val="24"/>
              <w:lang w:val="en-GB"/>
            </w:rPr>
          </w:pPr>
          <w:r w:rsidRPr="008E13F6">
            <w:rPr>
              <w:rFonts w:ascii="Arial" w:hAnsi="Arial" w:cs="Arial"/>
              <w:noProof/>
              <w:sz w:val="24"/>
              <w:szCs w:val="24"/>
              <w:lang w:val="en-GB"/>
            </w:rPr>
            <mc:AlternateContent>
              <mc:Choice Requires="wpg">
                <w:drawing>
                  <wp:anchor distT="0" distB="0" distL="114300" distR="114300" simplePos="0" relativeHeight="251652608" behindDoc="1" locked="0" layoutInCell="1" allowOverlap="1" wp14:anchorId="478A4E23" wp14:editId="1FE4651D">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6-07-01T00:00:00Z">
                                      <w:dateFormat w:val="M/d/yyyy"/>
                                      <w:lid w:val="en-US"/>
                                      <w:storeMappedDataAs w:val="dateTime"/>
                                      <w:calendar w:val="gregorian"/>
                                    </w:date>
                                  </w:sdtPr>
                                  <w:sdtContent>
                                    <w:p w14:paraId="1D697C9B" w14:textId="75B5074D" w:rsidR="008E13F6" w:rsidRPr="008E13F6" w:rsidRDefault="008E13F6" w:rsidP="008E13F6">
                                      <w:pPr>
                                        <w:pStyle w:val="NoSpacing"/>
                                        <w:jc w:val="right"/>
                                        <w:rPr>
                                          <w:color w:val="FFFFFF" w:themeColor="background1"/>
                                          <w:sz w:val="28"/>
                                          <w:szCs w:val="28"/>
                                          <w:lang w:val="en-GB"/>
                                        </w:rPr>
                                      </w:pPr>
                                      <w:r w:rsidRPr="008E13F6">
                                        <w:rPr>
                                          <w:color w:val="FFFFFF" w:themeColor="background1"/>
                                          <w:sz w:val="28"/>
                                          <w:szCs w:val="28"/>
                                          <w:lang w:val="en-GB"/>
                                        </w:rPr>
                                        <w:t>7/1/2026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8A4E23" id="Group 26" o:spid="_x0000_s1026" style="position:absolute;left:0;text-align:left;margin-left:0;margin-top:0;width:172.8pt;height:718.55pt;z-index:-25166387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6-07-01T00:00:00Z">
                                <w:dateFormat w:val="M/d/yyyy"/>
                                <w:lid w:val="en-US"/>
                                <w:storeMappedDataAs w:val="dateTime"/>
                                <w:calendar w:val="gregorian"/>
                              </w:date>
                            </w:sdtPr>
                            <w:sdtContent>
                              <w:p w14:paraId="1D697C9B" w14:textId="75B5074D" w:rsidR="008E13F6" w:rsidRPr="008E13F6" w:rsidRDefault="008E13F6" w:rsidP="008E13F6">
                                <w:pPr>
                                  <w:pStyle w:val="NoSpacing"/>
                                  <w:jc w:val="right"/>
                                  <w:rPr>
                                    <w:color w:val="FFFFFF" w:themeColor="background1"/>
                                    <w:sz w:val="28"/>
                                    <w:szCs w:val="28"/>
                                    <w:lang w:val="en-GB"/>
                                  </w:rPr>
                                </w:pPr>
                                <w:r w:rsidRPr="008E13F6">
                                  <w:rPr>
                                    <w:color w:val="FFFFFF" w:themeColor="background1"/>
                                    <w:sz w:val="28"/>
                                    <w:szCs w:val="28"/>
                                    <w:lang w:val="en-GB"/>
                                  </w:rPr>
                                  <w:t>7/1/2026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E13F6">
            <w:rPr>
              <w:rFonts w:ascii="Arial" w:hAnsi="Arial" w:cs="Arial"/>
              <w:noProof/>
              <w:sz w:val="24"/>
              <w:szCs w:val="24"/>
              <w:lang w:val="en-GB"/>
            </w:rPr>
            <mc:AlternateContent>
              <mc:Choice Requires="wps">
                <w:drawing>
                  <wp:anchor distT="0" distB="0" distL="114300" distR="114300" simplePos="0" relativeHeight="251658752" behindDoc="0" locked="0" layoutInCell="1" allowOverlap="1" wp14:anchorId="1807DF8E" wp14:editId="01181226">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34AC28" w14:textId="77777777" w:rsidR="008E13F6" w:rsidRPr="008E13F6" w:rsidRDefault="008E13F6" w:rsidP="008E13F6">
                                <w:pPr>
                                  <w:pStyle w:val="NoSpacing"/>
                                  <w:rPr>
                                    <w:color w:val="4F81BD" w:themeColor="accent1"/>
                                    <w:sz w:val="26"/>
                                    <w:szCs w:val="26"/>
                                    <w:lang w:val="en-GB"/>
                                  </w:rPr>
                                </w:pPr>
                                <w:r w:rsidRPr="008E13F6">
                                  <w:rPr>
                                    <w:color w:val="4F81BD" w:themeColor="accent1"/>
                                    <w:sz w:val="26"/>
                                    <w:szCs w:val="26"/>
                                    <w:lang w:val="en-GB"/>
                                  </w:rPr>
                                  <w:t>University of Wales Trinity Saint David</w:t>
                                </w:r>
                              </w:p>
                              <w:p w14:paraId="27BD6229" w14:textId="77777777" w:rsidR="008E13F6" w:rsidRPr="008E13F6" w:rsidRDefault="00000000" w:rsidP="008E13F6">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8E13F6" w:rsidRPr="008E13F6">
                                      <w:rPr>
                                        <w:caps/>
                                        <w:color w:val="595959" w:themeColor="text1" w:themeTint="A6"/>
                                        <w:sz w:val="20"/>
                                        <w:szCs w:val="20"/>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807DF8E"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75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834AC28" w14:textId="77777777" w:rsidR="008E13F6" w:rsidRPr="008E13F6" w:rsidRDefault="008E13F6" w:rsidP="008E13F6">
                          <w:pPr>
                            <w:pStyle w:val="NoSpacing"/>
                            <w:rPr>
                              <w:color w:val="4F81BD" w:themeColor="accent1"/>
                              <w:sz w:val="26"/>
                              <w:szCs w:val="26"/>
                              <w:lang w:val="en-GB"/>
                            </w:rPr>
                          </w:pPr>
                          <w:r w:rsidRPr="008E13F6">
                            <w:rPr>
                              <w:color w:val="4F81BD" w:themeColor="accent1"/>
                              <w:sz w:val="26"/>
                              <w:szCs w:val="26"/>
                              <w:lang w:val="en-GB"/>
                            </w:rPr>
                            <w:t>University of Wales Trinity Saint David</w:t>
                          </w:r>
                        </w:p>
                        <w:p w14:paraId="27BD6229" w14:textId="77777777" w:rsidR="008E13F6" w:rsidRPr="008E13F6" w:rsidRDefault="00000000" w:rsidP="008E13F6">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8E13F6" w:rsidRPr="008E13F6">
                                <w:rPr>
                                  <w:caps/>
                                  <w:color w:val="595959" w:themeColor="text1" w:themeTint="A6"/>
                                  <w:sz w:val="20"/>
                                  <w:szCs w:val="20"/>
                                  <w:lang w:val="en-GB"/>
                                </w:rPr>
                                <w:t xml:space="preserve">     </w:t>
                              </w:r>
                            </w:sdtContent>
                          </w:sdt>
                        </w:p>
                      </w:txbxContent>
                    </v:textbox>
                    <w10:wrap anchorx="page" anchory="page"/>
                  </v:shape>
                </w:pict>
              </mc:Fallback>
            </mc:AlternateContent>
          </w:r>
        </w:p>
        <w:p w14:paraId="6678E8DD" w14:textId="34FB3C2C" w:rsidR="008E13F6" w:rsidRPr="008E13F6" w:rsidRDefault="00043352" w:rsidP="008E13F6">
          <w:pPr>
            <w:rPr>
              <w:rFonts w:cs="Arial"/>
            </w:rPr>
          </w:pPr>
          <w:r w:rsidRPr="008E13F6">
            <w:rPr>
              <w:rFonts w:cs="Arial"/>
              <w:noProof/>
            </w:rPr>
            <mc:AlternateContent>
              <mc:Choice Requires="wps">
                <w:drawing>
                  <wp:anchor distT="45720" distB="45720" distL="114300" distR="114300" simplePos="0" relativeHeight="251661824" behindDoc="0" locked="0" layoutInCell="1" allowOverlap="1" wp14:anchorId="3535B3C2" wp14:editId="445BC035">
                    <wp:simplePos x="0" y="0"/>
                    <wp:positionH relativeFrom="margin">
                      <wp:posOffset>1976755</wp:posOffset>
                    </wp:positionH>
                    <wp:positionV relativeFrom="paragraph">
                      <wp:posOffset>2842895</wp:posOffset>
                    </wp:positionV>
                    <wp:extent cx="4010025" cy="26289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0025" cy="2628900"/>
                            </a:xfrm>
                            <a:prstGeom prst="rect">
                              <a:avLst/>
                            </a:prstGeom>
                            <a:solidFill>
                              <a:srgbClr val="FFFFFF"/>
                            </a:solidFill>
                            <a:ln w="9525">
                              <a:solidFill>
                                <a:srgbClr val="000000"/>
                              </a:solidFill>
                              <a:miter lim="800000"/>
                              <a:headEnd/>
                              <a:tailEnd/>
                            </a:ln>
                          </wps:spPr>
                          <wps:txbx>
                            <w:txbxContent>
                              <w:p w14:paraId="1C08CF1A" w14:textId="77777777" w:rsidR="000D536A" w:rsidRDefault="000D536A" w:rsidP="008E13F6"/>
                              <w:p w14:paraId="25D33527" w14:textId="153C44F1" w:rsidR="008E13F6" w:rsidRPr="008E13F6" w:rsidRDefault="008E13F6" w:rsidP="00043352">
                                <w:pPr>
                                  <w:jc w:val="left"/>
                                </w:pPr>
                                <w:r w:rsidRPr="008E13F6">
                                  <w:t xml:space="preserve">Module </w:t>
                                </w:r>
                                <w:r w:rsidR="003543C9" w:rsidRPr="008E13F6">
                                  <w:t>Name:</w:t>
                                </w:r>
                                <w:r w:rsidR="003543C9">
                                  <w:t xml:space="preserve"> DATA</w:t>
                                </w:r>
                                <w:r w:rsidR="000D536A">
                                  <w:t xml:space="preserve"> </w:t>
                                </w:r>
                                <w:r w:rsidR="00321A69">
                                  <w:t>SECU</w:t>
                                </w:r>
                                <w:r w:rsidR="006500DB">
                                  <w:t>RITY AND COMPLIANCE REPORT</w:t>
                                </w:r>
                              </w:p>
                              <w:p w14:paraId="32AAEBBD" w14:textId="77777777" w:rsidR="008E13F6" w:rsidRPr="008E13F6" w:rsidRDefault="008E13F6" w:rsidP="008E13F6">
                                <w:r w:rsidRPr="008E13F6">
                                  <w:t xml:space="preserve">Module Code: </w:t>
                                </w:r>
                                <w:r w:rsidRPr="008E13F6">
                                  <w:rPr>
                                    <w:rFonts w:asciiTheme="minorHAnsi" w:hAnsiTheme="minorHAnsi"/>
                                    <w:szCs w:val="24"/>
                                  </w:rPr>
                                  <w:t>ACCA5034_LON</w:t>
                                </w:r>
                              </w:p>
                              <w:p w14:paraId="622291F1" w14:textId="77777777" w:rsidR="008E13F6" w:rsidRPr="008E13F6" w:rsidRDefault="008E13F6" w:rsidP="008E13F6">
                                <w:r w:rsidRPr="008E13F6">
                                  <w:t>Student Name: Murat Yalcin</w:t>
                                </w:r>
                              </w:p>
                              <w:p w14:paraId="041926FA" w14:textId="77A2BDF9" w:rsidR="008E13F6" w:rsidRPr="008E13F6" w:rsidRDefault="008E13F6" w:rsidP="008E13F6">
                                <w:r w:rsidRPr="008E13F6">
                                  <w:t>Student ID: 2428668</w:t>
                                </w:r>
                              </w:p>
                              <w:p w14:paraId="53F8E68A" w14:textId="77777777" w:rsidR="008E13F6" w:rsidRPr="008E13F6" w:rsidRDefault="008E13F6" w:rsidP="008E13F6">
                                <w:r w:rsidRPr="008E13F6">
                                  <w:t>Lecturer’s Name: Dr Ayman El Hajjar</w:t>
                                </w:r>
                              </w:p>
                              <w:p w14:paraId="0EB10BEF" w14:textId="77777777" w:rsidR="008E13F6" w:rsidRPr="008E13F6" w:rsidRDefault="008E13F6" w:rsidP="008E13F6"/>
                              <w:p w14:paraId="39239476" w14:textId="77777777" w:rsidR="008E13F6" w:rsidRPr="008E13F6" w:rsidRDefault="008E13F6" w:rsidP="008E13F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35B3C2" id="Text Box 2" o:spid="_x0000_s1056" type="#_x0000_t202" style="position:absolute;left:0;text-align:left;margin-left:155.65pt;margin-top:223.85pt;width:315.75pt;height:207pt;z-index:2516618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">
                    <v:textbox>
                      <w:txbxContent>
                        <w:p w14:paraId="1C08CF1A" w14:textId="77777777" w:rsidR="000D536A" w:rsidRDefault="000D536A" w:rsidP="008E13F6"/>
                        <w:p w14:paraId="25D33527" w14:textId="153C44F1" w:rsidR="008E13F6" w:rsidRPr="008E13F6" w:rsidRDefault="008E13F6" w:rsidP="00043352">
                          <w:pPr>
                            <w:jc w:val="left"/>
                          </w:pPr>
                          <w:r w:rsidRPr="008E13F6">
                            <w:t xml:space="preserve">Module </w:t>
                          </w:r>
                          <w:r w:rsidR="003543C9" w:rsidRPr="008E13F6">
                            <w:t>Name:</w:t>
                          </w:r>
                          <w:r w:rsidR="003543C9">
                            <w:t xml:space="preserve"> DATA</w:t>
                          </w:r>
                          <w:r w:rsidR="000D536A">
                            <w:t xml:space="preserve"> </w:t>
                          </w:r>
                          <w:r w:rsidR="00321A69">
                            <w:t>SECU</w:t>
                          </w:r>
                          <w:r w:rsidR="006500DB">
                            <w:t>RITY AND COMPLIANCE REPORT</w:t>
                          </w:r>
                        </w:p>
                        <w:p w14:paraId="32AAEBBD" w14:textId="77777777" w:rsidR="008E13F6" w:rsidRPr="008E13F6" w:rsidRDefault="008E13F6" w:rsidP="008E13F6">
                          <w:r w:rsidRPr="008E13F6">
                            <w:t xml:space="preserve">Module Code: </w:t>
                          </w:r>
                          <w:r w:rsidRPr="008E13F6">
                            <w:rPr>
                              <w:rFonts w:asciiTheme="minorHAnsi" w:hAnsiTheme="minorHAnsi"/>
                              <w:szCs w:val="24"/>
                            </w:rPr>
                            <w:t>ACCA5034_LON</w:t>
                          </w:r>
                        </w:p>
                        <w:p w14:paraId="622291F1" w14:textId="77777777" w:rsidR="008E13F6" w:rsidRPr="008E13F6" w:rsidRDefault="008E13F6" w:rsidP="008E13F6">
                          <w:r w:rsidRPr="008E13F6">
                            <w:t>Student Name: Murat Yalcin</w:t>
                          </w:r>
                        </w:p>
                        <w:p w14:paraId="041926FA" w14:textId="77A2BDF9" w:rsidR="008E13F6" w:rsidRPr="008E13F6" w:rsidRDefault="008E13F6" w:rsidP="008E13F6">
                          <w:r w:rsidRPr="008E13F6">
                            <w:t>Student ID: 2428668</w:t>
                          </w:r>
                        </w:p>
                        <w:p w14:paraId="53F8E68A" w14:textId="77777777" w:rsidR="008E13F6" w:rsidRPr="008E13F6" w:rsidRDefault="008E13F6" w:rsidP="008E13F6">
                          <w:r w:rsidRPr="008E13F6">
                            <w:t>Lecturer’s Name: Dr Ayman El Hajjar</w:t>
                          </w:r>
                        </w:p>
                        <w:p w14:paraId="0EB10BEF" w14:textId="77777777" w:rsidR="008E13F6" w:rsidRPr="008E13F6" w:rsidRDefault="008E13F6" w:rsidP="008E13F6"/>
                        <w:p w14:paraId="39239476" w14:textId="77777777" w:rsidR="008E13F6" w:rsidRPr="008E13F6" w:rsidRDefault="008E13F6" w:rsidP="008E13F6"/>
                      </w:txbxContent>
                    </v:textbox>
                    <w10:wrap type="square" anchorx="margin"/>
                  </v:shape>
                </w:pict>
              </mc:Fallback>
            </mc:AlternateContent>
          </w:r>
          <w:r w:rsidR="008E13F6" w:rsidRPr="008E13F6">
            <w:rPr>
              <w:rFonts w:cs="Arial"/>
              <w:noProof/>
            </w:rPr>
            <mc:AlternateContent>
              <mc:Choice Requires="wps">
                <w:drawing>
                  <wp:anchor distT="0" distB="0" distL="114300" distR="114300" simplePos="0" relativeHeight="251655680" behindDoc="0" locked="0" layoutInCell="1" allowOverlap="1" wp14:anchorId="137CDAD4" wp14:editId="0CA01348">
                    <wp:simplePos x="0" y="0"/>
                    <wp:positionH relativeFrom="margin">
                      <wp:posOffset>1987550</wp:posOffset>
                    </wp:positionH>
                    <wp:positionV relativeFrom="page">
                      <wp:posOffset>1606550</wp:posOffset>
                    </wp:positionV>
                    <wp:extent cx="4368800" cy="1219200"/>
                    <wp:effectExtent l="0" t="0" r="12700" b="0"/>
                    <wp:wrapNone/>
                    <wp:docPr id="1" name="Text Box 30"/>
                    <wp:cNvGraphicFramePr/>
                    <a:graphic xmlns:a="http://schemas.openxmlformats.org/drawingml/2006/main">
                      <a:graphicData uri="http://schemas.microsoft.com/office/word/2010/wordprocessingShape">
                        <wps:wsp>
                          <wps:cNvSpPr txBox="1"/>
                          <wps:spPr>
                            <a:xfrm>
                              <a:off x="0" y="0"/>
                              <a:ext cx="4368800" cy="121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430A58" w14:textId="77777777" w:rsidR="008E13F6" w:rsidRPr="008E13F6" w:rsidRDefault="008E13F6" w:rsidP="008E13F6">
                                <w:pPr>
                                  <w:spacing w:before="120"/>
                                  <w:rPr>
                                    <w:color w:val="404040" w:themeColor="text1" w:themeTint="BF"/>
                                    <w:sz w:val="36"/>
                                    <w:szCs w:val="36"/>
                                  </w:rPr>
                                </w:pPr>
                                <w:r w:rsidRPr="008E13F6">
                                  <w:rPr>
                                    <w:b/>
                                    <w:color w:val="1F497D"/>
                                    <w:sz w:val="36"/>
                                  </w:rPr>
                                  <w:t>DATA SECURITY AND COMPLIANCE REPORT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37CDAD4" id="Text Box 30" o:spid="_x0000_s1057" type="#_x0000_t202" style="position:absolute;left:0;text-align:left;margin-left:156.5pt;margin-top:126.5pt;width:344pt;height:96pt;z-index:25165568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" filled="f" stroked="f" strokeweight=".5pt">
                    <v:textbox inset="0,0,0,0">
                      <w:txbxContent>
                        <w:p w14:paraId="61430A58" w14:textId="77777777" w:rsidR="008E13F6" w:rsidRPr="008E13F6" w:rsidRDefault="008E13F6" w:rsidP="008E13F6">
                          <w:pPr>
                            <w:spacing w:before="120"/>
                            <w:rPr>
                              <w:color w:val="404040" w:themeColor="text1" w:themeTint="BF"/>
                              <w:sz w:val="36"/>
                              <w:szCs w:val="36"/>
                            </w:rPr>
                          </w:pPr>
                          <w:r w:rsidRPr="008E13F6">
                            <w:rPr>
                              <w:b/>
                              <w:color w:val="1F497D"/>
                              <w:sz w:val="36"/>
                            </w:rPr>
                            <w:t>DATA SECURITY AND COMPLIANCE REPORT</w:t>
                          </w:r>
                        </w:p>
                      </w:txbxContent>
                    </v:textbox>
                    <w10:wrap anchorx="margin" anchory="page"/>
                  </v:shape>
                </w:pict>
              </mc:Fallback>
            </mc:AlternateContent>
          </w:r>
          <w:r w:rsidR="008E13F6" w:rsidRPr="008E13F6">
            <w:rPr>
              <w:rFonts w:cs="Arial"/>
            </w:rPr>
            <w:br w:type="page"/>
          </w:r>
        </w:p>
      </w:sdtContent>
    </w:sdt>
    <w:sdt>
      <w:sdtPr>
        <w:rPr>
          <w:rFonts w:ascii="Calibri" w:eastAsiaTheme="minorEastAsia" w:hAnsi="Calibri" w:cstheme="minorBidi"/>
          <w:b w:val="0"/>
          <w:bCs w:val="0"/>
          <w:color w:val="auto"/>
          <w:sz w:val="22"/>
          <w:szCs w:val="22"/>
        </w:rPr>
        <w:id w:val="-1313169837"/>
        <w:docPartObj>
          <w:docPartGallery w:val="Table of Contents"/>
          <w:docPartUnique/>
        </w:docPartObj>
      </w:sdtPr>
      <w:sdtEndPr>
        <w:rPr>
          <w:rFonts w:ascii="Arial" w:hAnsi="Arial"/>
          <w:sz w:val="24"/>
        </w:rPr>
      </w:sdtEndPr>
      <w:sdtContent>
        <w:p w14:paraId="12015441" w14:textId="29CA81AE" w:rsidR="008E13F6" w:rsidRPr="008E13F6" w:rsidRDefault="008E13F6">
          <w:pPr>
            <w:pStyle w:val="TOCHeading"/>
          </w:pPr>
          <w:r w:rsidRPr="008E13F6">
            <w:t>Contents</w:t>
          </w:r>
        </w:p>
        <w:p w14:paraId="31995DF7" w14:textId="3D8BE332" w:rsidR="008E13F6" w:rsidRPr="008E13F6" w:rsidRDefault="008E13F6">
          <w:pPr>
            <w:pStyle w:val="TOC1"/>
            <w:tabs>
              <w:tab w:val="right" w:leader="dot" w:pos="9112"/>
            </w:tabs>
          </w:pPr>
          <w:r w:rsidRPr="008E13F6">
            <w:fldChar w:fldCharType="begin"/>
          </w:r>
          <w:r w:rsidRPr="008E13F6">
            <w:instrText xml:space="preserve"> TOC \o "1-3" \h \z \u </w:instrText>
          </w:r>
          <w:r w:rsidRPr="008E13F6">
            <w:fldChar w:fldCharType="separate"/>
          </w:r>
          <w:hyperlink w:anchor="_Toc236328092" w:history="1">
            <w:r w:rsidRPr="008E13F6">
              <w:rPr>
                <w:rStyle w:val="Hyperlink"/>
              </w:rPr>
              <w:t>Task 1: The Zero Trust Architecture – A Critical Analysis of Its Principles, Implementation Challenges, and Efficacy Compared to Traditional Models</w:t>
            </w:r>
            <w:r w:rsidRPr="008E13F6">
              <w:rPr>
                <w:webHidden/>
              </w:rPr>
              <w:tab/>
            </w:r>
            <w:r w:rsidRPr="008E13F6">
              <w:rPr>
                <w:webHidden/>
              </w:rPr>
              <w:fldChar w:fldCharType="begin"/>
            </w:r>
            <w:r w:rsidRPr="008E13F6">
              <w:rPr>
                <w:webHidden/>
              </w:rPr>
              <w:instrText xml:space="preserve"> PAGEREF _Toc236328092 \h </w:instrText>
            </w:r>
            <w:r w:rsidRPr="008E13F6">
              <w:rPr>
                <w:webHidden/>
              </w:rPr>
            </w:r>
            <w:r w:rsidRPr="008E13F6">
              <w:rPr>
                <w:webHidden/>
              </w:rPr>
              <w:fldChar w:fldCharType="separate"/>
            </w:r>
            <w:r w:rsidRPr="008E13F6">
              <w:rPr>
                <w:webHidden/>
              </w:rPr>
              <w:t>3</w:t>
            </w:r>
            <w:r w:rsidRPr="008E13F6">
              <w:rPr>
                <w:webHidden/>
              </w:rPr>
              <w:fldChar w:fldCharType="end"/>
            </w:r>
          </w:hyperlink>
        </w:p>
        <w:p w14:paraId="63B6A179" w14:textId="6ECD356F" w:rsidR="008E13F6" w:rsidRPr="008E13F6" w:rsidRDefault="008E13F6">
          <w:pPr>
            <w:pStyle w:val="TOC2"/>
            <w:tabs>
              <w:tab w:val="right" w:leader="dot" w:pos="9112"/>
            </w:tabs>
          </w:pPr>
          <w:hyperlink w:anchor="_Toc236328093" w:history="1">
            <w:r w:rsidRPr="008E13F6">
              <w:rPr>
                <w:rStyle w:val="Hyperlink"/>
              </w:rPr>
              <w:t>1.1 Introduction</w:t>
            </w:r>
            <w:r w:rsidRPr="008E13F6">
              <w:rPr>
                <w:webHidden/>
              </w:rPr>
              <w:tab/>
            </w:r>
            <w:r w:rsidRPr="008E13F6">
              <w:rPr>
                <w:webHidden/>
              </w:rPr>
              <w:fldChar w:fldCharType="begin"/>
            </w:r>
            <w:r w:rsidRPr="008E13F6">
              <w:rPr>
                <w:webHidden/>
              </w:rPr>
              <w:instrText xml:space="preserve"> PAGEREF _Toc236328093 \h </w:instrText>
            </w:r>
            <w:r w:rsidRPr="008E13F6">
              <w:rPr>
                <w:webHidden/>
              </w:rPr>
            </w:r>
            <w:r w:rsidRPr="008E13F6">
              <w:rPr>
                <w:webHidden/>
              </w:rPr>
              <w:fldChar w:fldCharType="separate"/>
            </w:r>
            <w:r w:rsidRPr="008E13F6">
              <w:rPr>
                <w:webHidden/>
              </w:rPr>
              <w:t>3</w:t>
            </w:r>
            <w:r w:rsidRPr="008E13F6">
              <w:rPr>
                <w:webHidden/>
              </w:rPr>
              <w:fldChar w:fldCharType="end"/>
            </w:r>
          </w:hyperlink>
        </w:p>
        <w:p w14:paraId="705D8981" w14:textId="6578607B" w:rsidR="008E13F6" w:rsidRPr="008E13F6" w:rsidRDefault="008E13F6">
          <w:pPr>
            <w:pStyle w:val="TOC2"/>
            <w:tabs>
              <w:tab w:val="right" w:leader="dot" w:pos="9112"/>
            </w:tabs>
          </w:pPr>
          <w:hyperlink w:anchor="_Toc236328094" w:history="1">
            <w:r w:rsidRPr="008E13F6">
              <w:rPr>
                <w:rStyle w:val="Hyperlink"/>
              </w:rPr>
              <w:t>1.2 Core Principles of Zero Trust Architecture</w:t>
            </w:r>
            <w:r w:rsidRPr="008E13F6">
              <w:rPr>
                <w:webHidden/>
              </w:rPr>
              <w:tab/>
            </w:r>
            <w:r w:rsidRPr="008E13F6">
              <w:rPr>
                <w:webHidden/>
              </w:rPr>
              <w:fldChar w:fldCharType="begin"/>
            </w:r>
            <w:r w:rsidRPr="008E13F6">
              <w:rPr>
                <w:webHidden/>
              </w:rPr>
              <w:instrText xml:space="preserve"> PAGEREF _Toc236328094 \h </w:instrText>
            </w:r>
            <w:r w:rsidRPr="008E13F6">
              <w:rPr>
                <w:webHidden/>
              </w:rPr>
            </w:r>
            <w:r w:rsidRPr="008E13F6">
              <w:rPr>
                <w:webHidden/>
              </w:rPr>
              <w:fldChar w:fldCharType="separate"/>
            </w:r>
            <w:r w:rsidRPr="008E13F6">
              <w:rPr>
                <w:webHidden/>
              </w:rPr>
              <w:t>3</w:t>
            </w:r>
            <w:r w:rsidRPr="008E13F6">
              <w:rPr>
                <w:webHidden/>
              </w:rPr>
              <w:fldChar w:fldCharType="end"/>
            </w:r>
          </w:hyperlink>
        </w:p>
        <w:p w14:paraId="4F70FEF1" w14:textId="464EFA4E" w:rsidR="008E13F6" w:rsidRPr="008E13F6" w:rsidRDefault="008E13F6">
          <w:pPr>
            <w:pStyle w:val="TOC2"/>
            <w:tabs>
              <w:tab w:val="right" w:leader="dot" w:pos="9112"/>
            </w:tabs>
          </w:pPr>
          <w:hyperlink w:anchor="_Toc236328095" w:history="1">
            <w:r w:rsidRPr="008E13F6">
              <w:rPr>
                <w:rStyle w:val="Hyperlink"/>
              </w:rPr>
              <w:t>1.3 Comparative Analysis: ZTA vs. Traditional Perimeter-Based Models</w:t>
            </w:r>
            <w:r w:rsidRPr="008E13F6">
              <w:rPr>
                <w:webHidden/>
              </w:rPr>
              <w:tab/>
            </w:r>
            <w:r w:rsidRPr="008E13F6">
              <w:rPr>
                <w:webHidden/>
              </w:rPr>
              <w:fldChar w:fldCharType="begin"/>
            </w:r>
            <w:r w:rsidRPr="008E13F6">
              <w:rPr>
                <w:webHidden/>
              </w:rPr>
              <w:instrText xml:space="preserve"> PAGEREF _Toc236328095 \h </w:instrText>
            </w:r>
            <w:r w:rsidRPr="008E13F6">
              <w:rPr>
                <w:webHidden/>
              </w:rPr>
            </w:r>
            <w:r w:rsidRPr="008E13F6">
              <w:rPr>
                <w:webHidden/>
              </w:rPr>
              <w:fldChar w:fldCharType="separate"/>
            </w:r>
            <w:r w:rsidRPr="008E13F6">
              <w:rPr>
                <w:webHidden/>
              </w:rPr>
              <w:t>4</w:t>
            </w:r>
            <w:r w:rsidRPr="008E13F6">
              <w:rPr>
                <w:webHidden/>
              </w:rPr>
              <w:fldChar w:fldCharType="end"/>
            </w:r>
          </w:hyperlink>
        </w:p>
        <w:p w14:paraId="3CF13EBD" w14:textId="21FF45A6" w:rsidR="008E13F6" w:rsidRPr="008E13F6" w:rsidRDefault="008E13F6">
          <w:pPr>
            <w:pStyle w:val="TOC2"/>
            <w:tabs>
              <w:tab w:val="right" w:leader="dot" w:pos="9112"/>
            </w:tabs>
          </w:pPr>
          <w:hyperlink w:anchor="_Toc236328096" w:history="1">
            <w:r w:rsidRPr="008E13F6">
              <w:rPr>
                <w:rStyle w:val="Hyperlink"/>
              </w:rPr>
              <w:t>1.4 Implementation Challenges</w:t>
            </w:r>
            <w:r w:rsidRPr="008E13F6">
              <w:rPr>
                <w:webHidden/>
              </w:rPr>
              <w:tab/>
            </w:r>
            <w:r w:rsidRPr="008E13F6">
              <w:rPr>
                <w:webHidden/>
              </w:rPr>
              <w:fldChar w:fldCharType="begin"/>
            </w:r>
            <w:r w:rsidRPr="008E13F6">
              <w:rPr>
                <w:webHidden/>
              </w:rPr>
              <w:instrText xml:space="preserve"> PAGEREF _Toc236328096 \h </w:instrText>
            </w:r>
            <w:r w:rsidRPr="008E13F6">
              <w:rPr>
                <w:webHidden/>
              </w:rPr>
            </w:r>
            <w:r w:rsidRPr="008E13F6">
              <w:rPr>
                <w:webHidden/>
              </w:rPr>
              <w:fldChar w:fldCharType="separate"/>
            </w:r>
            <w:r w:rsidRPr="008E13F6">
              <w:rPr>
                <w:webHidden/>
              </w:rPr>
              <w:t>5</w:t>
            </w:r>
            <w:r w:rsidRPr="008E13F6">
              <w:rPr>
                <w:webHidden/>
              </w:rPr>
              <w:fldChar w:fldCharType="end"/>
            </w:r>
          </w:hyperlink>
        </w:p>
        <w:p w14:paraId="0E00B4AD" w14:textId="3054638F" w:rsidR="008E13F6" w:rsidRPr="008E13F6" w:rsidRDefault="008E13F6">
          <w:pPr>
            <w:pStyle w:val="TOC2"/>
            <w:tabs>
              <w:tab w:val="right" w:leader="dot" w:pos="9112"/>
            </w:tabs>
          </w:pPr>
          <w:hyperlink w:anchor="_Toc236328097" w:history="1">
            <w:r w:rsidRPr="008E13F6">
              <w:rPr>
                <w:rStyle w:val="Hyperlink"/>
              </w:rPr>
              <w:t>1.5 Critical Evaluation and Conclusion</w:t>
            </w:r>
            <w:r w:rsidRPr="008E13F6">
              <w:rPr>
                <w:webHidden/>
              </w:rPr>
              <w:tab/>
            </w:r>
            <w:r w:rsidRPr="008E13F6">
              <w:rPr>
                <w:webHidden/>
              </w:rPr>
              <w:fldChar w:fldCharType="begin"/>
            </w:r>
            <w:r w:rsidRPr="008E13F6">
              <w:rPr>
                <w:webHidden/>
              </w:rPr>
              <w:instrText xml:space="preserve"> PAGEREF _Toc236328097 \h </w:instrText>
            </w:r>
            <w:r w:rsidRPr="008E13F6">
              <w:rPr>
                <w:webHidden/>
              </w:rPr>
            </w:r>
            <w:r w:rsidRPr="008E13F6">
              <w:rPr>
                <w:webHidden/>
              </w:rPr>
              <w:fldChar w:fldCharType="separate"/>
            </w:r>
            <w:r w:rsidRPr="008E13F6">
              <w:rPr>
                <w:webHidden/>
              </w:rPr>
              <w:t>6</w:t>
            </w:r>
            <w:r w:rsidRPr="008E13F6">
              <w:rPr>
                <w:webHidden/>
              </w:rPr>
              <w:fldChar w:fldCharType="end"/>
            </w:r>
          </w:hyperlink>
        </w:p>
        <w:p w14:paraId="4C20066C" w14:textId="28148D7B" w:rsidR="008E13F6" w:rsidRPr="008E13F6" w:rsidRDefault="008E13F6">
          <w:pPr>
            <w:pStyle w:val="TOC1"/>
            <w:tabs>
              <w:tab w:val="right" w:leader="dot" w:pos="9112"/>
            </w:tabs>
          </w:pPr>
          <w:hyperlink w:anchor="_Toc236328098" w:history="1">
            <w:r w:rsidRPr="008E13F6">
              <w:rPr>
                <w:rStyle w:val="Hyperlink"/>
              </w:rPr>
              <w:t>Task 2: Equifax 2017 Data Breach – Designing a Structured Cybersecurity Programme</w:t>
            </w:r>
            <w:r w:rsidRPr="008E13F6">
              <w:rPr>
                <w:webHidden/>
              </w:rPr>
              <w:tab/>
            </w:r>
            <w:r w:rsidRPr="008E13F6">
              <w:rPr>
                <w:webHidden/>
              </w:rPr>
              <w:fldChar w:fldCharType="begin"/>
            </w:r>
            <w:r w:rsidRPr="008E13F6">
              <w:rPr>
                <w:webHidden/>
              </w:rPr>
              <w:instrText xml:space="preserve"> PAGEREF _Toc236328098 \h </w:instrText>
            </w:r>
            <w:r w:rsidRPr="008E13F6">
              <w:rPr>
                <w:webHidden/>
              </w:rPr>
            </w:r>
            <w:r w:rsidRPr="008E13F6">
              <w:rPr>
                <w:webHidden/>
              </w:rPr>
              <w:fldChar w:fldCharType="separate"/>
            </w:r>
            <w:r w:rsidRPr="008E13F6">
              <w:rPr>
                <w:webHidden/>
              </w:rPr>
              <w:t>7</w:t>
            </w:r>
            <w:r w:rsidRPr="008E13F6">
              <w:rPr>
                <w:webHidden/>
              </w:rPr>
              <w:fldChar w:fldCharType="end"/>
            </w:r>
          </w:hyperlink>
        </w:p>
        <w:p w14:paraId="03A33235" w14:textId="6F4A7BCB" w:rsidR="008E13F6" w:rsidRPr="008E13F6" w:rsidRDefault="008E13F6">
          <w:pPr>
            <w:pStyle w:val="TOC2"/>
            <w:tabs>
              <w:tab w:val="right" w:leader="dot" w:pos="9112"/>
            </w:tabs>
          </w:pPr>
          <w:hyperlink w:anchor="_Toc236328099" w:history="1">
            <w:r w:rsidRPr="008E13F6">
              <w:rPr>
                <w:rStyle w:val="Hyperlink"/>
              </w:rPr>
              <w:t>Background</w:t>
            </w:r>
            <w:r w:rsidRPr="008E13F6">
              <w:rPr>
                <w:webHidden/>
              </w:rPr>
              <w:tab/>
            </w:r>
            <w:r w:rsidRPr="008E13F6">
              <w:rPr>
                <w:webHidden/>
              </w:rPr>
              <w:fldChar w:fldCharType="begin"/>
            </w:r>
            <w:r w:rsidRPr="008E13F6">
              <w:rPr>
                <w:webHidden/>
              </w:rPr>
              <w:instrText xml:space="preserve"> PAGEREF _Toc236328099 \h </w:instrText>
            </w:r>
            <w:r w:rsidRPr="008E13F6">
              <w:rPr>
                <w:webHidden/>
              </w:rPr>
            </w:r>
            <w:r w:rsidRPr="008E13F6">
              <w:rPr>
                <w:webHidden/>
              </w:rPr>
              <w:fldChar w:fldCharType="separate"/>
            </w:r>
            <w:r w:rsidRPr="008E13F6">
              <w:rPr>
                <w:webHidden/>
              </w:rPr>
              <w:t>7</w:t>
            </w:r>
            <w:r w:rsidRPr="008E13F6">
              <w:rPr>
                <w:webHidden/>
              </w:rPr>
              <w:fldChar w:fldCharType="end"/>
            </w:r>
          </w:hyperlink>
        </w:p>
        <w:p w14:paraId="26C9CDFB" w14:textId="0B0F3CE6" w:rsidR="008E13F6" w:rsidRPr="008E13F6" w:rsidRDefault="008E13F6">
          <w:pPr>
            <w:pStyle w:val="TOC2"/>
            <w:tabs>
              <w:tab w:val="right" w:leader="dot" w:pos="9112"/>
            </w:tabs>
          </w:pPr>
          <w:hyperlink w:anchor="_Toc236328100" w:history="1">
            <w:r w:rsidRPr="008E13F6">
              <w:rPr>
                <w:rStyle w:val="Hyperlink"/>
              </w:rPr>
              <w:t>2.1 Organisational Structure and Accountability</w:t>
            </w:r>
            <w:r w:rsidRPr="008E13F6">
              <w:rPr>
                <w:webHidden/>
              </w:rPr>
              <w:tab/>
            </w:r>
            <w:r w:rsidRPr="008E13F6">
              <w:rPr>
                <w:webHidden/>
              </w:rPr>
              <w:fldChar w:fldCharType="begin"/>
            </w:r>
            <w:r w:rsidRPr="008E13F6">
              <w:rPr>
                <w:webHidden/>
              </w:rPr>
              <w:instrText xml:space="preserve"> PAGEREF _Toc236328100 \h </w:instrText>
            </w:r>
            <w:r w:rsidRPr="008E13F6">
              <w:rPr>
                <w:webHidden/>
              </w:rPr>
            </w:r>
            <w:r w:rsidRPr="008E13F6">
              <w:rPr>
                <w:webHidden/>
              </w:rPr>
              <w:fldChar w:fldCharType="separate"/>
            </w:r>
            <w:r w:rsidRPr="008E13F6">
              <w:rPr>
                <w:webHidden/>
              </w:rPr>
              <w:t>7</w:t>
            </w:r>
            <w:r w:rsidRPr="008E13F6">
              <w:rPr>
                <w:webHidden/>
              </w:rPr>
              <w:fldChar w:fldCharType="end"/>
            </w:r>
          </w:hyperlink>
        </w:p>
        <w:p w14:paraId="26EFEEE7" w14:textId="2DBAE0BE" w:rsidR="008E13F6" w:rsidRPr="008E13F6" w:rsidRDefault="008E13F6">
          <w:pPr>
            <w:pStyle w:val="TOC2"/>
            <w:tabs>
              <w:tab w:val="right" w:leader="dot" w:pos="9112"/>
            </w:tabs>
          </w:pPr>
          <w:hyperlink w:anchor="_Toc236328101" w:history="1">
            <w:r w:rsidRPr="008E13F6">
              <w:rPr>
                <w:rStyle w:val="Hyperlink"/>
              </w:rPr>
              <w:t>2.2 Policies and Procedures</w:t>
            </w:r>
            <w:r w:rsidRPr="008E13F6">
              <w:rPr>
                <w:webHidden/>
              </w:rPr>
              <w:tab/>
            </w:r>
            <w:r w:rsidRPr="008E13F6">
              <w:rPr>
                <w:webHidden/>
              </w:rPr>
              <w:fldChar w:fldCharType="begin"/>
            </w:r>
            <w:r w:rsidRPr="008E13F6">
              <w:rPr>
                <w:webHidden/>
              </w:rPr>
              <w:instrText xml:space="preserve"> PAGEREF _Toc236328101 \h </w:instrText>
            </w:r>
            <w:r w:rsidRPr="008E13F6">
              <w:rPr>
                <w:webHidden/>
              </w:rPr>
            </w:r>
            <w:r w:rsidRPr="008E13F6">
              <w:rPr>
                <w:webHidden/>
              </w:rPr>
              <w:fldChar w:fldCharType="separate"/>
            </w:r>
            <w:r w:rsidRPr="008E13F6">
              <w:rPr>
                <w:webHidden/>
              </w:rPr>
              <w:t>8</w:t>
            </w:r>
            <w:r w:rsidRPr="008E13F6">
              <w:rPr>
                <w:webHidden/>
              </w:rPr>
              <w:fldChar w:fldCharType="end"/>
            </w:r>
          </w:hyperlink>
        </w:p>
        <w:p w14:paraId="5DACC9CA" w14:textId="1A347CEF" w:rsidR="008E13F6" w:rsidRPr="008E13F6" w:rsidRDefault="008E13F6">
          <w:pPr>
            <w:pStyle w:val="TOC2"/>
            <w:tabs>
              <w:tab w:val="right" w:leader="dot" w:pos="9112"/>
            </w:tabs>
          </w:pPr>
          <w:hyperlink w:anchor="_Toc236328102" w:history="1">
            <w:r w:rsidRPr="008E13F6">
              <w:rPr>
                <w:rStyle w:val="Hyperlink"/>
              </w:rPr>
              <w:t>2.3 Governance and Strategic Alignment (NIST CSF 2.0)</w:t>
            </w:r>
            <w:r w:rsidRPr="008E13F6">
              <w:rPr>
                <w:webHidden/>
              </w:rPr>
              <w:tab/>
            </w:r>
            <w:r w:rsidRPr="008E13F6">
              <w:rPr>
                <w:webHidden/>
              </w:rPr>
              <w:fldChar w:fldCharType="begin"/>
            </w:r>
            <w:r w:rsidRPr="008E13F6">
              <w:rPr>
                <w:webHidden/>
              </w:rPr>
              <w:instrText xml:space="preserve"> PAGEREF _Toc236328102 \h </w:instrText>
            </w:r>
            <w:r w:rsidRPr="008E13F6">
              <w:rPr>
                <w:webHidden/>
              </w:rPr>
            </w:r>
            <w:r w:rsidRPr="008E13F6">
              <w:rPr>
                <w:webHidden/>
              </w:rPr>
              <w:fldChar w:fldCharType="separate"/>
            </w:r>
            <w:r w:rsidRPr="008E13F6">
              <w:rPr>
                <w:webHidden/>
              </w:rPr>
              <w:t>9</w:t>
            </w:r>
            <w:r w:rsidRPr="008E13F6">
              <w:rPr>
                <w:webHidden/>
              </w:rPr>
              <w:fldChar w:fldCharType="end"/>
            </w:r>
          </w:hyperlink>
        </w:p>
        <w:p w14:paraId="48C63B39" w14:textId="08B80D21" w:rsidR="008E13F6" w:rsidRPr="008E13F6" w:rsidRDefault="008E13F6">
          <w:pPr>
            <w:pStyle w:val="TOC2"/>
            <w:tabs>
              <w:tab w:val="right" w:leader="dot" w:pos="9112"/>
            </w:tabs>
          </w:pPr>
          <w:hyperlink w:anchor="_Toc236328103" w:history="1">
            <w:r w:rsidRPr="008E13F6">
              <w:rPr>
                <w:rStyle w:val="Hyperlink"/>
              </w:rPr>
              <w:t>2.4 Risk Management and Assessment</w:t>
            </w:r>
            <w:r w:rsidRPr="008E13F6">
              <w:rPr>
                <w:webHidden/>
              </w:rPr>
              <w:tab/>
            </w:r>
            <w:r w:rsidRPr="008E13F6">
              <w:rPr>
                <w:webHidden/>
              </w:rPr>
              <w:fldChar w:fldCharType="begin"/>
            </w:r>
            <w:r w:rsidRPr="008E13F6">
              <w:rPr>
                <w:webHidden/>
              </w:rPr>
              <w:instrText xml:space="preserve"> PAGEREF _Toc236328103 \h </w:instrText>
            </w:r>
            <w:r w:rsidRPr="008E13F6">
              <w:rPr>
                <w:webHidden/>
              </w:rPr>
            </w:r>
            <w:r w:rsidRPr="008E13F6">
              <w:rPr>
                <w:webHidden/>
              </w:rPr>
              <w:fldChar w:fldCharType="separate"/>
            </w:r>
            <w:r w:rsidRPr="008E13F6">
              <w:rPr>
                <w:webHidden/>
              </w:rPr>
              <w:t>10</w:t>
            </w:r>
            <w:r w:rsidRPr="008E13F6">
              <w:rPr>
                <w:webHidden/>
              </w:rPr>
              <w:fldChar w:fldCharType="end"/>
            </w:r>
          </w:hyperlink>
        </w:p>
        <w:p w14:paraId="77DAE8AC" w14:textId="7A0A24F4" w:rsidR="008E13F6" w:rsidRPr="008E13F6" w:rsidRDefault="008E13F6">
          <w:pPr>
            <w:pStyle w:val="TOC2"/>
            <w:tabs>
              <w:tab w:val="right" w:leader="dot" w:pos="9112"/>
            </w:tabs>
          </w:pPr>
          <w:hyperlink w:anchor="_Toc236328104" w:history="1">
            <w:r w:rsidRPr="008E13F6">
              <w:rPr>
                <w:rStyle w:val="Hyperlink"/>
              </w:rPr>
              <w:t>2.5 Compliance, Incident Response, and Protection Controls</w:t>
            </w:r>
            <w:r w:rsidRPr="008E13F6">
              <w:rPr>
                <w:webHidden/>
              </w:rPr>
              <w:tab/>
            </w:r>
            <w:r w:rsidRPr="008E13F6">
              <w:rPr>
                <w:webHidden/>
              </w:rPr>
              <w:fldChar w:fldCharType="begin"/>
            </w:r>
            <w:r w:rsidRPr="008E13F6">
              <w:rPr>
                <w:webHidden/>
              </w:rPr>
              <w:instrText xml:space="preserve"> PAGEREF _Toc236328104 \h </w:instrText>
            </w:r>
            <w:r w:rsidRPr="008E13F6">
              <w:rPr>
                <w:webHidden/>
              </w:rPr>
            </w:r>
            <w:r w:rsidRPr="008E13F6">
              <w:rPr>
                <w:webHidden/>
              </w:rPr>
              <w:fldChar w:fldCharType="separate"/>
            </w:r>
            <w:r w:rsidRPr="008E13F6">
              <w:rPr>
                <w:webHidden/>
              </w:rPr>
              <w:t>11</w:t>
            </w:r>
            <w:r w:rsidRPr="008E13F6">
              <w:rPr>
                <w:webHidden/>
              </w:rPr>
              <w:fldChar w:fldCharType="end"/>
            </w:r>
          </w:hyperlink>
        </w:p>
        <w:p w14:paraId="241D0F10" w14:textId="01EAC64A" w:rsidR="008E13F6" w:rsidRPr="008E13F6" w:rsidRDefault="008E13F6">
          <w:pPr>
            <w:pStyle w:val="TOC3"/>
            <w:tabs>
              <w:tab w:val="right" w:leader="dot" w:pos="9112"/>
            </w:tabs>
          </w:pPr>
          <w:hyperlink w:anchor="_Toc236328105" w:history="1">
            <w:r w:rsidRPr="008E13F6">
              <w:rPr>
                <w:rStyle w:val="Hyperlink"/>
              </w:rPr>
              <w:t>Regulatory Compliance and Breach Notification</w:t>
            </w:r>
            <w:r w:rsidRPr="008E13F6">
              <w:rPr>
                <w:webHidden/>
              </w:rPr>
              <w:tab/>
            </w:r>
            <w:r w:rsidRPr="008E13F6">
              <w:rPr>
                <w:webHidden/>
              </w:rPr>
              <w:fldChar w:fldCharType="begin"/>
            </w:r>
            <w:r w:rsidRPr="008E13F6">
              <w:rPr>
                <w:webHidden/>
              </w:rPr>
              <w:instrText xml:space="preserve"> PAGEREF _Toc236328105 \h </w:instrText>
            </w:r>
            <w:r w:rsidRPr="008E13F6">
              <w:rPr>
                <w:webHidden/>
              </w:rPr>
            </w:r>
            <w:r w:rsidRPr="008E13F6">
              <w:rPr>
                <w:webHidden/>
              </w:rPr>
              <w:fldChar w:fldCharType="separate"/>
            </w:r>
            <w:r w:rsidRPr="008E13F6">
              <w:rPr>
                <w:webHidden/>
              </w:rPr>
              <w:t>11</w:t>
            </w:r>
            <w:r w:rsidRPr="008E13F6">
              <w:rPr>
                <w:webHidden/>
              </w:rPr>
              <w:fldChar w:fldCharType="end"/>
            </w:r>
          </w:hyperlink>
        </w:p>
        <w:p w14:paraId="09D7A6F7" w14:textId="099D7A58" w:rsidR="008E13F6" w:rsidRPr="008E13F6" w:rsidRDefault="008E13F6">
          <w:pPr>
            <w:pStyle w:val="TOC3"/>
            <w:tabs>
              <w:tab w:val="right" w:leader="dot" w:pos="9112"/>
            </w:tabs>
          </w:pPr>
          <w:hyperlink w:anchor="_Toc236328106" w:history="1">
            <w:r w:rsidRPr="008E13F6">
              <w:rPr>
                <w:rStyle w:val="Hyperlink"/>
              </w:rPr>
              <w:t>Incident Response Plan (NIST SP 800-61r2)</w:t>
            </w:r>
            <w:r w:rsidRPr="008E13F6">
              <w:rPr>
                <w:webHidden/>
              </w:rPr>
              <w:tab/>
            </w:r>
            <w:r w:rsidRPr="008E13F6">
              <w:rPr>
                <w:webHidden/>
              </w:rPr>
              <w:fldChar w:fldCharType="begin"/>
            </w:r>
            <w:r w:rsidRPr="008E13F6">
              <w:rPr>
                <w:webHidden/>
              </w:rPr>
              <w:instrText xml:space="preserve"> PAGEREF _Toc236328106 \h </w:instrText>
            </w:r>
            <w:r w:rsidRPr="008E13F6">
              <w:rPr>
                <w:webHidden/>
              </w:rPr>
            </w:r>
            <w:r w:rsidRPr="008E13F6">
              <w:rPr>
                <w:webHidden/>
              </w:rPr>
              <w:fldChar w:fldCharType="separate"/>
            </w:r>
            <w:r w:rsidRPr="008E13F6">
              <w:rPr>
                <w:webHidden/>
              </w:rPr>
              <w:t>11</w:t>
            </w:r>
            <w:r w:rsidRPr="008E13F6">
              <w:rPr>
                <w:webHidden/>
              </w:rPr>
              <w:fldChar w:fldCharType="end"/>
            </w:r>
          </w:hyperlink>
        </w:p>
        <w:p w14:paraId="312D1684" w14:textId="1EA6A257" w:rsidR="008E13F6" w:rsidRPr="008E13F6" w:rsidRDefault="008E13F6">
          <w:pPr>
            <w:pStyle w:val="TOC3"/>
            <w:tabs>
              <w:tab w:val="right" w:leader="dot" w:pos="9112"/>
            </w:tabs>
          </w:pPr>
          <w:hyperlink w:anchor="_Toc236328107" w:history="1">
            <w:r w:rsidRPr="008E13F6">
              <w:rPr>
                <w:rStyle w:val="Hyperlink"/>
              </w:rPr>
              <w:t>Technical Protection Controls</w:t>
            </w:r>
            <w:r w:rsidRPr="008E13F6">
              <w:rPr>
                <w:webHidden/>
              </w:rPr>
              <w:tab/>
            </w:r>
            <w:r w:rsidRPr="008E13F6">
              <w:rPr>
                <w:webHidden/>
              </w:rPr>
              <w:fldChar w:fldCharType="begin"/>
            </w:r>
            <w:r w:rsidRPr="008E13F6">
              <w:rPr>
                <w:webHidden/>
              </w:rPr>
              <w:instrText xml:space="preserve"> PAGEREF _Toc236328107 \h </w:instrText>
            </w:r>
            <w:r w:rsidRPr="008E13F6">
              <w:rPr>
                <w:webHidden/>
              </w:rPr>
            </w:r>
            <w:r w:rsidRPr="008E13F6">
              <w:rPr>
                <w:webHidden/>
              </w:rPr>
              <w:fldChar w:fldCharType="separate"/>
            </w:r>
            <w:r w:rsidRPr="008E13F6">
              <w:rPr>
                <w:webHidden/>
              </w:rPr>
              <w:t>12</w:t>
            </w:r>
            <w:r w:rsidRPr="008E13F6">
              <w:rPr>
                <w:webHidden/>
              </w:rPr>
              <w:fldChar w:fldCharType="end"/>
            </w:r>
          </w:hyperlink>
        </w:p>
        <w:p w14:paraId="29C5960E" w14:textId="3E7B9D89" w:rsidR="008E13F6" w:rsidRPr="008E13F6" w:rsidRDefault="008E13F6">
          <w:pPr>
            <w:pStyle w:val="TOC2"/>
            <w:tabs>
              <w:tab w:val="right" w:leader="dot" w:pos="9112"/>
            </w:tabs>
          </w:pPr>
          <w:hyperlink w:anchor="_Toc236328108" w:history="1">
            <w:r w:rsidRPr="008E13F6">
              <w:rPr>
                <w:rStyle w:val="Hyperlink"/>
              </w:rPr>
              <w:t>Conclusion</w:t>
            </w:r>
            <w:r w:rsidRPr="008E13F6">
              <w:rPr>
                <w:webHidden/>
              </w:rPr>
              <w:tab/>
            </w:r>
            <w:r w:rsidRPr="008E13F6">
              <w:rPr>
                <w:webHidden/>
              </w:rPr>
              <w:fldChar w:fldCharType="begin"/>
            </w:r>
            <w:r w:rsidRPr="008E13F6">
              <w:rPr>
                <w:webHidden/>
              </w:rPr>
              <w:instrText xml:space="preserve"> PAGEREF _Toc236328108 \h </w:instrText>
            </w:r>
            <w:r w:rsidRPr="008E13F6">
              <w:rPr>
                <w:webHidden/>
              </w:rPr>
            </w:r>
            <w:r w:rsidRPr="008E13F6">
              <w:rPr>
                <w:webHidden/>
              </w:rPr>
              <w:fldChar w:fldCharType="separate"/>
            </w:r>
            <w:r w:rsidRPr="008E13F6">
              <w:rPr>
                <w:webHidden/>
              </w:rPr>
              <w:t>13</w:t>
            </w:r>
            <w:r w:rsidRPr="008E13F6">
              <w:rPr>
                <w:webHidden/>
              </w:rPr>
              <w:fldChar w:fldCharType="end"/>
            </w:r>
          </w:hyperlink>
        </w:p>
        <w:p w14:paraId="1C1A513C" w14:textId="6093297B" w:rsidR="008E13F6" w:rsidRPr="008E13F6" w:rsidRDefault="008E13F6">
          <w:pPr>
            <w:pStyle w:val="TOC1"/>
            <w:tabs>
              <w:tab w:val="right" w:leader="dot" w:pos="9112"/>
            </w:tabs>
          </w:pPr>
          <w:hyperlink w:anchor="_Toc236328109" w:history="1">
            <w:r w:rsidRPr="008E13F6">
              <w:rPr>
                <w:rStyle w:val="Hyperlink"/>
              </w:rPr>
              <w:t>References</w:t>
            </w:r>
            <w:r w:rsidRPr="008E13F6">
              <w:rPr>
                <w:webHidden/>
              </w:rPr>
              <w:tab/>
            </w:r>
            <w:r w:rsidRPr="008E13F6">
              <w:rPr>
                <w:webHidden/>
              </w:rPr>
              <w:fldChar w:fldCharType="begin"/>
            </w:r>
            <w:r w:rsidRPr="008E13F6">
              <w:rPr>
                <w:webHidden/>
              </w:rPr>
              <w:instrText xml:space="preserve"> PAGEREF _Toc236328109 \h </w:instrText>
            </w:r>
            <w:r w:rsidRPr="008E13F6">
              <w:rPr>
                <w:webHidden/>
              </w:rPr>
            </w:r>
            <w:r w:rsidRPr="008E13F6">
              <w:rPr>
                <w:webHidden/>
              </w:rPr>
              <w:fldChar w:fldCharType="separate"/>
            </w:r>
            <w:r w:rsidRPr="008E13F6">
              <w:rPr>
                <w:webHidden/>
              </w:rPr>
              <w:t>14</w:t>
            </w:r>
            <w:r w:rsidRPr="008E13F6">
              <w:rPr>
                <w:webHidden/>
              </w:rPr>
              <w:fldChar w:fldCharType="end"/>
            </w:r>
          </w:hyperlink>
        </w:p>
        <w:p w14:paraId="580A08A5" w14:textId="08AB2C2D" w:rsidR="008E13F6" w:rsidRPr="008E13F6" w:rsidRDefault="008E13F6">
          <w:r w:rsidRPr="008E13F6">
            <w:rPr>
              <w:b/>
              <w:bCs/>
            </w:rPr>
            <w:fldChar w:fldCharType="end"/>
          </w:r>
        </w:p>
      </w:sdtContent>
    </w:sdt>
    <w:p w14:paraId="121DCC69" w14:textId="77777777" w:rsidR="008E13F6" w:rsidRPr="008E13F6" w:rsidRDefault="008E13F6">
      <w:pPr>
        <w:pStyle w:val="Heading1"/>
      </w:pPr>
    </w:p>
    <w:p w14:paraId="6062C121" w14:textId="77777777" w:rsidR="008E13F6" w:rsidRPr="008E13F6" w:rsidRDefault="008E13F6" w:rsidP="008E13F6"/>
    <w:p w14:paraId="5F680E41" w14:textId="77777777" w:rsidR="008E13F6" w:rsidRPr="008E13F6" w:rsidRDefault="008E13F6" w:rsidP="008E13F6"/>
    <w:p w14:paraId="64735B8F" w14:textId="77777777" w:rsidR="008E13F6" w:rsidRPr="008E13F6" w:rsidRDefault="008E13F6" w:rsidP="008E13F6"/>
    <w:p w14:paraId="427B3E0D" w14:textId="6D37D61B" w:rsidR="005A233C" w:rsidRPr="008E13F6" w:rsidRDefault="00000000" w:rsidP="004A4604">
      <w:pPr>
        <w:pStyle w:val="Heading1"/>
      </w:pPr>
      <w:bookmarkStart w:id="0" w:name="_Toc236328092"/>
      <w:r w:rsidRPr="008E13F6">
        <w:t>Task 1: The Zero Trust Architecture – A Critical Analysis of Its Principles, Implementation Challenges, and Efficacy Compared to Traditional Models</w:t>
      </w:r>
      <w:bookmarkEnd w:id="0"/>
    </w:p>
    <w:p w14:paraId="6C700B85" w14:textId="422BE696" w:rsidR="008E13F6" w:rsidRPr="008E13F6" w:rsidRDefault="00000000" w:rsidP="00E14050">
      <w:pPr>
        <w:pStyle w:val="Heading2"/>
      </w:pPr>
      <w:bookmarkStart w:id="1" w:name="_Toc236328093"/>
      <w:r w:rsidRPr="008E13F6">
        <w:t>1.1 Introduction</w:t>
      </w:r>
      <w:bookmarkEnd w:id="1"/>
    </w:p>
    <w:p w14:paraId="5E995A1F" w14:textId="77777777" w:rsidR="008E13F6" w:rsidRPr="001858CF" w:rsidRDefault="008E13F6" w:rsidP="004A4604">
      <w:pPr>
        <w:rPr>
          <w:rFonts w:cs="Arial"/>
          <w:szCs w:val="24"/>
        </w:rPr>
      </w:pPr>
      <w:r w:rsidRPr="001858CF">
        <w:rPr>
          <w:rFonts w:cs="Arial"/>
          <w:szCs w:val="24"/>
        </w:rPr>
        <w:t>The modern enterprise no longer has a clear network boundary. Cloud-first strategies, hybrid work, SaaS adoption, BYOD policies, and third-party integrations have worn down the physical and logical perimeter that older security models relied on. Trusting internal traffic by default has failed in practice: the 2017 Equifax breach and the 2020 SolarWinds attack both show that once an attacker gets past the perimeter, whether through an unpatched vulnerability, a phished credential, or a compromised vendor, traditional architectures do little to stop lateral movement or large-scale data theft [1].</w:t>
      </w:r>
    </w:p>
    <w:p w14:paraId="3C233958" w14:textId="38B7F147" w:rsidR="008E13F6" w:rsidRPr="001858CF" w:rsidRDefault="008E13F6" w:rsidP="004A4604">
      <w:pPr>
        <w:rPr>
          <w:rFonts w:cs="Arial"/>
          <w:szCs w:val="24"/>
        </w:rPr>
      </w:pPr>
      <w:r w:rsidRPr="001858CF">
        <w:rPr>
          <w:rFonts w:cs="Arial"/>
          <w:szCs w:val="24"/>
        </w:rPr>
        <w:t>Zero Trust Architecture (ZTA) is one response to this problem. John Kindervag first proposed the idea at Forrester Research in 2010 [2]. NIST</w:t>
      </w:r>
      <w:r w:rsidR="00103600">
        <w:rPr>
          <w:rFonts w:cs="Arial"/>
          <w:szCs w:val="24"/>
        </w:rPr>
        <w:t>(</w:t>
      </w:r>
      <w:r w:rsidR="00103600">
        <w:t>National Institute of Standards and Technology</w:t>
      </w:r>
      <w:r w:rsidR="00103600">
        <w:rPr>
          <w:rFonts w:cs="Arial"/>
          <w:szCs w:val="24"/>
        </w:rPr>
        <w:t>)</w:t>
      </w:r>
      <w:r w:rsidRPr="001858CF">
        <w:rPr>
          <w:rFonts w:cs="Arial"/>
          <w:szCs w:val="24"/>
        </w:rPr>
        <w:t xml:space="preserve"> </w:t>
      </w:r>
      <w:r w:rsidR="00103600">
        <w:rPr>
          <w:rFonts w:cs="Arial"/>
          <w:szCs w:val="24"/>
        </w:rPr>
        <w:t>formalised</w:t>
      </w:r>
      <w:r w:rsidRPr="001858CF">
        <w:rPr>
          <w:rFonts w:cs="Arial"/>
          <w:szCs w:val="24"/>
        </w:rPr>
        <w:t xml:space="preserve"> it a decade later in Special Publication 800-207 (2020) [3]. Rather than relying on one-time perimeter checks, ZTA treats every access request as potentially hostile no matter where it originates, and requires continuous, context-aware authentication and authorisation. This paper looks at ZTA's core principles, its implementation problems, and how well it holds up against traditional perimeter-based security in practice.</w:t>
      </w:r>
    </w:p>
    <w:p w14:paraId="680795B8" w14:textId="77777777" w:rsidR="008E13F6" w:rsidRPr="001858CF" w:rsidRDefault="008E13F6" w:rsidP="004A4604">
      <w:pPr>
        <w:rPr>
          <w:rFonts w:cs="Arial"/>
          <w:szCs w:val="24"/>
        </w:rPr>
      </w:pPr>
    </w:p>
    <w:p w14:paraId="47A3F729" w14:textId="77777777" w:rsidR="005A233C" w:rsidRPr="00261B48" w:rsidRDefault="00000000" w:rsidP="00E14050">
      <w:pPr>
        <w:pStyle w:val="Heading2"/>
      </w:pPr>
      <w:bookmarkStart w:id="2" w:name="_Toc236328094"/>
      <w:r w:rsidRPr="00261B48">
        <w:t>1.2 Core Principles of Zero Trust Architecture</w:t>
      </w:r>
      <w:bookmarkEnd w:id="2"/>
    </w:p>
    <w:p w14:paraId="784DADBE" w14:textId="7BF63460" w:rsidR="005A233C" w:rsidRPr="0054556D" w:rsidRDefault="00000000" w:rsidP="004A4604">
      <w:pPr>
        <w:rPr>
          <w:rFonts w:cs="Arial"/>
          <w:szCs w:val="24"/>
        </w:rPr>
      </w:pPr>
      <w:r w:rsidRPr="0054556D">
        <w:rPr>
          <w:rFonts w:cs="Arial"/>
          <w:szCs w:val="24"/>
        </w:rPr>
        <w:t xml:space="preserve">NIST SP 800-207 </w:t>
      </w:r>
      <w:r w:rsidR="008E13F6" w:rsidRPr="0054556D">
        <w:rPr>
          <w:rFonts w:cs="Arial"/>
          <w:szCs w:val="24"/>
        </w:rPr>
        <w:t>shows</w:t>
      </w:r>
      <w:r w:rsidRPr="0054556D">
        <w:rPr>
          <w:rFonts w:cs="Arial"/>
          <w:szCs w:val="24"/>
        </w:rPr>
        <w:t xml:space="preserve"> ZTA around three high-level tenets</w:t>
      </w:r>
      <w:r w:rsidR="008E13F6" w:rsidRPr="0054556D">
        <w:rPr>
          <w:rFonts w:cs="Arial"/>
          <w:szCs w:val="24"/>
        </w:rPr>
        <w:t>:</w:t>
      </w:r>
      <w:r w:rsidRPr="0054556D">
        <w:rPr>
          <w:rFonts w:cs="Arial"/>
          <w:szCs w:val="24"/>
        </w:rPr>
        <w:t xml:space="preserve"> verify explicitly, use least privilege access, and assume breach</w:t>
      </w:r>
      <w:r w:rsidR="008E13F6" w:rsidRPr="0054556D">
        <w:rPr>
          <w:rFonts w:cs="Arial"/>
          <w:szCs w:val="24"/>
        </w:rPr>
        <w:t>,</w:t>
      </w:r>
      <w:r w:rsidRPr="0054556D">
        <w:rPr>
          <w:rFonts w:cs="Arial"/>
          <w:szCs w:val="24"/>
        </w:rPr>
        <w:t xml:space="preserve"> from which five operational principles </w:t>
      </w:r>
      <w:r w:rsidR="008E13F6" w:rsidRPr="0054556D">
        <w:rPr>
          <w:rFonts w:cs="Arial"/>
          <w:szCs w:val="24"/>
        </w:rPr>
        <w:t xml:space="preserve">come </w:t>
      </w:r>
      <w:r w:rsidRPr="0054556D">
        <w:rPr>
          <w:rFonts w:cs="Arial"/>
          <w:szCs w:val="24"/>
        </w:rPr>
        <w:t xml:space="preserve">[3]. Gilman and Barth further </w:t>
      </w:r>
      <w:r w:rsidR="008E13F6" w:rsidRPr="0054556D">
        <w:rPr>
          <w:rFonts w:cs="Arial"/>
          <w:szCs w:val="24"/>
        </w:rPr>
        <w:t>show</w:t>
      </w:r>
      <w:r w:rsidRPr="0054556D">
        <w:rPr>
          <w:rFonts w:cs="Arial"/>
          <w:szCs w:val="24"/>
        </w:rPr>
        <w:t xml:space="preserve"> the architecture as comprising five planes: identity, device, network, application, and data [4]. Together</w:t>
      </w:r>
      <w:r w:rsidR="009838D0" w:rsidRPr="0054556D">
        <w:rPr>
          <w:rFonts w:cs="Arial"/>
          <w:szCs w:val="24"/>
        </w:rPr>
        <w:t>,</w:t>
      </w:r>
      <w:r w:rsidRPr="0054556D">
        <w:rPr>
          <w:rFonts w:cs="Arial"/>
          <w:szCs w:val="24"/>
        </w:rPr>
        <w:t xml:space="preserve"> these provide a comprehensive model that addresses trust from the user request to the data layer.</w:t>
      </w:r>
    </w:p>
    <w:p w14:paraId="570F47A9" w14:textId="28F6F2DC" w:rsidR="005A233C" w:rsidRPr="0054556D" w:rsidRDefault="00000000" w:rsidP="004A4604">
      <w:pPr>
        <w:spacing w:after="80"/>
        <w:rPr>
          <w:rFonts w:cs="Arial"/>
          <w:szCs w:val="24"/>
        </w:rPr>
      </w:pPr>
      <w:r w:rsidRPr="0054556D">
        <w:rPr>
          <w:rFonts w:cs="Arial"/>
          <w:b/>
          <w:szCs w:val="24"/>
        </w:rPr>
        <w:lastRenderedPageBreak/>
        <w:t xml:space="preserve">Verify Explicitly: </w:t>
      </w:r>
      <w:r w:rsidR="008E13F6" w:rsidRPr="0054556D">
        <w:rPr>
          <w:rFonts w:cs="Arial"/>
          <w:szCs w:val="24"/>
        </w:rPr>
        <w:t>Every access request must be authenticated and authorised using all available contextual signals: user identity, device health and compliance posture, geographic location, time of access, the sensitivity classification of the requested resource, and real-time behavioural anomalies. Multi-Factor Authentication (MFA) is the baseline, alongside conditional access policies that adjust requirements based on risk scoring [3]. Perimeter models extend implicit trust to any authenticated session; this principle removes that assumption, replacing it with continuous, evidence-based authorisation.</w:t>
      </w:r>
    </w:p>
    <w:p w14:paraId="003CFF22" w14:textId="5F2A982B" w:rsidR="005A233C" w:rsidRPr="00261B48" w:rsidRDefault="00000000" w:rsidP="004A4604">
      <w:pPr>
        <w:spacing w:after="80"/>
        <w:rPr>
          <w:rFonts w:cs="Arial"/>
          <w:szCs w:val="24"/>
        </w:rPr>
      </w:pPr>
      <w:r w:rsidRPr="0054556D">
        <w:rPr>
          <w:rFonts w:cs="Arial"/>
          <w:b/>
          <w:szCs w:val="24"/>
        </w:rPr>
        <w:t xml:space="preserve">Use Least Privilege Access: </w:t>
      </w:r>
      <w:r w:rsidR="008E13F6" w:rsidRPr="0054556D">
        <w:rPr>
          <w:rFonts w:cs="Arial"/>
          <w:szCs w:val="24"/>
        </w:rPr>
        <w:t>Users, workloads, and services receive only the minimum permissions needed for a defined task, enforced through just-in-time (JIT) access provisioning and just-enough-access (JEA) role scoping. Permissions are time-limited and automatically revoked once a session ends [3]. This constrains the blast radius of a credential compromise: an attacker who obtains a standard</w:t>
      </w:r>
      <w:r w:rsidR="008E13F6" w:rsidRPr="008E13F6">
        <w:t xml:space="preserve"> </w:t>
      </w:r>
      <w:r w:rsidR="008E13F6" w:rsidRPr="00261B48">
        <w:rPr>
          <w:rFonts w:cs="Arial"/>
          <w:szCs w:val="24"/>
        </w:rPr>
        <w:t>user's credentials gains access only to that user's scoped resources, not to adjacent systems or privileged data stores.</w:t>
      </w:r>
    </w:p>
    <w:p w14:paraId="3F145B92" w14:textId="47D99762" w:rsidR="005A233C" w:rsidRPr="00261B48" w:rsidRDefault="00000000" w:rsidP="004A4604">
      <w:pPr>
        <w:spacing w:after="80"/>
        <w:rPr>
          <w:rFonts w:cs="Arial"/>
          <w:bCs/>
          <w:szCs w:val="24"/>
        </w:rPr>
      </w:pPr>
      <w:r w:rsidRPr="00261B48">
        <w:rPr>
          <w:rFonts w:cs="Arial"/>
          <w:b/>
          <w:szCs w:val="24"/>
        </w:rPr>
        <w:t>Assume Breach:</w:t>
      </w:r>
      <w:r w:rsidR="008E13F6" w:rsidRPr="00261B48">
        <w:rPr>
          <w:rFonts w:cs="Arial"/>
          <w:szCs w:val="24"/>
        </w:rPr>
        <w:t xml:space="preserve"> </w:t>
      </w:r>
      <w:r w:rsidR="008E13F6" w:rsidRPr="00261B48">
        <w:rPr>
          <w:rFonts w:cs="Arial"/>
          <w:bCs/>
          <w:szCs w:val="24"/>
        </w:rPr>
        <w:t>ZTA operates on the assumption that adversaries are, or soon will be, present inside the network perimeter. Security controls such as micro-segmentation, east-west traffic inspection, end-to-end encryption, and continuous behavioural analytics are deployed inside the network rather than only at its boundary [4]. Detection and containment become architectural requirements in their own right, not an afterthought bolted onto the perimeter.</w:t>
      </w:r>
    </w:p>
    <w:p w14:paraId="5AFE6E72" w14:textId="77777777" w:rsidR="008E13F6" w:rsidRPr="00261B48" w:rsidRDefault="00000000" w:rsidP="004A4604">
      <w:pPr>
        <w:spacing w:after="80"/>
        <w:rPr>
          <w:rFonts w:cs="Arial"/>
          <w:szCs w:val="24"/>
        </w:rPr>
      </w:pPr>
      <w:r w:rsidRPr="00261B48">
        <w:rPr>
          <w:rFonts w:cs="Arial"/>
          <w:b/>
          <w:szCs w:val="24"/>
        </w:rPr>
        <w:t xml:space="preserve">Continuous Validation: </w:t>
      </w:r>
      <w:r w:rsidR="008E13F6" w:rsidRPr="00261B48">
        <w:rPr>
          <w:rFonts w:cs="Arial"/>
          <w:szCs w:val="24"/>
        </w:rPr>
        <w:t>Trust is not a persistent state but a condition that is continuously re-evaluated. Throughout an active session, ZTA platforms monitor contextual signals such as anomalous data transfer volumes, access from unexpected locations, and device compliance drift, and can trigger step-up authentication or automatic session termination in real time [3]. Session-based models authenticate once and let access persist until logout; ZTA does not.</w:t>
      </w:r>
    </w:p>
    <w:p w14:paraId="487E7789" w14:textId="77777777" w:rsidR="00066D76" w:rsidRDefault="00000000" w:rsidP="004A4604">
      <w:pPr>
        <w:spacing w:after="80"/>
        <w:rPr>
          <w:rFonts w:cs="Arial"/>
          <w:szCs w:val="24"/>
        </w:rPr>
      </w:pPr>
      <w:r w:rsidRPr="00261B48">
        <w:rPr>
          <w:rFonts w:cs="Arial"/>
          <w:b/>
          <w:szCs w:val="24"/>
        </w:rPr>
        <w:t xml:space="preserve">Data-Centric Protection: </w:t>
      </w:r>
      <w:bookmarkStart w:id="3" w:name="_Toc236328095"/>
      <w:r w:rsidR="008E13F6" w:rsidRPr="00261B48">
        <w:rPr>
          <w:rFonts w:cs="Arial"/>
          <w:szCs w:val="24"/>
        </w:rPr>
        <w:t>Rather than securing the network boundary that data happens to pass through, ZTA extends controls to the data itself. Data assets are classified, labelled, and governed by dynamic policy no matter where they sit: on-</w:t>
      </w:r>
      <w:r w:rsidR="008E13F6" w:rsidRPr="00261B48">
        <w:rPr>
          <w:rFonts w:cs="Arial"/>
          <w:szCs w:val="24"/>
        </w:rPr>
        <w:lastRenderedPageBreak/>
        <w:t>premises, in SaaS platforms, or in cloud storage. Data Loss Prevention (DLP) tools enforce exfiltration controls even when an attacker holds valid credentials, so access to a system does not mean the ability to pull out bulk sensitive data [4].</w:t>
      </w:r>
    </w:p>
    <w:p w14:paraId="7C2745F8" w14:textId="77777777" w:rsidR="00066D76" w:rsidRDefault="00066D76" w:rsidP="004A4604">
      <w:pPr>
        <w:spacing w:after="80"/>
        <w:rPr>
          <w:rFonts w:cs="Arial"/>
          <w:szCs w:val="24"/>
        </w:rPr>
      </w:pPr>
    </w:p>
    <w:p w14:paraId="037068CE" w14:textId="36BC9830" w:rsidR="005A233C" w:rsidRPr="00261B48" w:rsidRDefault="00000000" w:rsidP="00E14050">
      <w:pPr>
        <w:pStyle w:val="Heading2"/>
      </w:pPr>
      <w:r w:rsidRPr="00261B48">
        <w:t>1.3 Comparative Analysis: ZTA vs. Traditional Perimeter-Based Models</w:t>
      </w:r>
      <w:bookmarkEnd w:id="3"/>
    </w:p>
    <w:p w14:paraId="5B05E853" w14:textId="77777777" w:rsidR="008E13F6" w:rsidRPr="00261B48" w:rsidRDefault="008E13F6" w:rsidP="004A4604">
      <w:pPr>
        <w:spacing w:after="80"/>
        <w:ind w:left="283"/>
        <w:rPr>
          <w:rFonts w:cs="Arial"/>
          <w:szCs w:val="24"/>
        </w:rPr>
      </w:pPr>
    </w:p>
    <w:p w14:paraId="0C27492A" w14:textId="28CCF16E" w:rsidR="00261B48" w:rsidRPr="007023A4" w:rsidRDefault="008E13F6" w:rsidP="007023A4">
      <w:pPr>
        <w:spacing w:before="40"/>
        <w:rPr>
          <w:rFonts w:cs="Arial"/>
          <w:szCs w:val="24"/>
        </w:rPr>
      </w:pPr>
      <w:r w:rsidRPr="00261B48">
        <w:rPr>
          <w:rFonts w:cs="Arial"/>
          <w:szCs w:val="24"/>
        </w:rPr>
        <w:t>Traditional network security relied on a hard outer boundary: stateful firewalls, VPNs, and demilitarised zones (DMZs), with implicit trust applied to any authenticated internal traffic. That model suited static, office-centric, on-premises environments, but it breaks down structurally once applied to a distributed, cloud-native enterprise. The comparison below sets out the architectural differences across the key security dimensions.</w:t>
      </w:r>
    </w:p>
    <w:p w14:paraId="37553B3F" w14:textId="476C422A" w:rsidR="005A233C" w:rsidRPr="00E643AC" w:rsidRDefault="00000000">
      <w:pPr>
        <w:spacing w:before="40"/>
        <w:jc w:val="center"/>
        <w:rPr>
          <w:rFonts w:cs="Arial"/>
        </w:rPr>
      </w:pPr>
      <w:r w:rsidRPr="00E643AC">
        <w:rPr>
          <w:rFonts w:cs="Arial"/>
          <w:b/>
          <w:sz w:val="20"/>
        </w:rPr>
        <w:t>Table 1: Comparative Analysis Traditional Perimeter Model vs. Zero Trust Architecture</w:t>
      </w:r>
    </w:p>
    <w:tbl>
      <w:tblPr>
        <w:tblStyle w:val="TableGrid"/>
        <w:tblW w:w="0" w:type="auto"/>
        <w:jc w:val="center"/>
        <w:tblLook w:val="04A0" w:firstRow="1" w:lastRow="0" w:firstColumn="1" w:lastColumn="0" w:noHBand="0" w:noVBand="1"/>
      </w:tblPr>
      <w:tblGrid>
        <w:gridCol w:w="2227"/>
        <w:gridCol w:w="3308"/>
        <w:gridCol w:w="3577"/>
      </w:tblGrid>
      <w:tr w:rsidR="005A233C" w:rsidRPr="008E13F6" w14:paraId="7F1BBD3E" w14:textId="77777777">
        <w:trPr>
          <w:jc w:val="center"/>
        </w:trPr>
        <w:tc>
          <w:tcPr>
            <w:tcW w:w="2268" w:type="dxa"/>
            <w:shd w:val="clear" w:color="auto" w:fill="1F497D"/>
          </w:tcPr>
          <w:p w14:paraId="5BCEBA19" w14:textId="77777777" w:rsidR="005A233C" w:rsidRPr="008E13F6" w:rsidRDefault="00000000">
            <w:r w:rsidRPr="008E13F6">
              <w:rPr>
                <w:b/>
                <w:color w:val="FFFFFF"/>
                <w:sz w:val="18"/>
              </w:rPr>
              <w:t>Dimension</w:t>
            </w:r>
          </w:p>
        </w:tc>
        <w:tc>
          <w:tcPr>
            <w:tcW w:w="3402" w:type="dxa"/>
            <w:shd w:val="clear" w:color="auto" w:fill="1F497D"/>
          </w:tcPr>
          <w:p w14:paraId="24C64599" w14:textId="77777777" w:rsidR="005A233C" w:rsidRPr="008E13F6" w:rsidRDefault="00000000">
            <w:r w:rsidRPr="008E13F6">
              <w:rPr>
                <w:b/>
                <w:color w:val="FFFFFF"/>
                <w:sz w:val="18"/>
              </w:rPr>
              <w:t>Traditional Perimeter Model</w:t>
            </w:r>
          </w:p>
        </w:tc>
        <w:tc>
          <w:tcPr>
            <w:tcW w:w="3685" w:type="dxa"/>
            <w:shd w:val="clear" w:color="auto" w:fill="1F497D"/>
          </w:tcPr>
          <w:p w14:paraId="6568C35D" w14:textId="77777777" w:rsidR="005A233C" w:rsidRPr="008E13F6" w:rsidRDefault="00000000">
            <w:r w:rsidRPr="008E13F6">
              <w:rPr>
                <w:b/>
                <w:color w:val="FFFFFF"/>
                <w:sz w:val="18"/>
              </w:rPr>
              <w:t>Zero Trust Architecture</w:t>
            </w:r>
          </w:p>
        </w:tc>
      </w:tr>
      <w:tr w:rsidR="005A233C" w:rsidRPr="008E13F6" w14:paraId="4B843047" w14:textId="77777777">
        <w:trPr>
          <w:jc w:val="center"/>
        </w:trPr>
        <w:tc>
          <w:tcPr>
            <w:tcW w:w="2268" w:type="dxa"/>
          </w:tcPr>
          <w:p w14:paraId="6637FA64" w14:textId="77777777" w:rsidR="005A233C" w:rsidRPr="008E13F6" w:rsidRDefault="00000000">
            <w:r w:rsidRPr="008E13F6">
              <w:rPr>
                <w:sz w:val="18"/>
              </w:rPr>
              <w:t>Trust Basis</w:t>
            </w:r>
          </w:p>
        </w:tc>
        <w:tc>
          <w:tcPr>
            <w:tcW w:w="3402" w:type="dxa"/>
          </w:tcPr>
          <w:p w14:paraId="0C8DCCBC" w14:textId="77777777" w:rsidR="005A233C" w:rsidRPr="008E13F6" w:rsidRDefault="00000000">
            <w:r w:rsidRPr="008E13F6">
              <w:rPr>
                <w:sz w:val="18"/>
              </w:rPr>
              <w:t>Location (inside network = trusted)</w:t>
            </w:r>
          </w:p>
        </w:tc>
        <w:tc>
          <w:tcPr>
            <w:tcW w:w="3685" w:type="dxa"/>
          </w:tcPr>
          <w:p w14:paraId="36F40C2F" w14:textId="77777777" w:rsidR="005A233C" w:rsidRPr="008E13F6" w:rsidRDefault="00000000">
            <w:r w:rsidRPr="008E13F6">
              <w:rPr>
                <w:sz w:val="18"/>
              </w:rPr>
              <w:t>Identity + Context (continuously verified)</w:t>
            </w:r>
          </w:p>
        </w:tc>
      </w:tr>
      <w:tr w:rsidR="005A233C" w:rsidRPr="008E13F6" w14:paraId="4030AFD2" w14:textId="77777777">
        <w:trPr>
          <w:jc w:val="center"/>
        </w:trPr>
        <w:tc>
          <w:tcPr>
            <w:tcW w:w="2268" w:type="dxa"/>
          </w:tcPr>
          <w:p w14:paraId="293CFF64" w14:textId="77777777" w:rsidR="005A233C" w:rsidRPr="008E13F6" w:rsidRDefault="00000000">
            <w:r w:rsidRPr="008E13F6">
              <w:rPr>
                <w:sz w:val="18"/>
              </w:rPr>
              <w:t>Access Control</w:t>
            </w:r>
          </w:p>
        </w:tc>
        <w:tc>
          <w:tcPr>
            <w:tcW w:w="3402" w:type="dxa"/>
          </w:tcPr>
          <w:p w14:paraId="241E72E0" w14:textId="77777777" w:rsidR="005A233C" w:rsidRPr="008E13F6" w:rsidRDefault="00000000">
            <w:r w:rsidRPr="008E13F6">
              <w:rPr>
                <w:sz w:val="18"/>
              </w:rPr>
              <w:t>Broad network access post-authentication</w:t>
            </w:r>
          </w:p>
        </w:tc>
        <w:tc>
          <w:tcPr>
            <w:tcW w:w="3685" w:type="dxa"/>
          </w:tcPr>
          <w:p w14:paraId="3F29C328" w14:textId="77777777" w:rsidR="005A233C" w:rsidRPr="008E13F6" w:rsidRDefault="00000000">
            <w:r w:rsidRPr="008E13F6">
              <w:rPr>
                <w:sz w:val="18"/>
              </w:rPr>
              <w:t>Micro-segmented, least-privilege per request</w:t>
            </w:r>
          </w:p>
        </w:tc>
      </w:tr>
      <w:tr w:rsidR="005A233C" w:rsidRPr="008E13F6" w14:paraId="49C7C09F" w14:textId="77777777">
        <w:trPr>
          <w:jc w:val="center"/>
        </w:trPr>
        <w:tc>
          <w:tcPr>
            <w:tcW w:w="2268" w:type="dxa"/>
          </w:tcPr>
          <w:p w14:paraId="26D5E069" w14:textId="77777777" w:rsidR="005A233C" w:rsidRPr="008E13F6" w:rsidRDefault="00000000">
            <w:r w:rsidRPr="008E13F6">
              <w:rPr>
                <w:sz w:val="18"/>
              </w:rPr>
              <w:t>Authentication</w:t>
            </w:r>
          </w:p>
        </w:tc>
        <w:tc>
          <w:tcPr>
            <w:tcW w:w="3402" w:type="dxa"/>
          </w:tcPr>
          <w:p w14:paraId="760EDCCE" w14:textId="77777777" w:rsidR="005A233C" w:rsidRPr="008E13F6" w:rsidRDefault="00000000">
            <w:r w:rsidRPr="008E13F6">
              <w:rPr>
                <w:sz w:val="18"/>
              </w:rPr>
              <w:t>Single login; session persists until logout</w:t>
            </w:r>
          </w:p>
        </w:tc>
        <w:tc>
          <w:tcPr>
            <w:tcW w:w="3685" w:type="dxa"/>
          </w:tcPr>
          <w:p w14:paraId="3339C1AC" w14:textId="77777777" w:rsidR="005A233C" w:rsidRPr="008E13F6" w:rsidRDefault="00000000">
            <w:r w:rsidRPr="008E13F6">
              <w:rPr>
                <w:sz w:val="18"/>
              </w:rPr>
              <w:t>Continuous; risk-adaptive re-evaluation</w:t>
            </w:r>
          </w:p>
        </w:tc>
      </w:tr>
      <w:tr w:rsidR="005A233C" w:rsidRPr="008E13F6" w14:paraId="791748B1" w14:textId="77777777">
        <w:trPr>
          <w:jc w:val="center"/>
        </w:trPr>
        <w:tc>
          <w:tcPr>
            <w:tcW w:w="2268" w:type="dxa"/>
          </w:tcPr>
          <w:p w14:paraId="0F356523" w14:textId="77777777" w:rsidR="005A233C" w:rsidRPr="008E13F6" w:rsidRDefault="00000000">
            <w:r w:rsidRPr="008E13F6">
              <w:rPr>
                <w:sz w:val="18"/>
              </w:rPr>
              <w:t>Internal Visibility</w:t>
            </w:r>
          </w:p>
        </w:tc>
        <w:tc>
          <w:tcPr>
            <w:tcW w:w="3402" w:type="dxa"/>
          </w:tcPr>
          <w:p w14:paraId="0E75AD3C" w14:textId="77777777" w:rsidR="005A233C" w:rsidRPr="008E13F6" w:rsidRDefault="00000000">
            <w:r w:rsidRPr="008E13F6">
              <w:rPr>
                <w:sz w:val="18"/>
              </w:rPr>
              <w:t>Minimal east-west traffic inspection</w:t>
            </w:r>
          </w:p>
        </w:tc>
        <w:tc>
          <w:tcPr>
            <w:tcW w:w="3685" w:type="dxa"/>
          </w:tcPr>
          <w:p w14:paraId="53838F24" w14:textId="77777777" w:rsidR="005A233C" w:rsidRPr="008E13F6" w:rsidRDefault="00000000">
            <w:r w:rsidRPr="008E13F6">
              <w:rPr>
                <w:sz w:val="18"/>
              </w:rPr>
              <w:t>Full telemetry across all network layers</w:t>
            </w:r>
          </w:p>
        </w:tc>
      </w:tr>
      <w:tr w:rsidR="005A233C" w:rsidRPr="008E13F6" w14:paraId="47C63082" w14:textId="77777777">
        <w:trPr>
          <w:jc w:val="center"/>
        </w:trPr>
        <w:tc>
          <w:tcPr>
            <w:tcW w:w="2268" w:type="dxa"/>
          </w:tcPr>
          <w:p w14:paraId="0D4CAEBB" w14:textId="77777777" w:rsidR="005A233C" w:rsidRPr="008E13F6" w:rsidRDefault="00000000">
            <w:r w:rsidRPr="008E13F6">
              <w:rPr>
                <w:sz w:val="18"/>
              </w:rPr>
              <w:t>Lateral Movement Risk</w:t>
            </w:r>
          </w:p>
        </w:tc>
        <w:tc>
          <w:tcPr>
            <w:tcW w:w="3402" w:type="dxa"/>
          </w:tcPr>
          <w:p w14:paraId="51D7FC4C" w14:textId="1F33186E" w:rsidR="005A233C" w:rsidRPr="008E13F6" w:rsidRDefault="00000000">
            <w:r w:rsidRPr="008E13F6">
              <w:rPr>
                <w:sz w:val="18"/>
              </w:rPr>
              <w:t>High unrestricted movement once inside</w:t>
            </w:r>
          </w:p>
        </w:tc>
        <w:tc>
          <w:tcPr>
            <w:tcW w:w="3685" w:type="dxa"/>
          </w:tcPr>
          <w:p w14:paraId="65F6CA92" w14:textId="063CFF45" w:rsidR="005A233C" w:rsidRPr="008E13F6" w:rsidRDefault="00000000">
            <w:r w:rsidRPr="008E13F6">
              <w:rPr>
                <w:sz w:val="18"/>
              </w:rPr>
              <w:t>Low segmentation limits compromise radius</w:t>
            </w:r>
          </w:p>
        </w:tc>
      </w:tr>
      <w:tr w:rsidR="005A233C" w:rsidRPr="008E13F6" w14:paraId="5BECD411" w14:textId="77777777">
        <w:trPr>
          <w:jc w:val="center"/>
        </w:trPr>
        <w:tc>
          <w:tcPr>
            <w:tcW w:w="2268" w:type="dxa"/>
          </w:tcPr>
          <w:p w14:paraId="193FD388" w14:textId="77777777" w:rsidR="005A233C" w:rsidRPr="008E13F6" w:rsidRDefault="00000000">
            <w:r w:rsidRPr="008E13F6">
              <w:rPr>
                <w:sz w:val="18"/>
              </w:rPr>
              <w:t>Remote Workforce</w:t>
            </w:r>
          </w:p>
        </w:tc>
        <w:tc>
          <w:tcPr>
            <w:tcW w:w="3402" w:type="dxa"/>
          </w:tcPr>
          <w:p w14:paraId="40A2B5E3" w14:textId="77777777" w:rsidR="005A233C" w:rsidRPr="008E13F6" w:rsidRDefault="00000000">
            <w:r w:rsidRPr="008E13F6">
              <w:rPr>
                <w:sz w:val="18"/>
              </w:rPr>
              <w:t>Strained VPN scaling; latency and capacity issues</w:t>
            </w:r>
          </w:p>
        </w:tc>
        <w:tc>
          <w:tcPr>
            <w:tcW w:w="3685" w:type="dxa"/>
          </w:tcPr>
          <w:p w14:paraId="3D28A91F" w14:textId="77777777" w:rsidR="005A233C" w:rsidRPr="008E13F6" w:rsidRDefault="00000000">
            <w:r w:rsidRPr="008E13F6">
              <w:rPr>
                <w:sz w:val="18"/>
              </w:rPr>
              <w:t>Native; ZTNA/SASE cloud-delivered access</w:t>
            </w:r>
          </w:p>
        </w:tc>
      </w:tr>
      <w:tr w:rsidR="005A233C" w:rsidRPr="008E13F6" w14:paraId="724CF4F5" w14:textId="77777777">
        <w:trPr>
          <w:jc w:val="center"/>
        </w:trPr>
        <w:tc>
          <w:tcPr>
            <w:tcW w:w="2268" w:type="dxa"/>
          </w:tcPr>
          <w:p w14:paraId="279066CB" w14:textId="77777777" w:rsidR="005A233C" w:rsidRPr="008E13F6" w:rsidRDefault="00000000">
            <w:r w:rsidRPr="008E13F6">
              <w:rPr>
                <w:sz w:val="18"/>
              </w:rPr>
              <w:t>Data Protection</w:t>
            </w:r>
          </w:p>
        </w:tc>
        <w:tc>
          <w:tcPr>
            <w:tcW w:w="3402" w:type="dxa"/>
          </w:tcPr>
          <w:p w14:paraId="69C452AF" w14:textId="77777777" w:rsidR="005A233C" w:rsidRPr="008E13F6" w:rsidRDefault="00000000">
            <w:r w:rsidRPr="008E13F6">
              <w:rPr>
                <w:sz w:val="18"/>
              </w:rPr>
              <w:t>Perimeter-focused; data assumed safe internally</w:t>
            </w:r>
          </w:p>
        </w:tc>
        <w:tc>
          <w:tcPr>
            <w:tcW w:w="3685" w:type="dxa"/>
          </w:tcPr>
          <w:p w14:paraId="2BA4F4B8" w14:textId="77777777" w:rsidR="005A233C" w:rsidRPr="008E13F6" w:rsidRDefault="00000000">
            <w:r w:rsidRPr="008E13F6">
              <w:rPr>
                <w:sz w:val="18"/>
              </w:rPr>
              <w:t>Data-layer controls regardless of location</w:t>
            </w:r>
          </w:p>
        </w:tc>
      </w:tr>
      <w:tr w:rsidR="005A233C" w:rsidRPr="008E13F6" w14:paraId="33DE1031" w14:textId="77777777">
        <w:trPr>
          <w:jc w:val="center"/>
        </w:trPr>
        <w:tc>
          <w:tcPr>
            <w:tcW w:w="2268" w:type="dxa"/>
          </w:tcPr>
          <w:p w14:paraId="0D5E4B1A" w14:textId="77777777" w:rsidR="005A233C" w:rsidRPr="008E13F6" w:rsidRDefault="00000000">
            <w:r w:rsidRPr="008E13F6">
              <w:rPr>
                <w:sz w:val="18"/>
              </w:rPr>
              <w:t>Breach Dwell Time</w:t>
            </w:r>
          </w:p>
        </w:tc>
        <w:tc>
          <w:tcPr>
            <w:tcW w:w="3402" w:type="dxa"/>
          </w:tcPr>
          <w:p w14:paraId="7573CDBA" w14:textId="6D199C3B" w:rsidR="005A233C" w:rsidRPr="008E13F6" w:rsidRDefault="00000000">
            <w:r w:rsidRPr="008E13F6">
              <w:rPr>
                <w:sz w:val="18"/>
              </w:rPr>
              <w:t>Extended limited internal detection capability</w:t>
            </w:r>
          </w:p>
        </w:tc>
        <w:tc>
          <w:tcPr>
            <w:tcW w:w="3685" w:type="dxa"/>
          </w:tcPr>
          <w:p w14:paraId="76A85BFE" w14:textId="0A8B7D0C" w:rsidR="005A233C" w:rsidRPr="008E13F6" w:rsidRDefault="00000000">
            <w:r w:rsidRPr="008E13F6">
              <w:rPr>
                <w:sz w:val="18"/>
              </w:rPr>
              <w:t>Reduced continuous monitoring flags anomalies</w:t>
            </w:r>
          </w:p>
        </w:tc>
      </w:tr>
    </w:tbl>
    <w:p w14:paraId="691FF773" w14:textId="77777777" w:rsidR="005A233C" w:rsidRPr="008E13F6" w:rsidRDefault="005A233C"/>
    <w:p w14:paraId="7AAFB53D" w14:textId="4CD0D2D3" w:rsidR="008E13F6" w:rsidRPr="00630A45" w:rsidRDefault="008E13F6" w:rsidP="008E13F6">
      <w:pPr>
        <w:rPr>
          <w:rFonts w:cs="Arial"/>
          <w:szCs w:val="24"/>
        </w:rPr>
      </w:pPr>
      <w:r w:rsidRPr="00BC69F0">
        <w:rPr>
          <w:rFonts w:cs="Arial"/>
          <w:szCs w:val="24"/>
        </w:rPr>
        <w:t xml:space="preserve">The consequences of this divergence can be measured. IBM's Cost of a Data Breach Report found that organisations with mature Zero Trust deployments incurred an </w:t>
      </w:r>
      <w:r w:rsidRPr="00BC69F0">
        <w:rPr>
          <w:rFonts w:cs="Arial"/>
          <w:szCs w:val="24"/>
        </w:rPr>
        <w:lastRenderedPageBreak/>
        <w:t xml:space="preserve">average breach cost of USD 3.51 million, compared to USD 5.36 million for those without it, a saving of USD 1.76 million per incident [5]. The same research identified reduced dwell time, driven by ZTA's continuous monitoring, as the main reason costs fell. The Equifax breach shows what that dwell-time vulnerability looks like in practice: </w:t>
      </w:r>
      <w:r w:rsidRPr="00630A45">
        <w:rPr>
          <w:rFonts w:cs="Arial"/>
          <w:szCs w:val="24"/>
        </w:rPr>
        <w:t>attackers kept undetected access for 76 days because of a flat network architecture and a disabled traffic inspection capability, precisely what ZTA is designed to prevent[1].</w:t>
      </w:r>
    </w:p>
    <w:p w14:paraId="71D58ED2" w14:textId="13CE9EBD" w:rsidR="008E13F6" w:rsidRPr="00BC69F0" w:rsidRDefault="008E13F6">
      <w:pPr>
        <w:rPr>
          <w:rFonts w:cs="Arial"/>
          <w:szCs w:val="24"/>
        </w:rPr>
      </w:pPr>
      <w:r w:rsidRPr="00630A45">
        <w:rPr>
          <w:rFonts w:cs="Arial"/>
          <w:szCs w:val="24"/>
        </w:rPr>
        <w:t>Traditional VPN-based remote access has also struggled at enterprise scale. VPN architectures funnel all remote traffic through central inspection points, which creates latency and capacity constraints, and extends implicit trust to remote sessions once a user is authenticated. ZTNA instead brokers access per application, after continuous identity and device verification, improving both security and the user experience [4</w:t>
      </w:r>
      <w:r w:rsidRPr="00BC69F0">
        <w:rPr>
          <w:rFonts w:cs="Arial"/>
          <w:szCs w:val="24"/>
        </w:rPr>
        <w:t>].</w:t>
      </w:r>
    </w:p>
    <w:p w14:paraId="2EB6C83A" w14:textId="77777777" w:rsidR="005A233C" w:rsidRPr="00066D76" w:rsidRDefault="00000000" w:rsidP="00E14050">
      <w:pPr>
        <w:pStyle w:val="Heading2"/>
      </w:pPr>
      <w:bookmarkStart w:id="4" w:name="_Toc236328096"/>
      <w:r w:rsidRPr="00066D76">
        <w:t>1.4 Implementation Challenges</w:t>
      </w:r>
      <w:bookmarkEnd w:id="4"/>
    </w:p>
    <w:p w14:paraId="352C3768" w14:textId="77777777" w:rsidR="005A233C" w:rsidRPr="00BC69F0" w:rsidRDefault="00000000">
      <w:pPr>
        <w:rPr>
          <w:rFonts w:cs="Arial"/>
          <w:szCs w:val="24"/>
        </w:rPr>
      </w:pPr>
      <w:r w:rsidRPr="00BC69F0">
        <w:rPr>
          <w:rFonts w:cs="Arial"/>
          <w:szCs w:val="24"/>
        </w:rPr>
        <w:t>Despite its compelling strategic rationale, ZTA adoption is not frictionless. Organisations encounter substantive technical, cultural, and financial obstacles that must be addressed systematically to achieve genuine security improvement rather than superficial re-labelling of existing controls.</w:t>
      </w:r>
    </w:p>
    <w:p w14:paraId="7C565E8E" w14:textId="25589437" w:rsidR="005A233C" w:rsidRPr="00C97132" w:rsidRDefault="00000000" w:rsidP="008C51E4">
      <w:pPr>
        <w:spacing w:after="80"/>
        <w:rPr>
          <w:rFonts w:cs="Arial"/>
          <w:bCs/>
          <w:szCs w:val="24"/>
        </w:rPr>
      </w:pPr>
      <w:r w:rsidRPr="00BC69F0">
        <w:rPr>
          <w:rFonts w:cs="Arial"/>
          <w:b/>
          <w:szCs w:val="24"/>
        </w:rPr>
        <w:t>Legacy Infrastructure Incompatibility</w:t>
      </w:r>
      <w:r w:rsidRPr="00BC69F0">
        <w:rPr>
          <w:rFonts w:cs="Arial"/>
          <w:bCs/>
          <w:szCs w:val="24"/>
        </w:rPr>
        <w:t xml:space="preserve">: </w:t>
      </w:r>
      <w:r w:rsidR="008E13F6" w:rsidRPr="00BC69F0">
        <w:rPr>
          <w:rFonts w:cs="Arial"/>
          <w:bCs/>
          <w:szCs w:val="24"/>
        </w:rPr>
        <w:t>A substantial share of enterprise environments include legacy systems, industrial operational technology (OT), mainframes, and inherited SaaS platforms that cannot natively support modern identity-aware protocols such as OAuth 2.0, SAML, or OpenID Connect. These systems often run on hardcoded credentials, lack support for certificate-based authentication, and cannot participate in continuous session validation. Retrofitting them, or building proxy-based compensating controls around them, is technically complex, resource-intensive, and disruptive to operations. Organisations need a legacy estate risk register, and should prioritise</w:t>
      </w:r>
      <w:r w:rsidR="008E13F6" w:rsidRPr="008E13F6">
        <w:rPr>
          <w:bCs/>
        </w:rPr>
        <w:t xml:space="preserve"> </w:t>
      </w:r>
      <w:r w:rsidR="008E13F6" w:rsidRPr="00C97132">
        <w:rPr>
          <w:rFonts w:cs="Arial"/>
          <w:bCs/>
          <w:szCs w:val="24"/>
        </w:rPr>
        <w:t>compensating controls such as network isolation and enhanced monitoring for systems that cannot be modernised within an acceptable timeframe [3].</w:t>
      </w:r>
    </w:p>
    <w:p w14:paraId="18765C42" w14:textId="727B0BE8" w:rsidR="005A233C" w:rsidRPr="00C97132" w:rsidRDefault="00000000" w:rsidP="008C51E4">
      <w:pPr>
        <w:spacing w:after="80"/>
        <w:rPr>
          <w:rFonts w:cs="Arial"/>
          <w:szCs w:val="24"/>
        </w:rPr>
      </w:pPr>
      <w:r w:rsidRPr="00C97132">
        <w:rPr>
          <w:rFonts w:cs="Arial"/>
          <w:b/>
          <w:szCs w:val="24"/>
        </w:rPr>
        <w:t xml:space="preserve">Identity Sprawl and Governance Deficits: </w:t>
      </w:r>
      <w:r w:rsidR="008E13F6" w:rsidRPr="00C97132">
        <w:rPr>
          <w:rFonts w:cs="Arial"/>
          <w:szCs w:val="24"/>
        </w:rPr>
        <w:t xml:space="preserve">ZTA is identity-centric at its core: without a unified, authoritative identity fabric covering human users, service accounts, API keys, and machine identities, the architecture cannot enforce meaningful access </w:t>
      </w:r>
      <w:r w:rsidR="008E13F6" w:rsidRPr="00C97132">
        <w:rPr>
          <w:rFonts w:cs="Arial"/>
          <w:szCs w:val="24"/>
        </w:rPr>
        <w:lastRenderedPageBreak/>
        <w:t>control. Many enterprises run fragmented Identity and Access Management (IAM) systems, unmanaged service accounts with excessive privileges, ungoverned API credentials, and unregistered shadow IT assets. Building the asset and identity inventory that ZTA requires as a prerequisite can itself be a multi-month project [4].</w:t>
      </w:r>
    </w:p>
    <w:p w14:paraId="0FBE0E65" w14:textId="5D8356F9" w:rsidR="005A233C" w:rsidRPr="00630A45" w:rsidRDefault="00000000" w:rsidP="008C51E4">
      <w:pPr>
        <w:spacing w:after="80"/>
        <w:rPr>
          <w:rFonts w:cs="Arial"/>
          <w:szCs w:val="24"/>
        </w:rPr>
      </w:pPr>
      <w:r w:rsidRPr="00630A45">
        <w:rPr>
          <w:rFonts w:cs="Arial"/>
          <w:b/>
          <w:szCs w:val="24"/>
        </w:rPr>
        <w:t xml:space="preserve">Cultural and User Resistance: </w:t>
      </w:r>
      <w:r w:rsidR="008E13F6" w:rsidRPr="00630A45">
        <w:rPr>
          <w:rFonts w:cs="Arial"/>
          <w:bCs/>
          <w:szCs w:val="24"/>
        </w:rPr>
        <w:t>Zero Trust adds authentication friction for end users through MFA requirements, device compliance checks, and conditional access policies that can block access from non-compliant devices or unexpected locations. Employees used to persistent VPN sessions or frictionless single sign-on may experience this as a drop in productivity. Without executive communication of the security rationale, investment in low-friction authentication technologies (FIDO2 passkeys, transparent device health checks, for example), and a helpdesk ready to handle the fallout, that friction pushes people toward shadow IT and policy workarounds, the opposite of what the policy was meant to achieve.</w:t>
      </w:r>
    </w:p>
    <w:p w14:paraId="093AF7EF" w14:textId="2ACF6E52" w:rsidR="005A233C" w:rsidRPr="00427500" w:rsidRDefault="00000000" w:rsidP="008C51E4">
      <w:pPr>
        <w:spacing w:after="80"/>
        <w:rPr>
          <w:rFonts w:cs="Arial"/>
          <w:bCs/>
          <w:szCs w:val="24"/>
        </w:rPr>
      </w:pPr>
      <w:r w:rsidRPr="00C97132">
        <w:rPr>
          <w:rFonts w:cs="Arial"/>
          <w:b/>
          <w:szCs w:val="24"/>
        </w:rPr>
        <w:t>Phased Complexity and Sustained Investment</w:t>
      </w:r>
      <w:r w:rsidRPr="00C97132">
        <w:rPr>
          <w:rFonts w:cs="Arial"/>
          <w:bCs/>
          <w:szCs w:val="24"/>
        </w:rPr>
        <w:t xml:space="preserve">: </w:t>
      </w:r>
      <w:r w:rsidR="008E13F6" w:rsidRPr="00C97132">
        <w:rPr>
          <w:rFonts w:cs="Arial"/>
          <w:bCs/>
          <w:szCs w:val="24"/>
        </w:rPr>
        <w:t xml:space="preserve">ZTA is a maturity journey, not </w:t>
      </w:r>
      <w:r w:rsidR="008E13F6" w:rsidRPr="00427500">
        <w:rPr>
          <w:rFonts w:cs="Arial"/>
          <w:bCs/>
          <w:szCs w:val="24"/>
        </w:rPr>
        <w:t>something you deploy as a product. NIST 800-207 describes a progression from initial (manual processes, siloed IAM) to optimal (fully automated, integrated, cross-pillar enforcement) [3]. Reaching mature ZTA across all five pillars, identity, device, network, application, and data, requires sustained multi-year investment and executive commitment, which often runs into competing business priorities or changes in leadership.</w:t>
      </w:r>
    </w:p>
    <w:p w14:paraId="36464AFD" w14:textId="5EF7BA9A" w:rsidR="005A233C" w:rsidRPr="00C97132" w:rsidRDefault="00000000" w:rsidP="007D4BA9">
      <w:pPr>
        <w:spacing w:after="80"/>
        <w:rPr>
          <w:rFonts w:cs="Arial"/>
          <w:szCs w:val="24"/>
        </w:rPr>
      </w:pPr>
      <w:r w:rsidRPr="00C97132">
        <w:rPr>
          <w:rFonts w:cs="Arial"/>
          <w:b/>
          <w:szCs w:val="24"/>
        </w:rPr>
        <w:t xml:space="preserve">Vendor Ecosystem Fragmentation: </w:t>
      </w:r>
      <w:r w:rsidR="008E13F6" w:rsidRPr="00C97132">
        <w:rPr>
          <w:rFonts w:cs="Arial"/>
          <w:szCs w:val="24"/>
        </w:rPr>
        <w:t>The commercial ZTA market remains fragmented across IAM vendors, SASE providers, CSPM platforms, and endpoint security specialists. Without a coherent integration strategy and a vendor-neutral reference architecture, organisations risk deploying overlapping or incompatible tools, creating operational complexity, coverage gaps, and rising licence costs without a matching gain in security [4]</w:t>
      </w:r>
    </w:p>
    <w:p w14:paraId="41B7AA78" w14:textId="77777777" w:rsidR="005A233C" w:rsidRPr="00C97132" w:rsidRDefault="00000000" w:rsidP="00E14050">
      <w:pPr>
        <w:pStyle w:val="Heading2"/>
      </w:pPr>
      <w:bookmarkStart w:id="5" w:name="_Toc236328097"/>
      <w:r w:rsidRPr="00C97132">
        <w:t>1.5 Critical Evaluation and Conclusion</w:t>
      </w:r>
      <w:bookmarkEnd w:id="5"/>
    </w:p>
    <w:p w14:paraId="30748C79" w14:textId="5B73E928" w:rsidR="008E13F6" w:rsidRPr="00C97132" w:rsidRDefault="008E13F6" w:rsidP="008E13F6">
      <w:pPr>
        <w:rPr>
          <w:rFonts w:cs="Arial"/>
          <w:szCs w:val="24"/>
        </w:rPr>
      </w:pPr>
      <w:r w:rsidRPr="00C97132">
        <w:rPr>
          <w:rFonts w:cs="Arial"/>
          <w:szCs w:val="24"/>
        </w:rPr>
        <w:t xml:space="preserve">The evidence for Zero Trust Architecture is strong, as IBM's research shows it cuts dwell time, lateral movement, and breach costs [5] and this matches what NIST SP </w:t>
      </w:r>
      <w:r w:rsidRPr="00C97132">
        <w:rPr>
          <w:rFonts w:cs="Arial"/>
          <w:szCs w:val="24"/>
        </w:rPr>
        <w:lastRenderedPageBreak/>
        <w:t>800-207 says architecturally [3]. For companies with remote workers, data in the cloud, and lots of outside vendors, ZTA isn't just a nice idea</w:t>
      </w:r>
      <w:r w:rsidR="00700C0D" w:rsidRPr="00C97132">
        <w:rPr>
          <w:rFonts w:cs="Arial"/>
          <w:szCs w:val="24"/>
        </w:rPr>
        <w:t>;</w:t>
      </w:r>
      <w:r w:rsidRPr="00C97132">
        <w:rPr>
          <w:rFonts w:cs="Arial"/>
          <w:szCs w:val="24"/>
        </w:rPr>
        <w:t xml:space="preserve"> it's something they actually need.</w:t>
      </w:r>
    </w:p>
    <w:p w14:paraId="023DDA59" w14:textId="77777777" w:rsidR="008E13F6" w:rsidRPr="00EE3C9A" w:rsidRDefault="008E13F6" w:rsidP="008E13F6">
      <w:pPr>
        <w:rPr>
          <w:rFonts w:cs="Arial"/>
        </w:rPr>
      </w:pPr>
      <w:r w:rsidRPr="00C97132">
        <w:rPr>
          <w:rFonts w:cs="Arial"/>
          <w:szCs w:val="24"/>
        </w:rPr>
        <w:t>But it's not perfect. ZTA doesn't stop supply chain attacks: in 2020, SolarWinds showed that a trusted identity and a signed software update can still be turned into a weapon inside a Zero Trust setup, because the attack came in through a channel the system already trusted. ZTA also won't catch a</w:t>
      </w:r>
      <w:r w:rsidRPr="008E13F6">
        <w:t xml:space="preserve"> </w:t>
      </w:r>
      <w:r w:rsidRPr="00EE3C9A">
        <w:rPr>
          <w:rFonts w:cs="Arial"/>
        </w:rPr>
        <w:t>clever insider who stays within the access they were already given, unless you add User and Entity Behaviour Analytics (UEBA) on top. And ZTA only works if you keep maintaining it: managing certificates, reviewing who has access, and enforcing policy aren't things you set up once and forget [4].</w:t>
      </w:r>
    </w:p>
    <w:p w14:paraId="19EE3A63" w14:textId="77777777" w:rsidR="008E13F6" w:rsidRPr="00EE3C9A" w:rsidRDefault="008E13F6" w:rsidP="008E13F6">
      <w:pPr>
        <w:rPr>
          <w:rFonts w:cs="Arial"/>
        </w:rPr>
      </w:pPr>
      <w:r w:rsidRPr="00EE3C9A">
        <w:rPr>
          <w:rFonts w:cs="Arial"/>
        </w:rPr>
        <w:t>Companies get the most value from ZTA when they treat it as an ongoing program, not a one-off project: start by cleaning up identity and listing all your assets, then segment the network, then add automated monitoring everywhere. What makes it succeed is executive backing, a clear roadmap matched to how much risk the business can tolerate, and ways to actually measure progress. Done properly, ZTA turns security from something reactive that depends on a perimeter into something that adapts as things change.</w:t>
      </w:r>
    </w:p>
    <w:p w14:paraId="6487E0B1" w14:textId="062588F7" w:rsidR="005A233C" w:rsidRPr="008E13F6" w:rsidRDefault="005A233C"/>
    <w:p w14:paraId="4BC3DEDC" w14:textId="129B2CBD" w:rsidR="005A233C" w:rsidRPr="008E13F6" w:rsidRDefault="00000000" w:rsidP="00700C0D">
      <w:pPr>
        <w:pStyle w:val="Heading1"/>
      </w:pPr>
      <w:bookmarkStart w:id="6" w:name="_Toc236328098"/>
      <w:r w:rsidRPr="008E13F6">
        <w:t>Task 2: Equifax 2017 Data Breach</w:t>
      </w:r>
      <w:r w:rsidR="008D23E7">
        <w:t xml:space="preserve"> -</w:t>
      </w:r>
      <w:r w:rsidRPr="008E13F6">
        <w:t xml:space="preserve"> Designing a Structured Cybersecurity Programme</w:t>
      </w:r>
      <w:bookmarkEnd w:id="6"/>
    </w:p>
    <w:p w14:paraId="344981BA" w14:textId="77777777" w:rsidR="005A233C" w:rsidRPr="008E13F6" w:rsidRDefault="00000000" w:rsidP="00E14050">
      <w:pPr>
        <w:pStyle w:val="Heading2"/>
      </w:pPr>
      <w:bookmarkStart w:id="7" w:name="_Toc236328099"/>
      <w:r w:rsidRPr="008E13F6">
        <w:t>Background</w:t>
      </w:r>
      <w:bookmarkEnd w:id="7"/>
    </w:p>
    <w:p w14:paraId="31734E36" w14:textId="33A2C2C8" w:rsidR="008E13F6" w:rsidRPr="00A1261B" w:rsidRDefault="008E13F6" w:rsidP="00700C0D">
      <w:pPr>
        <w:rPr>
          <w:rFonts w:cs="Arial"/>
          <w:szCs w:val="24"/>
        </w:rPr>
      </w:pPr>
      <w:r w:rsidRPr="00A1261B">
        <w:rPr>
          <w:rFonts w:cs="Arial"/>
          <w:szCs w:val="24"/>
        </w:rPr>
        <w:t>In March 2017 a critical remote code execution vulnerability in the Apache Struts web application framework, CVE-2017-5638, with a CVSS score of 10.0 was publicly disclosed and patched by the Apache Software Foundation. Equifax, one of the three largest consumer credit reporting agencies in the world, failed to apply that patch to its online dispute portal. And on 13 May 2017, threat actors used this vulnerability to gain initial access to Equifax's systems [1].</w:t>
      </w:r>
    </w:p>
    <w:p w14:paraId="2F8C3DDE" w14:textId="77777777" w:rsidR="008E13F6" w:rsidRPr="004530C4" w:rsidRDefault="008E13F6" w:rsidP="00700C0D">
      <w:pPr>
        <w:rPr>
          <w:rFonts w:cs="Arial"/>
          <w:szCs w:val="24"/>
        </w:rPr>
      </w:pPr>
      <w:r w:rsidRPr="00A1261B">
        <w:rPr>
          <w:rFonts w:cs="Arial"/>
          <w:szCs w:val="24"/>
        </w:rPr>
        <w:t>The attackers kept access for 76 days, moving laterally through a network that wasn't properly segmented, and pulled out the personally identifiable information (PII) of</w:t>
      </w:r>
      <w:r w:rsidRPr="004530C4">
        <w:rPr>
          <w:rFonts w:cs="Arial"/>
          <w:szCs w:val="24"/>
        </w:rPr>
        <w:t xml:space="preserve"> </w:t>
      </w:r>
      <w:r w:rsidRPr="004530C4">
        <w:rPr>
          <w:rFonts w:cs="Arial"/>
          <w:szCs w:val="24"/>
        </w:rPr>
        <w:lastRenderedPageBreak/>
        <w:t>roughly 147 million people, including Social Security numbers, dates of birth, home addresses, and partial payment card details. A major contributing factor was an expired TLS inspection certificate that had disabled encrypted traffic monitoring for 19 months, leaving the Security Operations Centre (SOC) unable to see attacker traffic moving across the network [1]. The U.S. House of Representatives majority staff report identified further root causes: no clear ownership of vulnerability and patch management, no network segmentation between consumer-facing applications and internal databases, and sensitive PII stored without adequate encryption. Total remediation, legal, and consumer settlement costs came to more than USD 1.4 billion, making Equifax one of the costliest data breaches on record [1].</w:t>
      </w:r>
    </w:p>
    <w:p w14:paraId="28BEB124" w14:textId="3F487E17" w:rsidR="008E13F6" w:rsidRPr="004530C4" w:rsidRDefault="008E13F6" w:rsidP="00700C0D">
      <w:pPr>
        <w:rPr>
          <w:rFonts w:cs="Arial"/>
          <w:szCs w:val="24"/>
        </w:rPr>
      </w:pPr>
      <w:r w:rsidRPr="004530C4">
        <w:rPr>
          <w:rFonts w:cs="Arial"/>
          <w:szCs w:val="24"/>
        </w:rPr>
        <w:t>The programme set out below addresses each of these root causes directly, applying the Zero Trust principles from Task 1 alongside recognised governance frameworks.</w:t>
      </w:r>
    </w:p>
    <w:p w14:paraId="77648CDB" w14:textId="77777777" w:rsidR="00525923" w:rsidRDefault="00525923" w:rsidP="00E14050">
      <w:pPr>
        <w:pStyle w:val="Heading2"/>
      </w:pPr>
      <w:bookmarkStart w:id="8" w:name="_Toc236328100"/>
    </w:p>
    <w:p w14:paraId="72EE84F9" w14:textId="2B0EF1F2" w:rsidR="005A233C" w:rsidRPr="001B00CA" w:rsidRDefault="00000000" w:rsidP="00E14050">
      <w:pPr>
        <w:pStyle w:val="Heading2"/>
      </w:pPr>
      <w:r w:rsidRPr="001B00CA">
        <w:t>2.1 Organisational Structure and Accountability</w:t>
      </w:r>
      <w:bookmarkEnd w:id="8"/>
    </w:p>
    <w:p w14:paraId="43704363" w14:textId="78567FFF" w:rsidR="005A233C" w:rsidRPr="003975E0" w:rsidRDefault="00000000" w:rsidP="004C6A8A">
      <w:pPr>
        <w:rPr>
          <w:rFonts w:cs="Arial"/>
        </w:rPr>
      </w:pPr>
      <w:r w:rsidRPr="001B00CA">
        <w:rPr>
          <w:rFonts w:cs="Arial"/>
        </w:rPr>
        <w:t>The House majority staff report found that accountability for Equifax's vulnerability management programme was diffuse no single executive held unambiguous ownership of the end-to-end security outcome [1]. The governance structure proposed below directly resolves this failure by establishing a clear hierarchy with defined ownership, measurable accountability, and board-level visibility</w:t>
      </w:r>
      <w:r w:rsidRPr="003975E0">
        <w:rPr>
          <w:rFonts w:cs="Arial"/>
        </w:rPr>
        <w:t>.</w:t>
      </w:r>
    </w:p>
    <w:p w14:paraId="0EBC1107" w14:textId="77777777" w:rsidR="003975E0" w:rsidRDefault="003975E0" w:rsidP="004C6A8A">
      <w:pPr>
        <w:spacing w:after="0"/>
        <w:rPr>
          <w:rFonts w:ascii="Courier New" w:hAnsi="Courier New"/>
          <w:sz w:val="17"/>
        </w:rPr>
      </w:pPr>
    </w:p>
    <w:p w14:paraId="0B18A0B2" w14:textId="77777777" w:rsidR="0031278E" w:rsidRDefault="0031278E" w:rsidP="004C6A8A">
      <w:pPr>
        <w:spacing w:after="0"/>
        <w:rPr>
          <w:rFonts w:ascii="Courier New" w:hAnsi="Courier New"/>
          <w:sz w:val="17"/>
        </w:rPr>
      </w:pPr>
    </w:p>
    <w:p w14:paraId="312F111C" w14:textId="77777777" w:rsidR="00525923" w:rsidRDefault="00525923" w:rsidP="004C6A8A">
      <w:pPr>
        <w:spacing w:after="0"/>
        <w:rPr>
          <w:rFonts w:ascii="Courier New" w:hAnsi="Courier New"/>
          <w:sz w:val="17"/>
        </w:rPr>
      </w:pPr>
    </w:p>
    <w:p w14:paraId="046E1AEE" w14:textId="77777777" w:rsidR="00525923" w:rsidRDefault="00525923" w:rsidP="004C6A8A">
      <w:pPr>
        <w:spacing w:after="0"/>
        <w:rPr>
          <w:rFonts w:ascii="Courier New" w:hAnsi="Courier New"/>
          <w:sz w:val="17"/>
        </w:rPr>
      </w:pPr>
    </w:p>
    <w:p w14:paraId="52F5BEB4" w14:textId="77777777" w:rsidR="00525923" w:rsidRDefault="00525923" w:rsidP="004C6A8A">
      <w:pPr>
        <w:spacing w:after="0"/>
        <w:rPr>
          <w:rFonts w:ascii="Courier New" w:hAnsi="Courier New"/>
          <w:sz w:val="17"/>
        </w:rPr>
      </w:pPr>
    </w:p>
    <w:p w14:paraId="361CE6D4" w14:textId="77777777" w:rsidR="00525923" w:rsidRDefault="00525923" w:rsidP="004C6A8A">
      <w:pPr>
        <w:spacing w:after="0"/>
        <w:rPr>
          <w:rFonts w:ascii="Courier New" w:hAnsi="Courier New"/>
          <w:sz w:val="17"/>
        </w:rPr>
      </w:pPr>
    </w:p>
    <w:p w14:paraId="0455F641" w14:textId="77777777" w:rsidR="00525923" w:rsidRDefault="00525923" w:rsidP="004C6A8A">
      <w:pPr>
        <w:spacing w:after="0"/>
        <w:rPr>
          <w:rFonts w:ascii="Courier New" w:hAnsi="Courier New"/>
          <w:sz w:val="17"/>
        </w:rPr>
      </w:pPr>
    </w:p>
    <w:p w14:paraId="2FBA6FC9" w14:textId="77777777" w:rsidR="00525923" w:rsidRDefault="00525923" w:rsidP="004C6A8A">
      <w:pPr>
        <w:spacing w:after="0"/>
        <w:rPr>
          <w:rFonts w:ascii="Courier New" w:hAnsi="Courier New"/>
          <w:sz w:val="17"/>
        </w:rPr>
      </w:pPr>
    </w:p>
    <w:p w14:paraId="48CB8A25" w14:textId="77777777" w:rsidR="00525923" w:rsidRDefault="00525923" w:rsidP="004C6A8A">
      <w:pPr>
        <w:spacing w:after="0"/>
        <w:rPr>
          <w:rFonts w:ascii="Courier New" w:hAnsi="Courier New"/>
          <w:sz w:val="17"/>
        </w:rPr>
      </w:pPr>
    </w:p>
    <w:p w14:paraId="100DD478" w14:textId="77777777" w:rsidR="00525923" w:rsidRDefault="00525923" w:rsidP="004C6A8A">
      <w:pPr>
        <w:spacing w:after="0"/>
        <w:rPr>
          <w:rFonts w:ascii="Courier New" w:hAnsi="Courier New"/>
          <w:sz w:val="17"/>
        </w:rPr>
      </w:pPr>
    </w:p>
    <w:p w14:paraId="7E079CCC" w14:textId="77777777" w:rsidR="00525923" w:rsidRDefault="00525923" w:rsidP="004C6A8A">
      <w:pPr>
        <w:spacing w:after="0"/>
        <w:rPr>
          <w:rFonts w:ascii="Courier New" w:hAnsi="Courier New"/>
          <w:sz w:val="17"/>
        </w:rPr>
      </w:pPr>
    </w:p>
    <w:p w14:paraId="6573EF31" w14:textId="77777777" w:rsidR="00525923" w:rsidRDefault="00525923" w:rsidP="004C6A8A">
      <w:pPr>
        <w:spacing w:after="0"/>
        <w:rPr>
          <w:rFonts w:ascii="Courier New" w:hAnsi="Courier New"/>
          <w:sz w:val="17"/>
        </w:rPr>
      </w:pPr>
    </w:p>
    <w:p w14:paraId="01B673B1" w14:textId="77777777" w:rsidR="00525923" w:rsidRDefault="00525923" w:rsidP="004C6A8A">
      <w:pPr>
        <w:spacing w:after="0"/>
        <w:rPr>
          <w:rFonts w:ascii="Courier New" w:hAnsi="Courier New"/>
          <w:sz w:val="17"/>
        </w:rPr>
      </w:pPr>
    </w:p>
    <w:p w14:paraId="2526EB87" w14:textId="77777777" w:rsidR="00525923" w:rsidRDefault="00525923" w:rsidP="004C6A8A">
      <w:pPr>
        <w:spacing w:after="0"/>
        <w:rPr>
          <w:rFonts w:ascii="Courier New" w:hAnsi="Courier New"/>
          <w:sz w:val="17"/>
        </w:rPr>
      </w:pPr>
    </w:p>
    <w:p w14:paraId="171C661C" w14:textId="77777777" w:rsidR="00525923" w:rsidRDefault="00525923" w:rsidP="004C6A8A">
      <w:pPr>
        <w:spacing w:after="0"/>
        <w:rPr>
          <w:rFonts w:ascii="Courier New" w:hAnsi="Courier New"/>
          <w:sz w:val="17"/>
        </w:rPr>
      </w:pPr>
    </w:p>
    <w:p w14:paraId="44D5FB6A" w14:textId="3DE95473" w:rsidR="005A233C" w:rsidRPr="00427500" w:rsidRDefault="00000000" w:rsidP="004C6A8A">
      <w:pPr>
        <w:spacing w:after="0"/>
        <w:rPr>
          <w:sz w:val="20"/>
          <w:szCs w:val="20"/>
        </w:rPr>
      </w:pPr>
      <w:r w:rsidRPr="00427500">
        <w:rPr>
          <w:rFonts w:ascii="Courier New" w:hAnsi="Courier New"/>
          <w:sz w:val="20"/>
          <w:szCs w:val="20"/>
        </w:rPr>
        <w:lastRenderedPageBreak/>
        <w:t>Board of Directors</w:t>
      </w:r>
    </w:p>
    <w:p w14:paraId="601AF22A" w14:textId="681A9031" w:rsidR="005A233C" w:rsidRPr="00427500" w:rsidRDefault="00000000" w:rsidP="004C6A8A">
      <w:pPr>
        <w:spacing w:after="0"/>
        <w:rPr>
          <w:sz w:val="20"/>
          <w:szCs w:val="20"/>
        </w:rPr>
      </w:pPr>
      <w:r w:rsidRPr="00427500">
        <w:rPr>
          <w:rFonts w:ascii="Courier New" w:hAnsi="Courier New"/>
          <w:sz w:val="20"/>
          <w:szCs w:val="20"/>
        </w:rPr>
        <w:t xml:space="preserve">        │</w:t>
      </w:r>
    </w:p>
    <w:p w14:paraId="04C91B3D" w14:textId="77777777" w:rsidR="005A233C" w:rsidRPr="00427500" w:rsidRDefault="00000000" w:rsidP="004C6A8A">
      <w:pPr>
        <w:spacing w:after="0"/>
        <w:rPr>
          <w:sz w:val="20"/>
          <w:szCs w:val="20"/>
        </w:rPr>
      </w:pPr>
      <w:r w:rsidRPr="00427500">
        <w:rPr>
          <w:rFonts w:ascii="Courier New" w:hAnsi="Courier New"/>
          <w:sz w:val="20"/>
          <w:szCs w:val="20"/>
        </w:rPr>
        <w:t xml:space="preserve">        ▼</w:t>
      </w:r>
    </w:p>
    <w:p w14:paraId="3226AECE" w14:textId="77777777" w:rsidR="005A233C" w:rsidRPr="00427500" w:rsidRDefault="00000000" w:rsidP="004C6A8A">
      <w:pPr>
        <w:spacing w:after="0"/>
        <w:rPr>
          <w:sz w:val="20"/>
          <w:szCs w:val="20"/>
        </w:rPr>
      </w:pPr>
      <w:r w:rsidRPr="00427500">
        <w:rPr>
          <w:rFonts w:ascii="Courier New" w:hAnsi="Courier New"/>
          <w:sz w:val="20"/>
          <w:szCs w:val="20"/>
        </w:rPr>
        <w:t>Audit &amp; Risk Committee ─────────── External Auditors / Regulators</w:t>
      </w:r>
    </w:p>
    <w:p w14:paraId="110CDECB" w14:textId="77777777" w:rsidR="005A233C" w:rsidRPr="00427500" w:rsidRDefault="00000000" w:rsidP="004C6A8A">
      <w:pPr>
        <w:spacing w:after="0"/>
        <w:rPr>
          <w:sz w:val="20"/>
          <w:szCs w:val="20"/>
        </w:rPr>
      </w:pPr>
      <w:r w:rsidRPr="00427500">
        <w:rPr>
          <w:rFonts w:ascii="Courier New" w:hAnsi="Courier New"/>
          <w:sz w:val="20"/>
          <w:szCs w:val="20"/>
        </w:rPr>
        <w:t xml:space="preserve">        │</w:t>
      </w:r>
    </w:p>
    <w:p w14:paraId="35CBCFF0" w14:textId="77777777" w:rsidR="005A233C" w:rsidRPr="00427500" w:rsidRDefault="00000000" w:rsidP="004C6A8A">
      <w:pPr>
        <w:spacing w:after="0"/>
        <w:rPr>
          <w:sz w:val="20"/>
          <w:szCs w:val="20"/>
        </w:rPr>
      </w:pPr>
      <w:r w:rsidRPr="00427500">
        <w:rPr>
          <w:rFonts w:ascii="Courier New" w:hAnsi="Courier New"/>
          <w:sz w:val="20"/>
          <w:szCs w:val="20"/>
        </w:rPr>
        <w:t xml:space="preserve">        ▼</w:t>
      </w:r>
    </w:p>
    <w:p w14:paraId="66F4FAE2" w14:textId="77777777" w:rsidR="005A233C" w:rsidRPr="00427500" w:rsidRDefault="00000000" w:rsidP="004C6A8A">
      <w:pPr>
        <w:spacing w:after="0"/>
        <w:rPr>
          <w:sz w:val="20"/>
          <w:szCs w:val="20"/>
        </w:rPr>
      </w:pPr>
      <w:r w:rsidRPr="00427500">
        <w:rPr>
          <w:rFonts w:ascii="Courier New" w:hAnsi="Courier New"/>
          <w:sz w:val="20"/>
          <w:szCs w:val="20"/>
        </w:rPr>
        <w:t>Chief Executive Officer (CEO)</w:t>
      </w:r>
    </w:p>
    <w:p w14:paraId="5F49A1FE" w14:textId="77777777" w:rsidR="005A233C" w:rsidRPr="00427500" w:rsidRDefault="00000000" w:rsidP="004C6A8A">
      <w:pPr>
        <w:spacing w:after="0"/>
        <w:rPr>
          <w:sz w:val="20"/>
          <w:szCs w:val="20"/>
        </w:rPr>
      </w:pPr>
      <w:r w:rsidRPr="00427500">
        <w:rPr>
          <w:rFonts w:ascii="Courier New" w:hAnsi="Courier New"/>
          <w:sz w:val="20"/>
          <w:szCs w:val="20"/>
        </w:rPr>
        <w:t xml:space="preserve">        │</w:t>
      </w:r>
    </w:p>
    <w:p w14:paraId="26D86AB6" w14:textId="77777777" w:rsidR="005A233C" w:rsidRPr="00427500" w:rsidRDefault="00000000" w:rsidP="004C6A8A">
      <w:pPr>
        <w:spacing w:after="0"/>
        <w:rPr>
          <w:sz w:val="20"/>
          <w:szCs w:val="20"/>
        </w:rPr>
      </w:pPr>
      <w:r w:rsidRPr="00427500">
        <w:rPr>
          <w:rFonts w:ascii="Courier New" w:hAnsi="Courier New"/>
          <w:sz w:val="20"/>
          <w:szCs w:val="20"/>
        </w:rPr>
        <w:t xml:space="preserve">        ▼</w:t>
      </w:r>
    </w:p>
    <w:p w14:paraId="57828F00" w14:textId="77777777" w:rsidR="005A233C" w:rsidRPr="00427500" w:rsidRDefault="00000000" w:rsidP="004C6A8A">
      <w:pPr>
        <w:spacing w:after="0"/>
        <w:rPr>
          <w:sz w:val="20"/>
          <w:szCs w:val="20"/>
        </w:rPr>
      </w:pPr>
      <w:r w:rsidRPr="00427500">
        <w:rPr>
          <w:rFonts w:ascii="Courier New" w:hAnsi="Courier New"/>
          <w:sz w:val="20"/>
          <w:szCs w:val="20"/>
        </w:rPr>
        <w:t>Chief Information Security Officer (CISO)  ← reports to CEO; dotted-line to Audit Committee</w:t>
      </w:r>
    </w:p>
    <w:p w14:paraId="46B4C665" w14:textId="77777777" w:rsidR="005A233C" w:rsidRPr="00427500" w:rsidRDefault="00000000" w:rsidP="004C6A8A">
      <w:pPr>
        <w:spacing w:after="0"/>
        <w:rPr>
          <w:sz w:val="20"/>
          <w:szCs w:val="20"/>
        </w:rPr>
      </w:pPr>
      <w:r w:rsidRPr="00427500">
        <w:rPr>
          <w:rFonts w:ascii="Courier New" w:hAnsi="Courier New"/>
          <w:sz w:val="20"/>
          <w:szCs w:val="20"/>
        </w:rPr>
        <w:t xml:space="preserve">   ├── Security Architecture &amp; Engineering Lead</w:t>
      </w:r>
    </w:p>
    <w:p w14:paraId="202BF0E7" w14:textId="77777777" w:rsidR="005A233C" w:rsidRPr="00427500" w:rsidRDefault="00000000" w:rsidP="004C6A8A">
      <w:pPr>
        <w:spacing w:after="0"/>
        <w:rPr>
          <w:sz w:val="20"/>
          <w:szCs w:val="20"/>
        </w:rPr>
      </w:pPr>
      <w:r w:rsidRPr="00427500">
        <w:rPr>
          <w:rFonts w:ascii="Courier New" w:hAnsi="Courier New"/>
          <w:sz w:val="20"/>
          <w:szCs w:val="20"/>
        </w:rPr>
        <w:t xml:space="preserve">   │     ├── Cloud Security Team  (CSPM, </w:t>
      </w:r>
      <w:proofErr w:type="spellStart"/>
      <w:r w:rsidRPr="00427500">
        <w:rPr>
          <w:rFonts w:ascii="Courier New" w:hAnsi="Courier New"/>
          <w:sz w:val="20"/>
          <w:szCs w:val="20"/>
        </w:rPr>
        <w:t>DevSecOps</w:t>
      </w:r>
      <w:proofErr w:type="spellEnd"/>
      <w:r w:rsidRPr="00427500">
        <w:rPr>
          <w:rFonts w:ascii="Courier New" w:hAnsi="Courier New"/>
          <w:sz w:val="20"/>
          <w:szCs w:val="20"/>
        </w:rPr>
        <w:t xml:space="preserve"> pipeline)</w:t>
      </w:r>
    </w:p>
    <w:p w14:paraId="50C58A16" w14:textId="77777777" w:rsidR="005A233C" w:rsidRPr="00427500" w:rsidRDefault="00000000" w:rsidP="004C6A8A">
      <w:pPr>
        <w:spacing w:after="0"/>
        <w:rPr>
          <w:sz w:val="20"/>
          <w:szCs w:val="20"/>
        </w:rPr>
      </w:pPr>
      <w:r w:rsidRPr="00427500">
        <w:rPr>
          <w:rFonts w:ascii="Courier New" w:hAnsi="Courier New"/>
          <w:sz w:val="20"/>
          <w:szCs w:val="20"/>
        </w:rPr>
        <w:t xml:space="preserve">   │     └── Network Security Team  (Micro-segmentation, Firewall policy)</w:t>
      </w:r>
    </w:p>
    <w:p w14:paraId="454F425D" w14:textId="77777777" w:rsidR="005A233C" w:rsidRPr="00427500" w:rsidRDefault="00000000" w:rsidP="004C6A8A">
      <w:pPr>
        <w:spacing w:after="0"/>
        <w:rPr>
          <w:sz w:val="20"/>
          <w:szCs w:val="20"/>
        </w:rPr>
      </w:pPr>
      <w:r w:rsidRPr="00427500">
        <w:rPr>
          <w:rFonts w:ascii="Courier New" w:hAnsi="Courier New"/>
          <w:sz w:val="20"/>
          <w:szCs w:val="20"/>
        </w:rPr>
        <w:t xml:space="preserve">   ├── Security Operations Centre (SOC) Director</w:t>
      </w:r>
    </w:p>
    <w:p w14:paraId="0CB1B17F" w14:textId="77777777" w:rsidR="005A233C" w:rsidRPr="00427500" w:rsidRDefault="00000000" w:rsidP="004C6A8A">
      <w:pPr>
        <w:spacing w:after="0"/>
        <w:rPr>
          <w:sz w:val="20"/>
          <w:szCs w:val="20"/>
        </w:rPr>
      </w:pPr>
      <w:r w:rsidRPr="00427500">
        <w:rPr>
          <w:rFonts w:ascii="Courier New" w:hAnsi="Courier New"/>
          <w:sz w:val="20"/>
          <w:szCs w:val="20"/>
        </w:rPr>
        <w:t xml:space="preserve">   │     ├── Threat Intelligence &amp; Detection Engineers</w:t>
      </w:r>
    </w:p>
    <w:p w14:paraId="17F30219" w14:textId="77777777" w:rsidR="005A233C" w:rsidRPr="00427500" w:rsidRDefault="00000000" w:rsidP="004C6A8A">
      <w:pPr>
        <w:spacing w:after="0"/>
        <w:rPr>
          <w:sz w:val="20"/>
          <w:szCs w:val="20"/>
        </w:rPr>
      </w:pPr>
      <w:r w:rsidRPr="00427500">
        <w:rPr>
          <w:rFonts w:ascii="Courier New" w:hAnsi="Courier New"/>
          <w:sz w:val="20"/>
          <w:szCs w:val="20"/>
        </w:rPr>
        <w:t xml:space="preserve">   │     └── Incident Response Team</w:t>
      </w:r>
    </w:p>
    <w:p w14:paraId="60A42BF5" w14:textId="77777777" w:rsidR="005A233C" w:rsidRPr="00427500" w:rsidRDefault="00000000" w:rsidP="004C6A8A">
      <w:pPr>
        <w:spacing w:after="0"/>
        <w:rPr>
          <w:sz w:val="20"/>
          <w:szCs w:val="20"/>
        </w:rPr>
      </w:pPr>
      <w:r w:rsidRPr="00427500">
        <w:rPr>
          <w:rFonts w:ascii="Courier New" w:hAnsi="Courier New"/>
          <w:sz w:val="20"/>
          <w:szCs w:val="20"/>
        </w:rPr>
        <w:t xml:space="preserve">   ├── Governance, Risk &amp; Compliance (GRC) Manager</w:t>
      </w:r>
    </w:p>
    <w:p w14:paraId="15373CA9" w14:textId="77777777" w:rsidR="005A233C" w:rsidRPr="00427500" w:rsidRDefault="00000000" w:rsidP="004C6A8A">
      <w:pPr>
        <w:spacing w:after="0"/>
        <w:rPr>
          <w:sz w:val="20"/>
          <w:szCs w:val="20"/>
        </w:rPr>
      </w:pPr>
      <w:r w:rsidRPr="00427500">
        <w:rPr>
          <w:rFonts w:ascii="Courier New" w:hAnsi="Courier New"/>
          <w:sz w:val="20"/>
          <w:szCs w:val="20"/>
        </w:rPr>
        <w:t xml:space="preserve">   │     ├── Vulnerability Management Lead  ← owns patch-SLA KPI</w:t>
      </w:r>
    </w:p>
    <w:p w14:paraId="031ECD08" w14:textId="77777777" w:rsidR="005A233C" w:rsidRPr="00427500" w:rsidRDefault="00000000" w:rsidP="004C6A8A">
      <w:pPr>
        <w:spacing w:after="0"/>
        <w:rPr>
          <w:sz w:val="20"/>
          <w:szCs w:val="20"/>
        </w:rPr>
      </w:pPr>
      <w:r w:rsidRPr="00427500">
        <w:rPr>
          <w:rFonts w:ascii="Courier New" w:hAnsi="Courier New"/>
          <w:sz w:val="20"/>
          <w:szCs w:val="20"/>
        </w:rPr>
        <w:t xml:space="preserve">   │     └── Data Protection Officer (DPO)  ← regulatory interface</w:t>
      </w:r>
    </w:p>
    <w:p w14:paraId="4FAC50C5" w14:textId="77777777" w:rsidR="005A233C" w:rsidRPr="00427500" w:rsidRDefault="00000000" w:rsidP="004C6A8A">
      <w:pPr>
        <w:spacing w:after="0"/>
        <w:rPr>
          <w:sz w:val="20"/>
          <w:szCs w:val="20"/>
        </w:rPr>
      </w:pPr>
      <w:r w:rsidRPr="00427500">
        <w:rPr>
          <w:rFonts w:ascii="Courier New" w:hAnsi="Courier New"/>
          <w:sz w:val="20"/>
          <w:szCs w:val="20"/>
        </w:rPr>
        <w:t xml:space="preserve">   └── Secure SDLC Lead</w:t>
      </w:r>
    </w:p>
    <w:p w14:paraId="20A37D7F" w14:textId="77777777" w:rsidR="005A233C" w:rsidRPr="00427500" w:rsidRDefault="00000000" w:rsidP="004C6A8A">
      <w:pPr>
        <w:spacing w:after="0"/>
        <w:rPr>
          <w:sz w:val="20"/>
          <w:szCs w:val="20"/>
        </w:rPr>
      </w:pPr>
      <w:r w:rsidRPr="00427500">
        <w:rPr>
          <w:rFonts w:ascii="Courier New" w:hAnsi="Courier New"/>
          <w:sz w:val="20"/>
          <w:szCs w:val="20"/>
        </w:rPr>
        <w:t xml:space="preserve">         └── Application Security Engineers  (SAST/DAST integration)</w:t>
      </w:r>
    </w:p>
    <w:p w14:paraId="3B123925" w14:textId="77777777" w:rsidR="005A233C" w:rsidRPr="008E13F6" w:rsidRDefault="00000000" w:rsidP="004C6A8A">
      <w:pPr>
        <w:spacing w:before="40"/>
      </w:pPr>
      <w:r w:rsidRPr="008E13F6">
        <w:rPr>
          <w:b/>
          <w:sz w:val="20"/>
        </w:rPr>
        <w:t>Figure 1: Proposed Security Governance Hierarchy</w:t>
      </w:r>
    </w:p>
    <w:p w14:paraId="44FAD1FF" w14:textId="77777777" w:rsidR="00F06A90" w:rsidRDefault="00F06A90" w:rsidP="004C6A8A">
      <w:bookmarkStart w:id="9" w:name="_Toc236328101"/>
    </w:p>
    <w:p w14:paraId="55F37B3B" w14:textId="77777777" w:rsidR="00F06A90" w:rsidRDefault="008E13F6" w:rsidP="004C6A8A">
      <w:pPr>
        <w:rPr>
          <w:rFonts w:cs="Arial"/>
          <w:szCs w:val="24"/>
        </w:rPr>
      </w:pPr>
      <w:r w:rsidRPr="0031278E">
        <w:rPr>
          <w:rFonts w:cs="Arial"/>
          <w:szCs w:val="24"/>
        </w:rPr>
        <w:t>The CISO reports directly to the CEO and has formal dotted-line accountability to the Board's Audit and Risk Committee, so material security risks, including critical unpatched vulnerabilities and active incidents, reach the board without being filtered out along the way. This mirrors the accountability model in NIST CSF 2.0's "Govern" function, which treats cybersecurity risk as an enterprise-wide concern rather than something left to IT [6]. The dedicated Vulnerability Management Lead owns patch SLA compliance as a primary KPI, reported monthly to the CISO, and escalates critical-risk deviations to the Board within 24 hours. The DPO provides independent data protection oversight and has direct authority to engage regulators, which matters for meeting the 72-hour notification requirement under GDPR Article 33 [7] and for staying compliant with DORA's operational resilience obligations for financial entities [8].</w:t>
      </w:r>
    </w:p>
    <w:p w14:paraId="059B8B30" w14:textId="0E390377" w:rsidR="005A233C" w:rsidRPr="0031278E" w:rsidRDefault="008E13F6" w:rsidP="00E14050">
      <w:pPr>
        <w:pStyle w:val="Heading2"/>
      </w:pPr>
      <w:r w:rsidRPr="0031278E">
        <w:lastRenderedPageBreak/>
        <w:t>2.2 Policies and Procedures</w:t>
      </w:r>
      <w:bookmarkEnd w:id="9"/>
    </w:p>
    <w:p w14:paraId="40411AA3" w14:textId="19D72C41" w:rsidR="004C6A8A" w:rsidRPr="001B3C9A" w:rsidRDefault="00000000" w:rsidP="001B3C9A">
      <w:pPr>
        <w:rPr>
          <w:rFonts w:cs="Arial"/>
          <w:szCs w:val="24"/>
        </w:rPr>
      </w:pPr>
      <w:r w:rsidRPr="00F86AF9">
        <w:rPr>
          <w:rFonts w:cs="Arial"/>
          <w:szCs w:val="24"/>
        </w:rPr>
        <w:t>Effective security governance demands that policies are formalised, measurable, and auditable not aspirational statements but enforceable controls with defined owners, metrics, and audit cycles. The following policy framework is aligned to ISO/IEC 27001:2022 Annex A controls [9] and directly addresses the procedural failures that enabled the Equifax breach.</w:t>
      </w:r>
    </w:p>
    <w:p w14:paraId="5925E0FA" w14:textId="1A5B6BBE" w:rsidR="005A233C" w:rsidRPr="008E13F6" w:rsidRDefault="00000000">
      <w:pPr>
        <w:spacing w:before="40"/>
        <w:jc w:val="center"/>
      </w:pPr>
      <w:r w:rsidRPr="008E13F6">
        <w:rPr>
          <w:b/>
          <w:sz w:val="20"/>
        </w:rPr>
        <w:t>Table 2: Core Security Policy Framework with Measurable KPIs</w:t>
      </w:r>
    </w:p>
    <w:tbl>
      <w:tblPr>
        <w:tblStyle w:val="TableGrid"/>
        <w:tblW w:w="0" w:type="auto"/>
        <w:tblInd w:w="-5" w:type="dxa"/>
        <w:tblLook w:val="04A0" w:firstRow="1" w:lastRow="0" w:firstColumn="1" w:lastColumn="0" w:noHBand="0" w:noVBand="1"/>
      </w:tblPr>
      <w:tblGrid>
        <w:gridCol w:w="1858"/>
        <w:gridCol w:w="4649"/>
        <w:gridCol w:w="2499"/>
      </w:tblGrid>
      <w:tr w:rsidR="005A233C" w:rsidRPr="008E13F6" w14:paraId="345B37C5" w14:textId="77777777" w:rsidTr="001B3C9A">
        <w:trPr>
          <w:trHeight w:val="239"/>
        </w:trPr>
        <w:tc>
          <w:tcPr>
            <w:tcW w:w="1858" w:type="dxa"/>
            <w:shd w:val="clear" w:color="auto" w:fill="1F497D"/>
          </w:tcPr>
          <w:p w14:paraId="1D34C2B8" w14:textId="77777777" w:rsidR="005A233C" w:rsidRPr="008E13F6" w:rsidRDefault="00000000">
            <w:r w:rsidRPr="008E13F6">
              <w:rPr>
                <w:b/>
                <w:color w:val="FFFFFF"/>
                <w:sz w:val="18"/>
              </w:rPr>
              <w:t>Policy</w:t>
            </w:r>
          </w:p>
        </w:tc>
        <w:tc>
          <w:tcPr>
            <w:tcW w:w="4649" w:type="dxa"/>
            <w:shd w:val="clear" w:color="auto" w:fill="1F497D"/>
          </w:tcPr>
          <w:p w14:paraId="0C1ED5E7" w14:textId="77777777" w:rsidR="005A233C" w:rsidRPr="008E13F6" w:rsidRDefault="00000000">
            <w:r w:rsidRPr="008E13F6">
              <w:rPr>
                <w:b/>
                <w:color w:val="FFFFFF"/>
                <w:sz w:val="18"/>
              </w:rPr>
              <w:t>Key Requirements</w:t>
            </w:r>
          </w:p>
        </w:tc>
        <w:tc>
          <w:tcPr>
            <w:tcW w:w="2499" w:type="dxa"/>
            <w:shd w:val="clear" w:color="auto" w:fill="1F497D"/>
          </w:tcPr>
          <w:p w14:paraId="1600B638" w14:textId="77777777" w:rsidR="005A233C" w:rsidRPr="008E13F6" w:rsidRDefault="00000000">
            <w:r w:rsidRPr="008E13F6">
              <w:rPr>
                <w:b/>
                <w:color w:val="FFFFFF"/>
                <w:sz w:val="18"/>
              </w:rPr>
              <w:t>Audit Metric / KPI</w:t>
            </w:r>
          </w:p>
        </w:tc>
      </w:tr>
      <w:tr w:rsidR="005A233C" w:rsidRPr="008E13F6" w14:paraId="11089CBD" w14:textId="77777777" w:rsidTr="001B3C9A">
        <w:trPr>
          <w:trHeight w:val="780"/>
        </w:trPr>
        <w:tc>
          <w:tcPr>
            <w:tcW w:w="1858" w:type="dxa"/>
          </w:tcPr>
          <w:p w14:paraId="2A77479A" w14:textId="77777777" w:rsidR="005A233C" w:rsidRPr="008E13F6" w:rsidRDefault="00000000">
            <w:r w:rsidRPr="008E13F6">
              <w:rPr>
                <w:sz w:val="18"/>
              </w:rPr>
              <w:t>Vulnerability Management</w:t>
            </w:r>
          </w:p>
        </w:tc>
        <w:tc>
          <w:tcPr>
            <w:tcW w:w="4649" w:type="dxa"/>
          </w:tcPr>
          <w:p w14:paraId="3D0299EA" w14:textId="77777777" w:rsidR="005A233C" w:rsidRPr="008E13F6" w:rsidRDefault="00000000">
            <w:r w:rsidRPr="008E13F6">
              <w:rPr>
                <w:sz w:val="18"/>
              </w:rPr>
              <w:t>Authenticated weekly scans of all internet-facing assets; critical CVEs (CVSS ≥ 9.0) patched within 24 hrs; high within 72 hrs; exceptions require CISO approval</w:t>
            </w:r>
          </w:p>
        </w:tc>
        <w:tc>
          <w:tcPr>
            <w:tcW w:w="2499" w:type="dxa"/>
          </w:tcPr>
          <w:p w14:paraId="27D77DFA" w14:textId="77777777" w:rsidR="005A233C" w:rsidRPr="008E13F6" w:rsidRDefault="00000000">
            <w:r w:rsidRPr="008E13F6">
              <w:rPr>
                <w:sz w:val="18"/>
              </w:rPr>
              <w:t>Patch SLA compliance ≥ 99%</w:t>
            </w:r>
          </w:p>
        </w:tc>
      </w:tr>
      <w:tr w:rsidR="005A233C" w:rsidRPr="008E13F6" w14:paraId="6E42243C" w14:textId="77777777" w:rsidTr="001B3C9A">
        <w:trPr>
          <w:trHeight w:val="599"/>
        </w:trPr>
        <w:tc>
          <w:tcPr>
            <w:tcW w:w="1858" w:type="dxa"/>
          </w:tcPr>
          <w:p w14:paraId="1271CBFD" w14:textId="77777777" w:rsidR="005A233C" w:rsidRPr="008E13F6" w:rsidRDefault="00000000">
            <w:r w:rsidRPr="008E13F6">
              <w:rPr>
                <w:sz w:val="18"/>
              </w:rPr>
              <w:t>Patch Management</w:t>
            </w:r>
          </w:p>
        </w:tc>
        <w:tc>
          <w:tcPr>
            <w:tcW w:w="4649" w:type="dxa"/>
          </w:tcPr>
          <w:p w14:paraId="32AB6DC5" w14:textId="77777777" w:rsidR="005A233C" w:rsidRPr="008E13F6" w:rsidRDefault="00000000">
            <w:r w:rsidRPr="008E13F6">
              <w:rPr>
                <w:sz w:val="18"/>
              </w:rPr>
              <w:t>Automated deployment via ITSM integration; emergency change process for zero-day exploits; all exceptions documented and time-bounded</w:t>
            </w:r>
          </w:p>
        </w:tc>
        <w:tc>
          <w:tcPr>
            <w:tcW w:w="2499" w:type="dxa"/>
          </w:tcPr>
          <w:p w14:paraId="759EF5A1" w14:textId="77777777" w:rsidR="005A233C" w:rsidRPr="008E13F6" w:rsidRDefault="00000000">
            <w:r w:rsidRPr="008E13F6">
              <w:rPr>
                <w:sz w:val="18"/>
              </w:rPr>
              <w:t>Mean Time to Patch (MTTP) ≤ 24 hrs (critical)</w:t>
            </w:r>
          </w:p>
        </w:tc>
      </w:tr>
      <w:tr w:rsidR="005A233C" w:rsidRPr="008E13F6" w14:paraId="39723BCA" w14:textId="77777777" w:rsidTr="001B3C9A">
        <w:trPr>
          <w:trHeight w:val="591"/>
        </w:trPr>
        <w:tc>
          <w:tcPr>
            <w:tcW w:w="1858" w:type="dxa"/>
          </w:tcPr>
          <w:p w14:paraId="7A7510A6" w14:textId="77777777" w:rsidR="005A233C" w:rsidRPr="008E13F6" w:rsidRDefault="00000000">
            <w:r w:rsidRPr="008E13F6">
              <w:rPr>
                <w:sz w:val="18"/>
              </w:rPr>
              <w:t>Secure SDLC</w:t>
            </w:r>
          </w:p>
        </w:tc>
        <w:tc>
          <w:tcPr>
            <w:tcW w:w="4649" w:type="dxa"/>
          </w:tcPr>
          <w:p w14:paraId="780C9E12" w14:textId="77777777" w:rsidR="005A233C" w:rsidRPr="008E13F6" w:rsidRDefault="00000000">
            <w:r w:rsidRPr="008E13F6">
              <w:rPr>
                <w:sz w:val="18"/>
              </w:rPr>
              <w:t>SAST and DAST integrated in CI/CD pipeline; no production release with unresolved critical findings; third-party component inventory maintained</w:t>
            </w:r>
          </w:p>
        </w:tc>
        <w:tc>
          <w:tcPr>
            <w:tcW w:w="2499" w:type="dxa"/>
          </w:tcPr>
          <w:p w14:paraId="17191CCA" w14:textId="77777777" w:rsidR="005A233C" w:rsidRPr="008E13F6" w:rsidRDefault="00000000">
            <w:r w:rsidRPr="008E13F6">
              <w:rPr>
                <w:sz w:val="18"/>
              </w:rPr>
              <w:t>% of releases passing security gate ≥ 100%</w:t>
            </w:r>
          </w:p>
        </w:tc>
      </w:tr>
      <w:tr w:rsidR="005A233C" w:rsidRPr="008E13F6" w14:paraId="091D3918" w14:textId="77777777" w:rsidTr="001B3C9A">
        <w:trPr>
          <w:trHeight w:val="599"/>
        </w:trPr>
        <w:tc>
          <w:tcPr>
            <w:tcW w:w="1858" w:type="dxa"/>
          </w:tcPr>
          <w:p w14:paraId="6E6C7604" w14:textId="77777777" w:rsidR="005A233C" w:rsidRPr="008E13F6" w:rsidRDefault="00000000">
            <w:r w:rsidRPr="008E13F6">
              <w:rPr>
                <w:sz w:val="18"/>
              </w:rPr>
              <w:t>Asset Inventory &amp; CMDB</w:t>
            </w:r>
          </w:p>
        </w:tc>
        <w:tc>
          <w:tcPr>
            <w:tcW w:w="4649" w:type="dxa"/>
          </w:tcPr>
          <w:p w14:paraId="51F87C26" w14:textId="77777777" w:rsidR="005A233C" w:rsidRPr="008E13F6" w:rsidRDefault="00000000">
            <w:r w:rsidRPr="008E13F6">
              <w:rPr>
                <w:sz w:val="18"/>
              </w:rPr>
              <w:t>All assets registered with owner, criticality tier, and data classification; quarterly reconciliation; shadow IT detection tooling deployed</w:t>
            </w:r>
          </w:p>
        </w:tc>
        <w:tc>
          <w:tcPr>
            <w:tcW w:w="2499" w:type="dxa"/>
          </w:tcPr>
          <w:p w14:paraId="44BFB205" w14:textId="77777777" w:rsidR="005A233C" w:rsidRPr="008E13F6" w:rsidRDefault="00000000">
            <w:r w:rsidRPr="008E13F6">
              <w:rPr>
                <w:sz w:val="18"/>
              </w:rPr>
              <w:t>Asset inventory completeness ≥ 98%</w:t>
            </w:r>
          </w:p>
        </w:tc>
      </w:tr>
      <w:tr w:rsidR="005A233C" w:rsidRPr="008E13F6" w14:paraId="39DA83D4" w14:textId="77777777" w:rsidTr="001B3C9A">
        <w:trPr>
          <w:trHeight w:val="780"/>
        </w:trPr>
        <w:tc>
          <w:tcPr>
            <w:tcW w:w="1858" w:type="dxa"/>
          </w:tcPr>
          <w:p w14:paraId="412407F0" w14:textId="77777777" w:rsidR="005A233C" w:rsidRPr="008E13F6" w:rsidRDefault="00000000">
            <w:r w:rsidRPr="008E13F6">
              <w:rPr>
                <w:sz w:val="18"/>
              </w:rPr>
              <w:t>Data Protection &amp; Encryption</w:t>
            </w:r>
          </w:p>
        </w:tc>
        <w:tc>
          <w:tcPr>
            <w:tcW w:w="4649" w:type="dxa"/>
          </w:tcPr>
          <w:p w14:paraId="1E516133" w14:textId="77777777" w:rsidR="005A233C" w:rsidRPr="008E13F6" w:rsidRDefault="00000000">
            <w:r w:rsidRPr="008E13F6">
              <w:rPr>
                <w:sz w:val="18"/>
              </w:rPr>
              <w:t>PII encrypted at rest (AES-256); all data in transit over TLS 1.3; field-level encryption for SSNs and financial data; data minimisation enforced per retention schedule</w:t>
            </w:r>
          </w:p>
        </w:tc>
        <w:tc>
          <w:tcPr>
            <w:tcW w:w="2499" w:type="dxa"/>
          </w:tcPr>
          <w:p w14:paraId="330AA14B" w14:textId="77777777" w:rsidR="005A233C" w:rsidRPr="008E13F6" w:rsidRDefault="00000000">
            <w:r w:rsidRPr="008E13F6">
              <w:rPr>
                <w:sz w:val="18"/>
              </w:rPr>
              <w:t>Encryption compliance audit pass rate ≥ 100%</w:t>
            </w:r>
          </w:p>
        </w:tc>
      </w:tr>
      <w:tr w:rsidR="005A233C" w:rsidRPr="008E13F6" w14:paraId="4CC57F96" w14:textId="77777777" w:rsidTr="001B3C9A">
        <w:trPr>
          <w:trHeight w:val="771"/>
        </w:trPr>
        <w:tc>
          <w:tcPr>
            <w:tcW w:w="1858" w:type="dxa"/>
          </w:tcPr>
          <w:p w14:paraId="0F001DBB" w14:textId="77777777" w:rsidR="005A233C" w:rsidRPr="008E13F6" w:rsidRDefault="00000000">
            <w:r w:rsidRPr="008E13F6">
              <w:rPr>
                <w:sz w:val="18"/>
              </w:rPr>
              <w:t xml:space="preserve">Certificate Lifecycle </w:t>
            </w:r>
            <w:proofErr w:type="spellStart"/>
            <w:r w:rsidRPr="008E13F6">
              <w:rPr>
                <w:sz w:val="18"/>
              </w:rPr>
              <w:t>Mgmt</w:t>
            </w:r>
            <w:proofErr w:type="spellEnd"/>
          </w:p>
        </w:tc>
        <w:tc>
          <w:tcPr>
            <w:tcW w:w="4649" w:type="dxa"/>
          </w:tcPr>
          <w:p w14:paraId="12814DE0" w14:textId="77777777" w:rsidR="005A233C" w:rsidRPr="008E13F6" w:rsidRDefault="00000000">
            <w:r w:rsidRPr="008E13F6">
              <w:rPr>
                <w:sz w:val="18"/>
              </w:rPr>
              <w:t>All TLS certificates managed via centralised PKI; automated renewal 30 days before expiry; expiry monitoring with automated alerting; no expired certificate permitted in production</w:t>
            </w:r>
          </w:p>
        </w:tc>
        <w:tc>
          <w:tcPr>
            <w:tcW w:w="2499" w:type="dxa"/>
          </w:tcPr>
          <w:p w14:paraId="05955409" w14:textId="77777777" w:rsidR="005A233C" w:rsidRPr="008E13F6" w:rsidRDefault="00000000">
            <w:r w:rsidRPr="008E13F6">
              <w:rPr>
                <w:sz w:val="18"/>
              </w:rPr>
              <w:t>Certificate expiry incidents = 0</w:t>
            </w:r>
          </w:p>
        </w:tc>
      </w:tr>
      <w:tr w:rsidR="005A233C" w:rsidRPr="008E13F6" w14:paraId="3C5BAC22" w14:textId="77777777" w:rsidTr="001B3C9A">
        <w:trPr>
          <w:trHeight w:val="771"/>
        </w:trPr>
        <w:tc>
          <w:tcPr>
            <w:tcW w:w="1858" w:type="dxa"/>
          </w:tcPr>
          <w:p w14:paraId="4FBC7EAC" w14:textId="77777777" w:rsidR="005A233C" w:rsidRPr="008E13F6" w:rsidRDefault="00000000">
            <w:r w:rsidRPr="008E13F6">
              <w:rPr>
                <w:sz w:val="18"/>
              </w:rPr>
              <w:t>Continuous Monitoring</w:t>
            </w:r>
          </w:p>
        </w:tc>
        <w:tc>
          <w:tcPr>
            <w:tcW w:w="4649" w:type="dxa"/>
          </w:tcPr>
          <w:p w14:paraId="0D547CE1" w14:textId="77777777" w:rsidR="005A233C" w:rsidRPr="008E13F6" w:rsidRDefault="00000000">
            <w:r w:rsidRPr="008E13F6">
              <w:rPr>
                <w:sz w:val="18"/>
              </w:rPr>
              <w:t>SIEM ingests logs from all Tier-1 and Tier-2 systems; EDR deployed on all endpoints; SOC triage SLAs defined per severity; threat intelligence feeds integrated</w:t>
            </w:r>
          </w:p>
        </w:tc>
        <w:tc>
          <w:tcPr>
            <w:tcW w:w="2499" w:type="dxa"/>
          </w:tcPr>
          <w:p w14:paraId="7D4788E5" w14:textId="77777777" w:rsidR="005A233C" w:rsidRPr="008E13F6" w:rsidRDefault="00000000">
            <w:r w:rsidRPr="008E13F6">
              <w:rPr>
                <w:sz w:val="18"/>
              </w:rPr>
              <w:t>MTTD ≤ 1 hour; MTTR ≤ 4 hours (P1)</w:t>
            </w:r>
          </w:p>
        </w:tc>
      </w:tr>
      <w:tr w:rsidR="005A233C" w:rsidRPr="008E13F6" w14:paraId="17520553" w14:textId="77777777" w:rsidTr="001B3C9A">
        <w:trPr>
          <w:trHeight w:val="771"/>
        </w:trPr>
        <w:tc>
          <w:tcPr>
            <w:tcW w:w="1858" w:type="dxa"/>
          </w:tcPr>
          <w:p w14:paraId="23E76068" w14:textId="77777777" w:rsidR="005A233C" w:rsidRPr="008E13F6" w:rsidRDefault="00000000">
            <w:r w:rsidRPr="008E13F6">
              <w:rPr>
                <w:sz w:val="18"/>
              </w:rPr>
              <w:t>Third-Party / Supply Chain Risk</w:t>
            </w:r>
          </w:p>
        </w:tc>
        <w:tc>
          <w:tcPr>
            <w:tcW w:w="4649" w:type="dxa"/>
          </w:tcPr>
          <w:p w14:paraId="7E6A3744" w14:textId="77777777" w:rsidR="005A233C" w:rsidRPr="008E13F6" w:rsidRDefault="00000000">
            <w:r w:rsidRPr="008E13F6">
              <w:rPr>
                <w:sz w:val="18"/>
              </w:rPr>
              <w:t>All vendors with system access undergo annual security assessment; contractual security SLAs with right-to-audit clauses; vendor access reviewed quarterly</w:t>
            </w:r>
          </w:p>
        </w:tc>
        <w:tc>
          <w:tcPr>
            <w:tcW w:w="2499" w:type="dxa"/>
          </w:tcPr>
          <w:p w14:paraId="4BD72277" w14:textId="77777777" w:rsidR="005A233C" w:rsidRPr="008E13F6" w:rsidRDefault="00000000">
            <w:r w:rsidRPr="008E13F6">
              <w:rPr>
                <w:sz w:val="18"/>
              </w:rPr>
              <w:t>Vendor risk assessment completion ≥ 100% annually</w:t>
            </w:r>
          </w:p>
        </w:tc>
      </w:tr>
    </w:tbl>
    <w:p w14:paraId="40A30FAD" w14:textId="77777777" w:rsidR="005A233C" w:rsidRPr="008E13F6" w:rsidRDefault="005A233C"/>
    <w:p w14:paraId="4A9D4779" w14:textId="77777777" w:rsidR="005A233C" w:rsidRPr="007072C0" w:rsidRDefault="00000000">
      <w:pPr>
        <w:rPr>
          <w:rFonts w:cs="Arial"/>
          <w:szCs w:val="24"/>
        </w:rPr>
      </w:pPr>
      <w:r w:rsidRPr="007072C0">
        <w:rPr>
          <w:rFonts w:cs="Arial"/>
          <w:szCs w:val="24"/>
        </w:rPr>
        <w:lastRenderedPageBreak/>
        <w:t>Each policy is owned by a named role in the governance hierarchy (Figure 1), reviewed annually, and subject to independent audit. The Vulnerability Management and Patch Management policies together address the primary root cause of the Equifax breach. The Certificate Lifecycle Management policy directly addresses the 19-month monitoring blind spot caused by the expired TLS certificate [1]. The Data Protection and Encryption policy ensures that even a successful exfiltration yields only ciphertext rather than usable consumer PII.</w:t>
      </w:r>
    </w:p>
    <w:p w14:paraId="0ECBCED1" w14:textId="77777777" w:rsidR="005A233C" w:rsidRPr="008E13F6" w:rsidRDefault="00000000" w:rsidP="00E14050">
      <w:pPr>
        <w:pStyle w:val="Heading2"/>
      </w:pPr>
      <w:bookmarkStart w:id="10" w:name="_Toc236328102"/>
      <w:r w:rsidRPr="008E13F6">
        <w:t>2.3 Governance and Strategic Alignment (NIST CSF 2.0)</w:t>
      </w:r>
      <w:bookmarkEnd w:id="10"/>
    </w:p>
    <w:p w14:paraId="3BC9E3F2" w14:textId="6A6498EA" w:rsidR="005A233C" w:rsidRPr="0045293C" w:rsidRDefault="00000000" w:rsidP="000F12F1">
      <w:pPr>
        <w:rPr>
          <w:rFonts w:cs="Arial"/>
        </w:rPr>
      </w:pPr>
      <w:r w:rsidRPr="00E14050">
        <w:rPr>
          <w:rFonts w:cs="Arial"/>
        </w:rPr>
        <w:t xml:space="preserve">Security investment must demonstrably serve Equifax's core business mission: the trusted stewardship of consumer financial data. This mission is existentially dependent </w:t>
      </w:r>
      <w:r w:rsidRPr="0045293C">
        <w:rPr>
          <w:rFonts w:cs="Arial"/>
        </w:rPr>
        <w:t>on security the 2017 breach directly destroyed consumer trust, triggered regulatory investigations across multiple jurisdictions, and cost the business over USD 1.4 billion [1]. The NIST Cybersecurity Framework 2.0, released in February 2024, provides the strategic governance structure [6]. Notably, CSF 2.0 introduces a new top-level "Govern" function, elevating cybersecurity risk management from an operational activity to an enterprise governance responsibility</w:t>
      </w:r>
      <w:r w:rsidR="008E13F6" w:rsidRPr="0045293C">
        <w:rPr>
          <w:rFonts w:cs="Arial"/>
        </w:rPr>
        <w:t>,</w:t>
      </w:r>
      <w:r w:rsidRPr="0045293C">
        <w:rPr>
          <w:rFonts w:cs="Arial"/>
        </w:rPr>
        <w:t xml:space="preserve"> precisely the accountability deficit that characterised Equifax's pre-breach posture.</w:t>
      </w:r>
    </w:p>
    <w:p w14:paraId="757EE751" w14:textId="77777777" w:rsidR="00E14050" w:rsidRPr="0045293C" w:rsidRDefault="00E14050" w:rsidP="000F12F1">
      <w:pPr>
        <w:rPr>
          <w:rFonts w:cs="Arial"/>
        </w:rPr>
      </w:pPr>
    </w:p>
    <w:p w14:paraId="7698FFD3" w14:textId="77777777" w:rsidR="00E14050" w:rsidRPr="0045293C" w:rsidRDefault="00E14050" w:rsidP="000F12F1">
      <w:pPr>
        <w:rPr>
          <w:rFonts w:cs="Arial"/>
        </w:rPr>
      </w:pPr>
    </w:p>
    <w:p w14:paraId="6B31F7C9" w14:textId="77777777" w:rsidR="00E14050" w:rsidRPr="0045293C" w:rsidRDefault="00E14050" w:rsidP="000F12F1">
      <w:pPr>
        <w:rPr>
          <w:rFonts w:cs="Arial"/>
        </w:rPr>
      </w:pPr>
    </w:p>
    <w:p w14:paraId="35C1BC1C" w14:textId="77777777" w:rsidR="00E14050" w:rsidRPr="0045293C" w:rsidRDefault="00E14050" w:rsidP="000F12F1">
      <w:pPr>
        <w:rPr>
          <w:rFonts w:cs="Arial"/>
        </w:rPr>
      </w:pPr>
    </w:p>
    <w:p w14:paraId="76D2D512" w14:textId="77777777" w:rsidR="00E14050" w:rsidRPr="0045293C" w:rsidRDefault="00E14050" w:rsidP="000F12F1">
      <w:pPr>
        <w:rPr>
          <w:rFonts w:cs="Arial"/>
        </w:rPr>
      </w:pPr>
    </w:p>
    <w:p w14:paraId="2321659E" w14:textId="77777777" w:rsidR="00E14050" w:rsidRPr="0045293C" w:rsidRDefault="00E14050" w:rsidP="000F12F1">
      <w:pPr>
        <w:rPr>
          <w:rFonts w:cs="Arial"/>
        </w:rPr>
      </w:pPr>
    </w:p>
    <w:p w14:paraId="75D8EB42" w14:textId="77777777" w:rsidR="00E14050" w:rsidRPr="0045293C" w:rsidRDefault="00E14050" w:rsidP="000F12F1">
      <w:pPr>
        <w:rPr>
          <w:rFonts w:cs="Arial"/>
        </w:rPr>
      </w:pPr>
    </w:p>
    <w:p w14:paraId="4330DD15" w14:textId="77777777" w:rsidR="001B3C9A" w:rsidRPr="0045293C" w:rsidRDefault="001B3C9A" w:rsidP="000F12F1">
      <w:pPr>
        <w:rPr>
          <w:rFonts w:cs="Arial"/>
        </w:rPr>
      </w:pPr>
    </w:p>
    <w:p w14:paraId="09EF9702" w14:textId="77777777" w:rsidR="001B3C9A" w:rsidRPr="0045293C" w:rsidRDefault="001B3C9A" w:rsidP="000F12F1">
      <w:pPr>
        <w:rPr>
          <w:rFonts w:cs="Arial"/>
        </w:rPr>
      </w:pPr>
    </w:p>
    <w:p w14:paraId="348BB564" w14:textId="77777777" w:rsidR="001B3C9A" w:rsidRPr="0045293C" w:rsidRDefault="001B3C9A" w:rsidP="000F12F1">
      <w:pPr>
        <w:rPr>
          <w:rFonts w:cs="Arial"/>
        </w:rPr>
      </w:pPr>
    </w:p>
    <w:p w14:paraId="4B3A8159" w14:textId="77777777" w:rsidR="005A233C" w:rsidRPr="008E13F6" w:rsidRDefault="00000000">
      <w:pPr>
        <w:spacing w:before="40"/>
        <w:jc w:val="center"/>
      </w:pPr>
      <w:r w:rsidRPr="008E13F6">
        <w:rPr>
          <w:b/>
          <w:sz w:val="20"/>
        </w:rPr>
        <w:lastRenderedPageBreak/>
        <w:t>Table 3: NIST CSF 2.0 Alignment to Cybersecurity Programme Capabilities</w:t>
      </w:r>
    </w:p>
    <w:tbl>
      <w:tblPr>
        <w:tblStyle w:val="TableGrid"/>
        <w:tblW w:w="0" w:type="auto"/>
        <w:jc w:val="center"/>
        <w:tblLook w:val="04A0" w:firstRow="1" w:lastRow="0" w:firstColumn="1" w:lastColumn="0" w:noHBand="0" w:noVBand="1"/>
      </w:tblPr>
      <w:tblGrid>
        <w:gridCol w:w="1398"/>
        <w:gridCol w:w="4673"/>
        <w:gridCol w:w="3041"/>
      </w:tblGrid>
      <w:tr w:rsidR="005A233C" w:rsidRPr="008E13F6" w14:paraId="78E782B1" w14:textId="77777777">
        <w:trPr>
          <w:jc w:val="center"/>
        </w:trPr>
        <w:tc>
          <w:tcPr>
            <w:tcW w:w="1417" w:type="dxa"/>
            <w:shd w:val="clear" w:color="auto" w:fill="1F497D"/>
          </w:tcPr>
          <w:p w14:paraId="1E810348" w14:textId="77777777" w:rsidR="005A233C" w:rsidRPr="008E13F6" w:rsidRDefault="00000000">
            <w:r w:rsidRPr="008E13F6">
              <w:rPr>
                <w:b/>
                <w:color w:val="FFFFFF"/>
                <w:sz w:val="18"/>
              </w:rPr>
              <w:t>CSF 2.0 Function</w:t>
            </w:r>
          </w:p>
        </w:tc>
        <w:tc>
          <w:tcPr>
            <w:tcW w:w="4819" w:type="dxa"/>
            <w:shd w:val="clear" w:color="auto" w:fill="1F497D"/>
          </w:tcPr>
          <w:p w14:paraId="5667B3BA" w14:textId="77777777" w:rsidR="005A233C" w:rsidRPr="008E13F6" w:rsidRDefault="00000000">
            <w:r w:rsidRPr="008E13F6">
              <w:rPr>
                <w:b/>
                <w:color w:val="FFFFFF"/>
                <w:sz w:val="18"/>
              </w:rPr>
              <w:t>Programme Capability</w:t>
            </w:r>
          </w:p>
        </w:tc>
        <w:tc>
          <w:tcPr>
            <w:tcW w:w="3118" w:type="dxa"/>
            <w:shd w:val="clear" w:color="auto" w:fill="1F497D"/>
          </w:tcPr>
          <w:p w14:paraId="6366C6DA" w14:textId="77777777" w:rsidR="005A233C" w:rsidRPr="008E13F6" w:rsidRDefault="00000000">
            <w:r w:rsidRPr="008E13F6">
              <w:rPr>
                <w:b/>
                <w:color w:val="FFFFFF"/>
                <w:sz w:val="18"/>
              </w:rPr>
              <w:t>Business Objective Served</w:t>
            </w:r>
          </w:p>
        </w:tc>
      </w:tr>
      <w:tr w:rsidR="005A233C" w:rsidRPr="008E13F6" w14:paraId="09C8160F" w14:textId="77777777">
        <w:trPr>
          <w:jc w:val="center"/>
        </w:trPr>
        <w:tc>
          <w:tcPr>
            <w:tcW w:w="1417" w:type="dxa"/>
          </w:tcPr>
          <w:p w14:paraId="648DB6E9" w14:textId="77777777" w:rsidR="005A233C" w:rsidRPr="008E13F6" w:rsidRDefault="00000000">
            <w:r w:rsidRPr="008E13F6">
              <w:rPr>
                <w:sz w:val="18"/>
              </w:rPr>
              <w:t>Govern</w:t>
            </w:r>
          </w:p>
        </w:tc>
        <w:tc>
          <w:tcPr>
            <w:tcW w:w="4819" w:type="dxa"/>
          </w:tcPr>
          <w:p w14:paraId="2BAEF72A" w14:textId="77777777" w:rsidR="005A233C" w:rsidRPr="008E13F6" w:rsidRDefault="00000000">
            <w:r w:rsidRPr="008E13F6">
              <w:rPr>
                <w:sz w:val="18"/>
              </w:rPr>
              <w:t>GRC function; Board Audit Committee reporting; DPO oversight; policy framework aligned to ISO 27001:2022 [9]</w:t>
            </w:r>
          </w:p>
        </w:tc>
        <w:tc>
          <w:tcPr>
            <w:tcW w:w="3118" w:type="dxa"/>
          </w:tcPr>
          <w:p w14:paraId="724CDD06" w14:textId="77777777" w:rsidR="005A233C" w:rsidRPr="008E13F6" w:rsidRDefault="00000000">
            <w:r w:rsidRPr="008E13F6">
              <w:rPr>
                <w:sz w:val="18"/>
              </w:rPr>
              <w:t>Regulatory compliance; executive accountability; stakeholder trust</w:t>
            </w:r>
          </w:p>
        </w:tc>
      </w:tr>
      <w:tr w:rsidR="005A233C" w:rsidRPr="008E13F6" w14:paraId="38036143" w14:textId="77777777">
        <w:trPr>
          <w:jc w:val="center"/>
        </w:trPr>
        <w:tc>
          <w:tcPr>
            <w:tcW w:w="1417" w:type="dxa"/>
          </w:tcPr>
          <w:p w14:paraId="5C03000F" w14:textId="77777777" w:rsidR="005A233C" w:rsidRPr="008E13F6" w:rsidRDefault="00000000">
            <w:r w:rsidRPr="008E13F6">
              <w:rPr>
                <w:sz w:val="18"/>
              </w:rPr>
              <w:t>Identify</w:t>
            </w:r>
          </w:p>
        </w:tc>
        <w:tc>
          <w:tcPr>
            <w:tcW w:w="4819" w:type="dxa"/>
          </w:tcPr>
          <w:p w14:paraId="7A262BA4" w14:textId="77777777" w:rsidR="005A233C" w:rsidRPr="008E13F6" w:rsidRDefault="00000000">
            <w:r w:rsidRPr="008E13F6">
              <w:rPr>
                <w:sz w:val="18"/>
              </w:rPr>
              <w:t>Comprehensive asset inventory (CMDB); data classification taxonomy; third-party risk register; threat modelling for internet-facing assets</w:t>
            </w:r>
          </w:p>
        </w:tc>
        <w:tc>
          <w:tcPr>
            <w:tcW w:w="3118" w:type="dxa"/>
          </w:tcPr>
          <w:p w14:paraId="25653DDF" w14:textId="77777777" w:rsidR="005A233C" w:rsidRPr="008E13F6" w:rsidRDefault="00000000">
            <w:r w:rsidRPr="008E13F6">
              <w:rPr>
                <w:sz w:val="18"/>
              </w:rPr>
              <w:t>Prioritised investment; complete attack surface visibility</w:t>
            </w:r>
          </w:p>
        </w:tc>
      </w:tr>
      <w:tr w:rsidR="005A233C" w:rsidRPr="008E13F6" w14:paraId="7B093D8D" w14:textId="77777777">
        <w:trPr>
          <w:jc w:val="center"/>
        </w:trPr>
        <w:tc>
          <w:tcPr>
            <w:tcW w:w="1417" w:type="dxa"/>
          </w:tcPr>
          <w:p w14:paraId="74B72B97" w14:textId="77777777" w:rsidR="005A233C" w:rsidRPr="008E13F6" w:rsidRDefault="00000000">
            <w:r w:rsidRPr="008E13F6">
              <w:rPr>
                <w:sz w:val="18"/>
              </w:rPr>
              <w:t>Protect</w:t>
            </w:r>
          </w:p>
        </w:tc>
        <w:tc>
          <w:tcPr>
            <w:tcW w:w="4819" w:type="dxa"/>
          </w:tcPr>
          <w:p w14:paraId="32104168" w14:textId="77777777" w:rsidR="005A233C" w:rsidRPr="008E13F6" w:rsidRDefault="00000000">
            <w:r w:rsidRPr="008E13F6">
              <w:rPr>
                <w:sz w:val="18"/>
              </w:rPr>
              <w:t>Patch management SLAs; mandatory MFA; AES-256 encryption; micro-segmentation; DLP; SDLC security gates</w:t>
            </w:r>
          </w:p>
        </w:tc>
        <w:tc>
          <w:tcPr>
            <w:tcW w:w="3118" w:type="dxa"/>
          </w:tcPr>
          <w:p w14:paraId="34AA0EDE" w14:textId="77777777" w:rsidR="005A233C" w:rsidRPr="008E13F6" w:rsidRDefault="00000000">
            <w:r w:rsidRPr="008E13F6">
              <w:rPr>
                <w:sz w:val="18"/>
              </w:rPr>
              <w:t>Breach prevention; data integrity; supply chain control</w:t>
            </w:r>
          </w:p>
        </w:tc>
      </w:tr>
      <w:tr w:rsidR="005A233C" w:rsidRPr="008E13F6" w14:paraId="5D62A970" w14:textId="77777777">
        <w:trPr>
          <w:jc w:val="center"/>
        </w:trPr>
        <w:tc>
          <w:tcPr>
            <w:tcW w:w="1417" w:type="dxa"/>
          </w:tcPr>
          <w:p w14:paraId="2C8B416F" w14:textId="77777777" w:rsidR="005A233C" w:rsidRPr="008E13F6" w:rsidRDefault="00000000">
            <w:r w:rsidRPr="008E13F6">
              <w:rPr>
                <w:sz w:val="18"/>
              </w:rPr>
              <w:t>Detect</w:t>
            </w:r>
          </w:p>
        </w:tc>
        <w:tc>
          <w:tcPr>
            <w:tcW w:w="4819" w:type="dxa"/>
          </w:tcPr>
          <w:p w14:paraId="755A18DC" w14:textId="77777777" w:rsidR="005A233C" w:rsidRPr="008E13F6" w:rsidRDefault="00000000">
            <w:r w:rsidRPr="008E13F6">
              <w:rPr>
                <w:sz w:val="18"/>
              </w:rPr>
              <w:t>SIEM/SOAR integration; EDR on all endpoints; TLS traffic inspection; behavioural anomaly detection; threat intelligence</w:t>
            </w:r>
          </w:p>
        </w:tc>
        <w:tc>
          <w:tcPr>
            <w:tcW w:w="3118" w:type="dxa"/>
          </w:tcPr>
          <w:p w14:paraId="1C78B273" w14:textId="77777777" w:rsidR="005A233C" w:rsidRPr="008E13F6" w:rsidRDefault="00000000">
            <w:r w:rsidRPr="008E13F6">
              <w:rPr>
                <w:sz w:val="18"/>
              </w:rPr>
              <w:t>Reduced dwell time; early-stage threat containment</w:t>
            </w:r>
          </w:p>
        </w:tc>
      </w:tr>
      <w:tr w:rsidR="005A233C" w:rsidRPr="008E13F6" w14:paraId="01D24B79" w14:textId="77777777">
        <w:trPr>
          <w:jc w:val="center"/>
        </w:trPr>
        <w:tc>
          <w:tcPr>
            <w:tcW w:w="1417" w:type="dxa"/>
          </w:tcPr>
          <w:p w14:paraId="2D0B085A" w14:textId="77777777" w:rsidR="005A233C" w:rsidRPr="008E13F6" w:rsidRDefault="00000000">
            <w:r w:rsidRPr="008E13F6">
              <w:rPr>
                <w:sz w:val="18"/>
              </w:rPr>
              <w:t>Respond</w:t>
            </w:r>
          </w:p>
        </w:tc>
        <w:tc>
          <w:tcPr>
            <w:tcW w:w="4819" w:type="dxa"/>
          </w:tcPr>
          <w:p w14:paraId="1B4C364B" w14:textId="77777777" w:rsidR="005A233C" w:rsidRPr="008E13F6" w:rsidRDefault="00000000">
            <w:r w:rsidRPr="008E13F6">
              <w:rPr>
                <w:sz w:val="18"/>
              </w:rPr>
              <w:t>Tested Incident Response Plan (IRP); automated SOAR playbooks; legal, PR, and regulator coordination workflows</w:t>
            </w:r>
          </w:p>
        </w:tc>
        <w:tc>
          <w:tcPr>
            <w:tcW w:w="3118" w:type="dxa"/>
          </w:tcPr>
          <w:p w14:paraId="55CBADAB" w14:textId="77777777" w:rsidR="005A233C" w:rsidRPr="008E13F6" w:rsidRDefault="00000000">
            <w:r w:rsidRPr="008E13F6">
              <w:rPr>
                <w:sz w:val="18"/>
              </w:rPr>
              <w:t>Regulatory notification compliance; reputation management</w:t>
            </w:r>
          </w:p>
        </w:tc>
      </w:tr>
      <w:tr w:rsidR="005A233C" w:rsidRPr="008E13F6" w14:paraId="12C95AEF" w14:textId="77777777">
        <w:trPr>
          <w:jc w:val="center"/>
        </w:trPr>
        <w:tc>
          <w:tcPr>
            <w:tcW w:w="1417" w:type="dxa"/>
          </w:tcPr>
          <w:p w14:paraId="7BA605F8" w14:textId="77777777" w:rsidR="005A233C" w:rsidRPr="008E13F6" w:rsidRDefault="00000000">
            <w:r w:rsidRPr="008E13F6">
              <w:rPr>
                <w:sz w:val="18"/>
              </w:rPr>
              <w:t>Recover</w:t>
            </w:r>
          </w:p>
        </w:tc>
        <w:tc>
          <w:tcPr>
            <w:tcW w:w="4819" w:type="dxa"/>
          </w:tcPr>
          <w:p w14:paraId="2B3FF0F6" w14:textId="77777777" w:rsidR="005A233C" w:rsidRPr="008E13F6" w:rsidRDefault="00000000">
            <w:r w:rsidRPr="008E13F6">
              <w:rPr>
                <w:sz w:val="18"/>
              </w:rPr>
              <w:t>Disaster Recovery Plan with defined RTO/RPO; tested BCP; clean backup restoration; post-incident lessons-learned process</w:t>
            </w:r>
          </w:p>
        </w:tc>
        <w:tc>
          <w:tcPr>
            <w:tcW w:w="3118" w:type="dxa"/>
          </w:tcPr>
          <w:p w14:paraId="4F0BCD21" w14:textId="77777777" w:rsidR="005A233C" w:rsidRPr="008E13F6" w:rsidRDefault="00000000">
            <w:r w:rsidRPr="008E13F6">
              <w:rPr>
                <w:sz w:val="18"/>
              </w:rPr>
              <w:t>Business continuity; organisational resilience; customer confidence</w:t>
            </w:r>
          </w:p>
        </w:tc>
      </w:tr>
    </w:tbl>
    <w:p w14:paraId="29AF95DD" w14:textId="77777777" w:rsidR="00B24BBB" w:rsidRDefault="00B24BBB" w:rsidP="001E4DAB"/>
    <w:p w14:paraId="3EFC2113" w14:textId="1155F548" w:rsidR="005A233C" w:rsidRPr="00E340AF" w:rsidRDefault="008E13F6" w:rsidP="001E4DAB">
      <w:pPr>
        <w:rPr>
          <w:rFonts w:cs="Arial"/>
        </w:rPr>
      </w:pPr>
      <w:r w:rsidRPr="00E340AF">
        <w:rPr>
          <w:rFonts w:cs="Arial"/>
        </w:rPr>
        <w:t>Business Continuity Planning (BCP) is integrated with defined Recovery Time Objectives (RTO of 4 hours or less for Tier-1 systems) and Recovery Point Objectives (RPO of 1 hour or less). These targets satisfy DORA's operational resilience requirements, which mandate that financial entities in EU jurisdictions demonstrate ICT risk management, incident reporting, and digital operational resilience testing capabilities [8]. For Equifax's operations involving EU resident data, GDPR and DORA compliance are both mandatory [8].</w:t>
      </w:r>
    </w:p>
    <w:p w14:paraId="698D9F8E" w14:textId="77777777" w:rsidR="005A233C" w:rsidRPr="008E13F6" w:rsidRDefault="00000000" w:rsidP="00E14050">
      <w:pPr>
        <w:pStyle w:val="Heading2"/>
      </w:pPr>
      <w:bookmarkStart w:id="11" w:name="_Toc236328103"/>
      <w:r w:rsidRPr="008E13F6">
        <w:t>2.4 Risk Management and Assessment</w:t>
      </w:r>
      <w:bookmarkEnd w:id="11"/>
    </w:p>
    <w:p w14:paraId="792EF9A0" w14:textId="77777777" w:rsidR="005A233C" w:rsidRDefault="00000000" w:rsidP="001E4DAB">
      <w:r w:rsidRPr="008E13F6">
        <w:t xml:space="preserve">A structured risk assessment identifies the key vulnerability categories present in the Equifax environment and applies a Likelihood × Impact matrix to prioritise remediation. Risk ratings use a four-level scale: Critical (immediate remediation, executive </w:t>
      </w:r>
      <w:r w:rsidRPr="008E13F6">
        <w:lastRenderedPageBreak/>
        <w:t>escalation), High (90-day remediation window), Medium (6-month window), and Low (annual review). Each risk is assigned a named owner accountable to the GRC Manager. Residual risk acceptance requires documented CISO approval and, for material risks, Board notification.</w:t>
      </w:r>
    </w:p>
    <w:p w14:paraId="670DA998" w14:textId="77777777" w:rsidR="008E13F6" w:rsidRDefault="008E13F6" w:rsidP="001E4DAB"/>
    <w:p w14:paraId="5AE336E6" w14:textId="77777777" w:rsidR="008E13F6" w:rsidRDefault="008E13F6" w:rsidP="001E4DAB"/>
    <w:p w14:paraId="59B1DCCB" w14:textId="77777777" w:rsidR="008E13F6" w:rsidRDefault="008E13F6" w:rsidP="001E4DAB"/>
    <w:p w14:paraId="1A2B76AC" w14:textId="5D5E1DF1" w:rsidR="005A233C" w:rsidRPr="008E13F6" w:rsidRDefault="00000000">
      <w:pPr>
        <w:spacing w:before="40"/>
        <w:jc w:val="center"/>
      </w:pPr>
      <w:r w:rsidRPr="008E13F6">
        <w:rPr>
          <w:b/>
          <w:sz w:val="20"/>
        </w:rPr>
        <w:t>Table 4: High-Priority Risk Register Likelihood × Impact Assessment</w:t>
      </w:r>
    </w:p>
    <w:tbl>
      <w:tblPr>
        <w:tblStyle w:val="TableGrid"/>
        <w:tblW w:w="0" w:type="auto"/>
        <w:jc w:val="center"/>
        <w:tblLook w:val="04A0" w:firstRow="1" w:lastRow="0" w:firstColumn="1" w:lastColumn="0" w:noHBand="0" w:noVBand="1"/>
      </w:tblPr>
      <w:tblGrid>
        <w:gridCol w:w="2742"/>
        <w:gridCol w:w="1066"/>
        <w:gridCol w:w="1005"/>
        <w:gridCol w:w="1073"/>
        <w:gridCol w:w="3226"/>
      </w:tblGrid>
      <w:tr w:rsidR="005A233C" w:rsidRPr="008E13F6" w14:paraId="3180F991" w14:textId="77777777">
        <w:trPr>
          <w:jc w:val="center"/>
        </w:trPr>
        <w:tc>
          <w:tcPr>
            <w:tcW w:w="2835" w:type="dxa"/>
            <w:shd w:val="clear" w:color="auto" w:fill="1F497D"/>
          </w:tcPr>
          <w:p w14:paraId="10746E97" w14:textId="77777777" w:rsidR="005A233C" w:rsidRPr="008E13F6" w:rsidRDefault="00000000">
            <w:r w:rsidRPr="008E13F6">
              <w:rPr>
                <w:b/>
                <w:color w:val="FFFFFF"/>
                <w:sz w:val="17"/>
              </w:rPr>
              <w:t>Risk Description</w:t>
            </w:r>
          </w:p>
        </w:tc>
        <w:tc>
          <w:tcPr>
            <w:tcW w:w="1020" w:type="dxa"/>
            <w:shd w:val="clear" w:color="auto" w:fill="1F497D"/>
          </w:tcPr>
          <w:p w14:paraId="5DC362FB" w14:textId="77777777" w:rsidR="005A233C" w:rsidRPr="008E13F6" w:rsidRDefault="00000000">
            <w:r w:rsidRPr="008E13F6">
              <w:rPr>
                <w:b/>
                <w:color w:val="FFFFFF"/>
                <w:sz w:val="17"/>
              </w:rPr>
              <w:t>Likelihood</w:t>
            </w:r>
          </w:p>
        </w:tc>
        <w:tc>
          <w:tcPr>
            <w:tcW w:w="1020" w:type="dxa"/>
            <w:shd w:val="clear" w:color="auto" w:fill="1F497D"/>
          </w:tcPr>
          <w:p w14:paraId="2BB92601" w14:textId="77777777" w:rsidR="005A233C" w:rsidRPr="008E13F6" w:rsidRDefault="00000000">
            <w:r w:rsidRPr="008E13F6">
              <w:rPr>
                <w:b/>
                <w:color w:val="FFFFFF"/>
                <w:sz w:val="17"/>
              </w:rPr>
              <w:t>Impact</w:t>
            </w:r>
          </w:p>
        </w:tc>
        <w:tc>
          <w:tcPr>
            <w:tcW w:w="1077" w:type="dxa"/>
            <w:shd w:val="clear" w:color="auto" w:fill="1F497D"/>
          </w:tcPr>
          <w:p w14:paraId="78F3C0A3" w14:textId="77777777" w:rsidR="005A233C" w:rsidRPr="008E13F6" w:rsidRDefault="00000000">
            <w:r w:rsidRPr="008E13F6">
              <w:rPr>
                <w:b/>
                <w:color w:val="FFFFFF"/>
                <w:sz w:val="17"/>
              </w:rPr>
              <w:t>Rating</w:t>
            </w:r>
          </w:p>
        </w:tc>
        <w:tc>
          <w:tcPr>
            <w:tcW w:w="3345" w:type="dxa"/>
            <w:shd w:val="clear" w:color="auto" w:fill="1F497D"/>
          </w:tcPr>
          <w:p w14:paraId="3A3229F9" w14:textId="77777777" w:rsidR="005A233C" w:rsidRPr="008E13F6" w:rsidRDefault="00000000">
            <w:r w:rsidRPr="008E13F6">
              <w:rPr>
                <w:b/>
                <w:color w:val="FFFFFF"/>
                <w:sz w:val="17"/>
              </w:rPr>
              <w:t>Mitigation Strategy</w:t>
            </w:r>
          </w:p>
        </w:tc>
      </w:tr>
      <w:tr w:rsidR="005A233C" w:rsidRPr="008E13F6" w14:paraId="4F626DA8" w14:textId="77777777">
        <w:trPr>
          <w:jc w:val="center"/>
        </w:trPr>
        <w:tc>
          <w:tcPr>
            <w:tcW w:w="2835" w:type="dxa"/>
          </w:tcPr>
          <w:p w14:paraId="3BF30DC9" w14:textId="77777777" w:rsidR="005A233C" w:rsidRPr="008E13F6" w:rsidRDefault="00000000">
            <w:r w:rsidRPr="008E13F6">
              <w:rPr>
                <w:sz w:val="17"/>
              </w:rPr>
              <w:t>Unpatched internet-facing application (CVE-class exploit)</w:t>
            </w:r>
          </w:p>
        </w:tc>
        <w:tc>
          <w:tcPr>
            <w:tcW w:w="1020" w:type="dxa"/>
          </w:tcPr>
          <w:p w14:paraId="7664B740" w14:textId="77777777" w:rsidR="005A233C" w:rsidRPr="008E13F6" w:rsidRDefault="00000000">
            <w:r w:rsidRPr="008E13F6">
              <w:rPr>
                <w:sz w:val="17"/>
              </w:rPr>
              <w:t>High</w:t>
            </w:r>
          </w:p>
        </w:tc>
        <w:tc>
          <w:tcPr>
            <w:tcW w:w="1020" w:type="dxa"/>
          </w:tcPr>
          <w:p w14:paraId="10D70D49" w14:textId="77777777" w:rsidR="005A233C" w:rsidRPr="008E13F6" w:rsidRDefault="00000000">
            <w:r w:rsidRPr="008E13F6">
              <w:rPr>
                <w:sz w:val="17"/>
              </w:rPr>
              <w:t>Critical</w:t>
            </w:r>
          </w:p>
        </w:tc>
        <w:tc>
          <w:tcPr>
            <w:tcW w:w="1077" w:type="dxa"/>
            <w:shd w:val="clear" w:color="auto" w:fill="C00000"/>
          </w:tcPr>
          <w:p w14:paraId="252566E3" w14:textId="77777777" w:rsidR="005A233C" w:rsidRPr="008E13F6" w:rsidRDefault="00000000">
            <w:r w:rsidRPr="008E13F6">
              <w:rPr>
                <w:b/>
                <w:color w:val="FFFFFF"/>
                <w:sz w:val="17"/>
              </w:rPr>
              <w:t>CRITICAL</w:t>
            </w:r>
          </w:p>
        </w:tc>
        <w:tc>
          <w:tcPr>
            <w:tcW w:w="3345" w:type="dxa"/>
          </w:tcPr>
          <w:p w14:paraId="26E8E33D" w14:textId="77777777" w:rsidR="005A233C" w:rsidRPr="008E13F6" w:rsidRDefault="00000000">
            <w:r w:rsidRPr="008E13F6">
              <w:rPr>
                <w:sz w:val="17"/>
              </w:rPr>
              <w:t>Automated weekly scanning; 24-hr patch SLA; WAF as interim control; exception process with CISO sign-off [3]</w:t>
            </w:r>
          </w:p>
        </w:tc>
      </w:tr>
      <w:tr w:rsidR="005A233C" w:rsidRPr="008E13F6" w14:paraId="731E99C2" w14:textId="77777777">
        <w:trPr>
          <w:jc w:val="center"/>
        </w:trPr>
        <w:tc>
          <w:tcPr>
            <w:tcW w:w="2835" w:type="dxa"/>
          </w:tcPr>
          <w:p w14:paraId="0E159F59" w14:textId="77777777" w:rsidR="005A233C" w:rsidRPr="008E13F6" w:rsidRDefault="00000000">
            <w:r w:rsidRPr="008E13F6">
              <w:rPr>
                <w:sz w:val="17"/>
              </w:rPr>
              <w:t>Flat network enabling unrestricted lateral movement</w:t>
            </w:r>
          </w:p>
        </w:tc>
        <w:tc>
          <w:tcPr>
            <w:tcW w:w="1020" w:type="dxa"/>
          </w:tcPr>
          <w:p w14:paraId="6E8EE096" w14:textId="77777777" w:rsidR="005A233C" w:rsidRPr="008E13F6" w:rsidRDefault="00000000">
            <w:r w:rsidRPr="008E13F6">
              <w:rPr>
                <w:sz w:val="17"/>
              </w:rPr>
              <w:t>High</w:t>
            </w:r>
          </w:p>
        </w:tc>
        <w:tc>
          <w:tcPr>
            <w:tcW w:w="1020" w:type="dxa"/>
          </w:tcPr>
          <w:p w14:paraId="7A4AD0BA" w14:textId="77777777" w:rsidR="005A233C" w:rsidRPr="008E13F6" w:rsidRDefault="00000000">
            <w:r w:rsidRPr="008E13F6">
              <w:rPr>
                <w:sz w:val="17"/>
              </w:rPr>
              <w:t>Critical</w:t>
            </w:r>
          </w:p>
        </w:tc>
        <w:tc>
          <w:tcPr>
            <w:tcW w:w="1077" w:type="dxa"/>
            <w:shd w:val="clear" w:color="auto" w:fill="C00000"/>
          </w:tcPr>
          <w:p w14:paraId="233661B0" w14:textId="77777777" w:rsidR="005A233C" w:rsidRPr="008E13F6" w:rsidRDefault="00000000">
            <w:r w:rsidRPr="008E13F6">
              <w:rPr>
                <w:b/>
                <w:color w:val="FFFFFF"/>
                <w:sz w:val="17"/>
              </w:rPr>
              <w:t>CRITICAL</w:t>
            </w:r>
          </w:p>
        </w:tc>
        <w:tc>
          <w:tcPr>
            <w:tcW w:w="3345" w:type="dxa"/>
          </w:tcPr>
          <w:p w14:paraId="784E68FD" w14:textId="77777777" w:rsidR="005A233C" w:rsidRPr="008E13F6" w:rsidRDefault="00000000">
            <w:r w:rsidRPr="008E13F6">
              <w:rPr>
                <w:sz w:val="17"/>
              </w:rPr>
              <w:t>Micro-segmentation into Tier-1/2/3 zones; east-west traffic inspection; Zero Trust network access control [4]</w:t>
            </w:r>
          </w:p>
        </w:tc>
      </w:tr>
      <w:tr w:rsidR="005A233C" w:rsidRPr="008E13F6" w14:paraId="58FCB843" w14:textId="77777777">
        <w:trPr>
          <w:jc w:val="center"/>
        </w:trPr>
        <w:tc>
          <w:tcPr>
            <w:tcW w:w="2835" w:type="dxa"/>
          </w:tcPr>
          <w:p w14:paraId="77FD9E62" w14:textId="77777777" w:rsidR="005A233C" w:rsidRPr="008E13F6" w:rsidRDefault="00000000">
            <w:r w:rsidRPr="008E13F6">
              <w:rPr>
                <w:sz w:val="17"/>
              </w:rPr>
              <w:t>Expired TLS certificate disabling traffic inspection</w:t>
            </w:r>
          </w:p>
        </w:tc>
        <w:tc>
          <w:tcPr>
            <w:tcW w:w="1020" w:type="dxa"/>
          </w:tcPr>
          <w:p w14:paraId="57B21FFE" w14:textId="77777777" w:rsidR="005A233C" w:rsidRPr="008E13F6" w:rsidRDefault="00000000">
            <w:r w:rsidRPr="008E13F6">
              <w:rPr>
                <w:sz w:val="17"/>
              </w:rPr>
              <w:t>Medium</w:t>
            </w:r>
          </w:p>
        </w:tc>
        <w:tc>
          <w:tcPr>
            <w:tcW w:w="1020" w:type="dxa"/>
          </w:tcPr>
          <w:p w14:paraId="67823FFE" w14:textId="77777777" w:rsidR="005A233C" w:rsidRPr="008E13F6" w:rsidRDefault="00000000">
            <w:r w:rsidRPr="008E13F6">
              <w:rPr>
                <w:sz w:val="17"/>
              </w:rPr>
              <w:t>Critical</w:t>
            </w:r>
          </w:p>
        </w:tc>
        <w:tc>
          <w:tcPr>
            <w:tcW w:w="1077" w:type="dxa"/>
            <w:shd w:val="clear" w:color="auto" w:fill="C00000"/>
          </w:tcPr>
          <w:p w14:paraId="0ADDE29F" w14:textId="77777777" w:rsidR="005A233C" w:rsidRPr="008E13F6" w:rsidRDefault="00000000">
            <w:r w:rsidRPr="008E13F6">
              <w:rPr>
                <w:b/>
                <w:color w:val="FFFFFF"/>
                <w:sz w:val="17"/>
              </w:rPr>
              <w:t>CRITICAL</w:t>
            </w:r>
          </w:p>
        </w:tc>
        <w:tc>
          <w:tcPr>
            <w:tcW w:w="3345" w:type="dxa"/>
          </w:tcPr>
          <w:p w14:paraId="7D4B9E16" w14:textId="77777777" w:rsidR="005A233C" w:rsidRPr="008E13F6" w:rsidRDefault="00000000">
            <w:r w:rsidRPr="008E13F6">
              <w:rPr>
                <w:sz w:val="17"/>
              </w:rPr>
              <w:t>Centralised PKI; automated renewal; SOC monitoring alert on expiry approach [1]</w:t>
            </w:r>
          </w:p>
        </w:tc>
      </w:tr>
      <w:tr w:rsidR="005A233C" w:rsidRPr="008E13F6" w14:paraId="116C7C0C" w14:textId="77777777">
        <w:trPr>
          <w:jc w:val="center"/>
        </w:trPr>
        <w:tc>
          <w:tcPr>
            <w:tcW w:w="2835" w:type="dxa"/>
          </w:tcPr>
          <w:p w14:paraId="7235CF5C" w14:textId="77777777" w:rsidR="005A233C" w:rsidRPr="008E13F6" w:rsidRDefault="00000000">
            <w:r w:rsidRPr="008E13F6">
              <w:rPr>
                <w:sz w:val="17"/>
              </w:rPr>
              <w:t>Excessive data access privileges and stale accounts</w:t>
            </w:r>
          </w:p>
        </w:tc>
        <w:tc>
          <w:tcPr>
            <w:tcW w:w="1020" w:type="dxa"/>
          </w:tcPr>
          <w:p w14:paraId="1560E147" w14:textId="77777777" w:rsidR="005A233C" w:rsidRPr="008E13F6" w:rsidRDefault="00000000">
            <w:r w:rsidRPr="008E13F6">
              <w:rPr>
                <w:sz w:val="17"/>
              </w:rPr>
              <w:t>Medium</w:t>
            </w:r>
          </w:p>
        </w:tc>
        <w:tc>
          <w:tcPr>
            <w:tcW w:w="1020" w:type="dxa"/>
          </w:tcPr>
          <w:p w14:paraId="40AF2727" w14:textId="77777777" w:rsidR="005A233C" w:rsidRPr="008E13F6" w:rsidRDefault="00000000">
            <w:r w:rsidRPr="008E13F6">
              <w:rPr>
                <w:sz w:val="17"/>
              </w:rPr>
              <w:t>High</w:t>
            </w:r>
          </w:p>
        </w:tc>
        <w:tc>
          <w:tcPr>
            <w:tcW w:w="1077" w:type="dxa"/>
            <w:shd w:val="clear" w:color="auto" w:fill="FF0000"/>
          </w:tcPr>
          <w:p w14:paraId="1A7DCC27" w14:textId="77777777" w:rsidR="005A233C" w:rsidRPr="008E13F6" w:rsidRDefault="00000000">
            <w:r w:rsidRPr="008E13F6">
              <w:rPr>
                <w:b/>
                <w:color w:val="FFFFFF"/>
                <w:sz w:val="17"/>
              </w:rPr>
              <w:t>HIGH</w:t>
            </w:r>
          </w:p>
        </w:tc>
        <w:tc>
          <w:tcPr>
            <w:tcW w:w="3345" w:type="dxa"/>
          </w:tcPr>
          <w:p w14:paraId="670DA47F" w14:textId="77777777" w:rsidR="005A233C" w:rsidRPr="008E13F6" w:rsidRDefault="00000000">
            <w:r w:rsidRPr="008E13F6">
              <w:rPr>
                <w:sz w:val="17"/>
              </w:rPr>
              <w:t>Least-privilege IAM; quarterly access reviews; automated de-provisioning on role change or termination [3]</w:t>
            </w:r>
          </w:p>
        </w:tc>
      </w:tr>
      <w:tr w:rsidR="005A233C" w:rsidRPr="008E13F6" w14:paraId="73B87A2B" w14:textId="77777777">
        <w:trPr>
          <w:jc w:val="center"/>
        </w:trPr>
        <w:tc>
          <w:tcPr>
            <w:tcW w:w="2835" w:type="dxa"/>
          </w:tcPr>
          <w:p w14:paraId="09DF9F05" w14:textId="77777777" w:rsidR="005A233C" w:rsidRPr="008E13F6" w:rsidRDefault="00000000">
            <w:r w:rsidRPr="008E13F6">
              <w:rPr>
                <w:sz w:val="17"/>
              </w:rPr>
              <w:t>Supply chain / third-party API vulnerability</w:t>
            </w:r>
          </w:p>
        </w:tc>
        <w:tc>
          <w:tcPr>
            <w:tcW w:w="1020" w:type="dxa"/>
          </w:tcPr>
          <w:p w14:paraId="62E4414E" w14:textId="77777777" w:rsidR="005A233C" w:rsidRPr="008E13F6" w:rsidRDefault="00000000">
            <w:r w:rsidRPr="008E13F6">
              <w:rPr>
                <w:sz w:val="17"/>
              </w:rPr>
              <w:t>Medium</w:t>
            </w:r>
          </w:p>
        </w:tc>
        <w:tc>
          <w:tcPr>
            <w:tcW w:w="1020" w:type="dxa"/>
          </w:tcPr>
          <w:p w14:paraId="69AA39E8" w14:textId="77777777" w:rsidR="005A233C" w:rsidRPr="008E13F6" w:rsidRDefault="00000000">
            <w:r w:rsidRPr="008E13F6">
              <w:rPr>
                <w:sz w:val="17"/>
              </w:rPr>
              <w:t>High</w:t>
            </w:r>
          </w:p>
        </w:tc>
        <w:tc>
          <w:tcPr>
            <w:tcW w:w="1077" w:type="dxa"/>
            <w:shd w:val="clear" w:color="auto" w:fill="FF0000"/>
          </w:tcPr>
          <w:p w14:paraId="427C5AB0" w14:textId="77777777" w:rsidR="005A233C" w:rsidRPr="008E13F6" w:rsidRDefault="00000000">
            <w:r w:rsidRPr="008E13F6">
              <w:rPr>
                <w:b/>
                <w:color w:val="FFFFFF"/>
                <w:sz w:val="17"/>
              </w:rPr>
              <w:t>HIGH</w:t>
            </w:r>
          </w:p>
        </w:tc>
        <w:tc>
          <w:tcPr>
            <w:tcW w:w="3345" w:type="dxa"/>
          </w:tcPr>
          <w:p w14:paraId="37AFF0DF" w14:textId="77777777" w:rsidR="005A233C" w:rsidRPr="008E13F6" w:rsidRDefault="00000000">
            <w:r w:rsidRPr="008E13F6">
              <w:rPr>
                <w:sz w:val="17"/>
              </w:rPr>
              <w:t>Annual vendor security assessments; contractual SLAs; third-party access restricted to minimum-scope ZTNA sessions [4]</w:t>
            </w:r>
          </w:p>
        </w:tc>
      </w:tr>
      <w:tr w:rsidR="005A233C" w:rsidRPr="008E13F6" w14:paraId="6E6BB3DE" w14:textId="77777777">
        <w:trPr>
          <w:jc w:val="center"/>
        </w:trPr>
        <w:tc>
          <w:tcPr>
            <w:tcW w:w="2835" w:type="dxa"/>
          </w:tcPr>
          <w:p w14:paraId="0733B7B0" w14:textId="77777777" w:rsidR="005A233C" w:rsidRPr="008E13F6" w:rsidRDefault="00000000">
            <w:r w:rsidRPr="008E13F6">
              <w:rPr>
                <w:sz w:val="17"/>
              </w:rPr>
              <w:t>Unencrypted PII storage (SSNs, dates of birth)</w:t>
            </w:r>
          </w:p>
        </w:tc>
        <w:tc>
          <w:tcPr>
            <w:tcW w:w="1020" w:type="dxa"/>
          </w:tcPr>
          <w:p w14:paraId="661A9C59" w14:textId="77777777" w:rsidR="005A233C" w:rsidRPr="008E13F6" w:rsidRDefault="00000000">
            <w:r w:rsidRPr="008E13F6">
              <w:rPr>
                <w:sz w:val="17"/>
              </w:rPr>
              <w:t>Low</w:t>
            </w:r>
          </w:p>
        </w:tc>
        <w:tc>
          <w:tcPr>
            <w:tcW w:w="1020" w:type="dxa"/>
          </w:tcPr>
          <w:p w14:paraId="25ECF221" w14:textId="77777777" w:rsidR="005A233C" w:rsidRPr="008E13F6" w:rsidRDefault="00000000">
            <w:r w:rsidRPr="008E13F6">
              <w:rPr>
                <w:sz w:val="17"/>
              </w:rPr>
              <w:t>Critical</w:t>
            </w:r>
          </w:p>
        </w:tc>
        <w:tc>
          <w:tcPr>
            <w:tcW w:w="1077" w:type="dxa"/>
            <w:shd w:val="clear" w:color="auto" w:fill="FF0000"/>
          </w:tcPr>
          <w:p w14:paraId="0E118FC4" w14:textId="77777777" w:rsidR="005A233C" w:rsidRPr="008E13F6" w:rsidRDefault="00000000">
            <w:r w:rsidRPr="008E13F6">
              <w:rPr>
                <w:b/>
                <w:color w:val="FFFFFF"/>
                <w:sz w:val="17"/>
              </w:rPr>
              <w:t>HIGH</w:t>
            </w:r>
          </w:p>
        </w:tc>
        <w:tc>
          <w:tcPr>
            <w:tcW w:w="3345" w:type="dxa"/>
          </w:tcPr>
          <w:p w14:paraId="52C51962" w14:textId="77777777" w:rsidR="005A233C" w:rsidRPr="008E13F6" w:rsidRDefault="00000000">
            <w:r w:rsidRPr="008E13F6">
              <w:rPr>
                <w:sz w:val="17"/>
              </w:rPr>
              <w:t>AES-256 at rest; field-level encryption for sensitive identifiers; data minimisation to reduce exposure [9]</w:t>
            </w:r>
          </w:p>
        </w:tc>
      </w:tr>
      <w:tr w:rsidR="005A233C" w:rsidRPr="008E13F6" w14:paraId="42F4FD75" w14:textId="77777777">
        <w:trPr>
          <w:jc w:val="center"/>
        </w:trPr>
        <w:tc>
          <w:tcPr>
            <w:tcW w:w="2835" w:type="dxa"/>
          </w:tcPr>
          <w:p w14:paraId="34E041BD" w14:textId="77777777" w:rsidR="005A233C" w:rsidRPr="008E13F6" w:rsidRDefault="00000000">
            <w:r w:rsidRPr="008E13F6">
              <w:rPr>
                <w:sz w:val="17"/>
              </w:rPr>
              <w:t>Insider threat / privileged user misuse</w:t>
            </w:r>
          </w:p>
        </w:tc>
        <w:tc>
          <w:tcPr>
            <w:tcW w:w="1020" w:type="dxa"/>
          </w:tcPr>
          <w:p w14:paraId="1A46AD54" w14:textId="77777777" w:rsidR="005A233C" w:rsidRPr="008E13F6" w:rsidRDefault="00000000">
            <w:r w:rsidRPr="008E13F6">
              <w:rPr>
                <w:sz w:val="17"/>
              </w:rPr>
              <w:t>Low</w:t>
            </w:r>
          </w:p>
        </w:tc>
        <w:tc>
          <w:tcPr>
            <w:tcW w:w="1020" w:type="dxa"/>
          </w:tcPr>
          <w:p w14:paraId="247435CD" w14:textId="77777777" w:rsidR="005A233C" w:rsidRPr="008E13F6" w:rsidRDefault="00000000">
            <w:r w:rsidRPr="008E13F6">
              <w:rPr>
                <w:sz w:val="17"/>
              </w:rPr>
              <w:t>Critical</w:t>
            </w:r>
          </w:p>
        </w:tc>
        <w:tc>
          <w:tcPr>
            <w:tcW w:w="1077" w:type="dxa"/>
            <w:shd w:val="clear" w:color="auto" w:fill="FF0000"/>
          </w:tcPr>
          <w:p w14:paraId="1940BB7D" w14:textId="77777777" w:rsidR="005A233C" w:rsidRPr="008E13F6" w:rsidRDefault="00000000">
            <w:r w:rsidRPr="008E13F6">
              <w:rPr>
                <w:b/>
                <w:color w:val="FFFFFF"/>
                <w:sz w:val="17"/>
              </w:rPr>
              <w:t>HIGH</w:t>
            </w:r>
          </w:p>
        </w:tc>
        <w:tc>
          <w:tcPr>
            <w:tcW w:w="3345" w:type="dxa"/>
          </w:tcPr>
          <w:p w14:paraId="63655EDC" w14:textId="77777777" w:rsidR="005A233C" w:rsidRPr="008E13F6" w:rsidRDefault="00000000">
            <w:r w:rsidRPr="008E13F6">
              <w:rPr>
                <w:sz w:val="17"/>
              </w:rPr>
              <w:t>UEBA for behavioural anomaly detection; PAM with session recording for all privileged access; least-privilege enforcement</w:t>
            </w:r>
          </w:p>
        </w:tc>
      </w:tr>
    </w:tbl>
    <w:p w14:paraId="74C3C04F" w14:textId="77777777" w:rsidR="001E4DAB" w:rsidRPr="008E13F6" w:rsidRDefault="001E4DAB" w:rsidP="001E4DAB"/>
    <w:p w14:paraId="297A7BAC" w14:textId="6EB36F5A" w:rsidR="005A233C" w:rsidRPr="002C28BF" w:rsidRDefault="00000000" w:rsidP="001E4DAB">
      <w:pPr>
        <w:rPr>
          <w:rFonts w:cs="Arial"/>
        </w:rPr>
      </w:pPr>
      <w:r w:rsidRPr="002C28BF">
        <w:rPr>
          <w:rFonts w:cs="Arial"/>
        </w:rPr>
        <w:lastRenderedPageBreak/>
        <w:t>The three Critical-rated risks reflect the direct root causes of the Equifax breach and receive immediate remediation investment with weekly CISO review until resolved. The risk register is reviewed quarterly by the GRC Manager and updated following any significant change to the threat landscape, a new material vulnerability disclosure, or a post-incident review finding. This living risk register approach aligns to the "Identify" function of NIST CSF 2.0 [6] and satisfies the risk management obligations of ISO/IEC 27001:2022 Clause 6 [9].</w:t>
      </w:r>
    </w:p>
    <w:p w14:paraId="5AE739D1" w14:textId="77777777" w:rsidR="005A233C" w:rsidRPr="008E13F6" w:rsidRDefault="00000000" w:rsidP="00E14050">
      <w:pPr>
        <w:pStyle w:val="Heading2"/>
      </w:pPr>
      <w:bookmarkStart w:id="12" w:name="_Toc236328104"/>
      <w:r w:rsidRPr="008E13F6">
        <w:t>2.5 Compliance, Incident Response, and Protection Controls</w:t>
      </w:r>
      <w:bookmarkEnd w:id="12"/>
    </w:p>
    <w:p w14:paraId="73A1F9F0" w14:textId="77777777" w:rsidR="005A233C" w:rsidRPr="008E13F6" w:rsidRDefault="00000000" w:rsidP="001E4DAB">
      <w:pPr>
        <w:pStyle w:val="Heading3"/>
      </w:pPr>
      <w:bookmarkStart w:id="13" w:name="_Toc236328105"/>
      <w:r w:rsidRPr="008E13F6">
        <w:t>Regulatory Compliance and Breach Notification</w:t>
      </w:r>
      <w:bookmarkEnd w:id="13"/>
    </w:p>
    <w:p w14:paraId="6FD75F20" w14:textId="31FE1DD6" w:rsidR="008E13F6" w:rsidRPr="008E13F6" w:rsidRDefault="008E13F6" w:rsidP="008E13F6">
      <w:r w:rsidRPr="008E13F6">
        <w:t>Equifax's global operations create a complex multi-jurisdictional compliance obligation. In the United States, the Gramm-Leach-Bliley Act (GLBA) and the Fair Credit Reporting Act (FCRA) govern financial data handling and breach notification to affected consumers. For operations involving EU resident data, GDPR Article 33 requires notification to the competent supervisory authority within 72 hours of a confirmed breach, and Article 34 requires direct notification to affected individuals where the breach poses a high risk to their rights and freedoms [7]. For EU financial sector operations, DORA adds ICT incident classification and reporting obligations, with defined timelines and standardised reporting templates [8]. Where operations touch critical infrastructure sectors, the NIS2 Directive's requirements, including 24-hour reporting for significant incidents, must also be met [10].</w:t>
      </w:r>
    </w:p>
    <w:p w14:paraId="34694E74" w14:textId="77777777" w:rsidR="008E13F6" w:rsidRPr="008E13F6" w:rsidRDefault="008E13F6" w:rsidP="008E13F6">
      <w:r w:rsidRPr="008E13F6">
        <w:t>The DPO keeps a regulatory obligation matrix that maps every applicable requirement to an internal control owner and a notification timeline. The SOAR platform runs automated playbooks that trigger the right notification workflow, legal hold, and evidence preservation steps as soon as an incident is confirmed. This removes the manual coordination failures that delayed Equifax's own breach notifications and helped drive its regulatory liability [1].</w:t>
      </w:r>
    </w:p>
    <w:p w14:paraId="6585B62D" w14:textId="46F38D7C" w:rsidR="005A233C" w:rsidRPr="008E13F6" w:rsidRDefault="005A233C" w:rsidP="008E13F6"/>
    <w:p w14:paraId="55AAC34C" w14:textId="77777777" w:rsidR="005A233C" w:rsidRPr="008E13F6" w:rsidRDefault="00000000" w:rsidP="001E4DAB">
      <w:pPr>
        <w:pStyle w:val="Heading3"/>
      </w:pPr>
      <w:bookmarkStart w:id="14" w:name="_Toc236328106"/>
      <w:r w:rsidRPr="008E13F6">
        <w:lastRenderedPageBreak/>
        <w:t>Incident Response Plan (NIST SP 800-61r2)</w:t>
      </w:r>
      <w:bookmarkEnd w:id="14"/>
    </w:p>
    <w:p w14:paraId="13132A7B" w14:textId="77777777" w:rsidR="005A233C" w:rsidRPr="008E13F6" w:rsidRDefault="00000000" w:rsidP="001E4DAB">
      <w:r w:rsidRPr="008E13F6">
        <w:t>The Incident Response Plan (IRP) follows the lifecycle defined in NIST SP 800-61r2 [11], comprising six phases with defined ownership, escalation thresholds, and time-bound actions.</w:t>
      </w:r>
    </w:p>
    <w:p w14:paraId="61516B6D" w14:textId="77777777" w:rsidR="005A233C" w:rsidRPr="008E13F6" w:rsidRDefault="00000000" w:rsidP="001E4DAB">
      <w:pPr>
        <w:spacing w:after="80"/>
      </w:pPr>
      <w:r w:rsidRPr="008E13F6">
        <w:rPr>
          <w:b/>
        </w:rPr>
        <w:t xml:space="preserve">1. Preparation: </w:t>
      </w:r>
      <w:r w:rsidRPr="008E13F6">
        <w:t>Incident response playbooks are developed and reviewed semi-annually for all identified threat scenarios (ransomware, credential compromise, web application exploit, insider threat). A retainer agreement with an external Digital Forensics and Incident Response (DFIR) firm ensures 24/7 specialist surge capacity. Board-level tabletop exercises are conducted annually to validate escalation procedures and regulatory notification workflows [11].</w:t>
      </w:r>
    </w:p>
    <w:p w14:paraId="0B931E06" w14:textId="77777777" w:rsidR="005A233C" w:rsidRPr="00706983" w:rsidRDefault="00000000" w:rsidP="001E4DAB">
      <w:pPr>
        <w:spacing w:after="80"/>
        <w:rPr>
          <w:rFonts w:cs="Arial"/>
        </w:rPr>
      </w:pPr>
      <w:r w:rsidRPr="00706983">
        <w:rPr>
          <w:rFonts w:cs="Arial"/>
          <w:b/>
        </w:rPr>
        <w:t xml:space="preserve">2. Detection and Analysis: </w:t>
      </w:r>
      <w:r w:rsidRPr="00706983">
        <w:rPr>
          <w:rFonts w:cs="Arial"/>
        </w:rPr>
        <w:t>SIEM correlates log data from network infrastructure, endpoints, applications, and cloud platforms. EDR provides real-time endpoint behavioural telemetry. Alerts are triaged by SOC analysts against defined severity classifications (P1 through P4), with P1 and P2 incidents triggering immediate CISO and legal notification. The MTTD target of ≤ 1 hour ensures that the 76-day Equifax dwell time is structurally impossible within this architecture [12].</w:t>
      </w:r>
    </w:p>
    <w:p w14:paraId="25F39576" w14:textId="77777777" w:rsidR="005A233C" w:rsidRPr="008E13F6" w:rsidRDefault="00000000" w:rsidP="001E4DAB">
      <w:pPr>
        <w:spacing w:after="80"/>
      </w:pPr>
      <w:r w:rsidRPr="008E13F6">
        <w:rPr>
          <w:b/>
        </w:rPr>
        <w:t xml:space="preserve">3. Containment: </w:t>
      </w:r>
      <w:r w:rsidRPr="008E13F6">
        <w:t>Automated SOAR playbooks isolate confirmed-malicious hosts at the network layer within minutes of P1 declaration. Network micro-segmentation limits blast radius to the affected zone, preventing lateral propagation to adjacent systems containing PII. Compromised credentials are immediately rotated via automated IAM integration [3].</w:t>
      </w:r>
    </w:p>
    <w:p w14:paraId="0CB99C13" w14:textId="56395BDD" w:rsidR="005A233C" w:rsidRPr="008E13F6" w:rsidRDefault="00000000" w:rsidP="001E4DAB">
      <w:pPr>
        <w:spacing w:after="80"/>
      </w:pPr>
      <w:r w:rsidRPr="008E13F6">
        <w:rPr>
          <w:b/>
        </w:rPr>
        <w:t xml:space="preserve">4. Eradication: </w:t>
      </w:r>
      <w:r w:rsidRPr="008E13F6">
        <w:t>Root cause is confirmed through forensic analysis. The exploited vulnerability is remediated under emergency change control. All identified indicators of compromise (</w:t>
      </w:r>
      <w:proofErr w:type="spellStart"/>
      <w:r w:rsidRPr="008E13F6">
        <w:t>IoCs</w:t>
      </w:r>
      <w:proofErr w:type="spellEnd"/>
      <w:r w:rsidRPr="008E13F6">
        <w:t>)</w:t>
      </w:r>
      <w:r w:rsidR="00E340AF">
        <w:t>,</w:t>
      </w:r>
      <w:r w:rsidRPr="008E13F6">
        <w:t xml:space="preserve"> malicious binaries, persistence mechanisms, and attacker infrastructure are purged. System integrity is verified against known-good configuration baselines before restoration proceeds.</w:t>
      </w:r>
    </w:p>
    <w:p w14:paraId="47A52DF7" w14:textId="77777777" w:rsidR="005A233C" w:rsidRPr="008E13F6" w:rsidRDefault="00000000" w:rsidP="001E4DAB">
      <w:pPr>
        <w:spacing w:after="80"/>
      </w:pPr>
      <w:r w:rsidRPr="008E13F6">
        <w:rPr>
          <w:b/>
        </w:rPr>
        <w:t xml:space="preserve">5. Recovery: </w:t>
      </w:r>
      <w:r w:rsidRPr="008E13F6">
        <w:t>Affected systems are restored from verified clean backups within the defined RTO. Monitoring is heightened across adjacent systems for 30 days post-incident. Business stakeholders receive regular restoration updates, and customer communications are prepared in coordination with Legal and PR.</w:t>
      </w:r>
    </w:p>
    <w:p w14:paraId="26E124E3" w14:textId="77777777" w:rsidR="005A233C" w:rsidRPr="0045293C" w:rsidRDefault="00000000" w:rsidP="001E4DAB">
      <w:pPr>
        <w:spacing w:after="80"/>
        <w:rPr>
          <w:rFonts w:cs="Arial"/>
        </w:rPr>
      </w:pPr>
      <w:r w:rsidRPr="008E13F6">
        <w:rPr>
          <w:b/>
        </w:rPr>
        <w:lastRenderedPageBreak/>
        <w:t>6</w:t>
      </w:r>
      <w:r w:rsidRPr="0045293C">
        <w:rPr>
          <w:rFonts w:cs="Arial"/>
          <w:b/>
        </w:rPr>
        <w:t xml:space="preserve">. Post-Incident Review: </w:t>
      </w:r>
      <w:r w:rsidRPr="0045293C">
        <w:rPr>
          <w:rFonts w:cs="Arial"/>
        </w:rPr>
        <w:t>A formal lessons-learned review is conducted within 10 business days. Findings are actioned as GRC work items within 30 days. Policy and control updates are implemented and communicated to all affected stakeholders. Material incidents receive a Board briefing. Findings feed back into the risk register and the next IRP revision cycle [11].</w:t>
      </w:r>
    </w:p>
    <w:p w14:paraId="2650EF3C" w14:textId="77777777" w:rsidR="005A233C" w:rsidRPr="0045293C" w:rsidRDefault="00000000" w:rsidP="001E4DAB">
      <w:pPr>
        <w:pStyle w:val="Heading3"/>
        <w:rPr>
          <w:rFonts w:cs="Arial"/>
        </w:rPr>
      </w:pPr>
      <w:bookmarkStart w:id="15" w:name="_Toc236328107"/>
      <w:r w:rsidRPr="0045293C">
        <w:rPr>
          <w:rFonts w:cs="Arial"/>
        </w:rPr>
        <w:t>Technical Protection Controls</w:t>
      </w:r>
      <w:bookmarkEnd w:id="15"/>
    </w:p>
    <w:p w14:paraId="09F69150" w14:textId="77777777" w:rsidR="005A233C" w:rsidRPr="0045293C" w:rsidRDefault="00000000" w:rsidP="001E4DAB">
      <w:pPr>
        <w:rPr>
          <w:rFonts w:cs="Arial"/>
        </w:rPr>
      </w:pPr>
      <w:r w:rsidRPr="0045293C">
        <w:rPr>
          <w:rFonts w:cs="Arial"/>
        </w:rPr>
        <w:t>The following controls operationalise the Zero Trust principles from Task 1 and directly address each Equifax failure mode. Controls are layered to provide defence-in-depth; no single control failure creates a catastrophic outcome.</w:t>
      </w:r>
    </w:p>
    <w:p w14:paraId="53316C99" w14:textId="77777777" w:rsidR="005A233C" w:rsidRPr="0045293C" w:rsidRDefault="00000000" w:rsidP="001E4DAB">
      <w:pPr>
        <w:spacing w:after="80"/>
        <w:rPr>
          <w:rFonts w:cs="Arial"/>
        </w:rPr>
      </w:pPr>
      <w:r w:rsidRPr="0045293C">
        <w:rPr>
          <w:rFonts w:cs="Arial"/>
          <w:b/>
        </w:rPr>
        <w:t xml:space="preserve">Automated Vulnerability Scanning: </w:t>
      </w:r>
      <w:r w:rsidRPr="0045293C">
        <w:rPr>
          <w:rFonts w:cs="Arial"/>
        </w:rPr>
        <w:t>Continuous authenticated scanning of all internet-facing assets using enterprise vulnerability management platforms. Critical findings automatically generate ITSM tickets with breach SLA timers. Unauthenticated external scans simulate the attacker's view and verify that patching has been applied correctly. This directly prevents the class of failure that caused the Equifax breach [1].</w:t>
      </w:r>
    </w:p>
    <w:p w14:paraId="2A200ED0" w14:textId="77777777" w:rsidR="005A233C" w:rsidRPr="0045293C" w:rsidRDefault="00000000" w:rsidP="001E4DAB">
      <w:pPr>
        <w:spacing w:after="80"/>
        <w:rPr>
          <w:rFonts w:cs="Arial"/>
        </w:rPr>
      </w:pPr>
      <w:r w:rsidRPr="0045293C">
        <w:rPr>
          <w:rFonts w:cs="Arial"/>
          <w:b/>
        </w:rPr>
        <w:t xml:space="preserve">Intrusion Detection and Prevention (IDS/IPS): </w:t>
      </w:r>
      <w:r w:rsidRPr="0045293C">
        <w:rPr>
          <w:rFonts w:cs="Arial"/>
        </w:rPr>
        <w:t>Deployed at all network segment boundaries and integrated with SIEM for correlated analysis. NIST SP 800-94 provides the baseline framework for IDPS policy configuration, alert tuning, and ongoing management [12]. Signature-based detection identifies known exploit patterns; behavioural anomaly detection identifies novel attack techniques.</w:t>
      </w:r>
    </w:p>
    <w:p w14:paraId="2AE50440" w14:textId="77777777" w:rsidR="005A233C" w:rsidRPr="0045293C" w:rsidRDefault="00000000" w:rsidP="001E4DAB">
      <w:pPr>
        <w:spacing w:after="80"/>
        <w:rPr>
          <w:rFonts w:cs="Arial"/>
        </w:rPr>
      </w:pPr>
      <w:r w:rsidRPr="0045293C">
        <w:rPr>
          <w:rFonts w:cs="Arial"/>
          <w:b/>
        </w:rPr>
        <w:t xml:space="preserve">EDR on All Endpoints: </w:t>
      </w:r>
      <w:r w:rsidRPr="0045293C">
        <w:rPr>
          <w:rFonts w:cs="Arial"/>
        </w:rPr>
        <w:t>Endpoint Detection and Response provides real-time behavioural telemetry: lateral movement patterns, credential dumping, abnormal process execution, and data staging behaviours. EDR would have identified the attacker activity during the 76-day Equifax dwell period through anomalous east-west network connections and bulk database queries [1].</w:t>
      </w:r>
    </w:p>
    <w:p w14:paraId="2EE0D80E" w14:textId="77777777" w:rsidR="005A233C" w:rsidRPr="0045293C" w:rsidRDefault="00000000" w:rsidP="001E4DAB">
      <w:pPr>
        <w:spacing w:after="80"/>
        <w:rPr>
          <w:rFonts w:cs="Arial"/>
        </w:rPr>
      </w:pPr>
      <w:r w:rsidRPr="0045293C">
        <w:rPr>
          <w:rFonts w:cs="Arial"/>
          <w:b/>
        </w:rPr>
        <w:t xml:space="preserve">TLS Inspection with Automated Certificate Management: </w:t>
      </w:r>
      <w:r w:rsidRPr="0045293C">
        <w:rPr>
          <w:rFonts w:cs="Arial"/>
        </w:rPr>
        <w:t>Full inspection of all encrypted north-south and east-west traffic. All TLS certificates managed via centralised PKI with automated renewal and real-time expiry monitoring. This directly eliminates the 19-month blind spot that characterised the Equifax environment [1].</w:t>
      </w:r>
    </w:p>
    <w:p w14:paraId="02CD4B89" w14:textId="77777777" w:rsidR="005A233C" w:rsidRPr="008E13F6" w:rsidRDefault="00000000" w:rsidP="001E4DAB">
      <w:pPr>
        <w:spacing w:after="80"/>
      </w:pPr>
      <w:r w:rsidRPr="0045293C">
        <w:rPr>
          <w:rFonts w:cs="Arial"/>
          <w:b/>
        </w:rPr>
        <w:t xml:space="preserve">Encryption: </w:t>
      </w:r>
      <w:r w:rsidRPr="0045293C">
        <w:rPr>
          <w:rFonts w:cs="Arial"/>
        </w:rPr>
        <w:t xml:space="preserve">AES-256 for all PII at rest; TLS 1.3 mandatory for all data in transit. Field-level encryption for Social Security numbers and financial identifiers ensures that bulk </w:t>
      </w:r>
      <w:r w:rsidRPr="0045293C">
        <w:rPr>
          <w:rFonts w:cs="Arial"/>
        </w:rPr>
        <w:lastRenderedPageBreak/>
        <w:t>exfiltration of database content yields only ciphertext.</w:t>
      </w:r>
      <w:r w:rsidRPr="008E13F6">
        <w:t xml:space="preserve"> Even a fully successful attacker cannot monetise unencrypted PII, directly limiting the regulatory and commercial impact of any breach [9].</w:t>
      </w:r>
    </w:p>
    <w:p w14:paraId="18D76DF6" w14:textId="77777777" w:rsidR="005A233C" w:rsidRPr="008E13F6" w:rsidRDefault="00000000" w:rsidP="001E4DAB">
      <w:pPr>
        <w:spacing w:after="80"/>
      </w:pPr>
      <w:r w:rsidRPr="008E13F6">
        <w:rPr>
          <w:b/>
        </w:rPr>
        <w:t xml:space="preserve">MFA and Privileged Access Management (PAM): </w:t>
      </w:r>
      <w:r w:rsidRPr="008E13F6">
        <w:t>Mandatory MFA for all privileged access, remote access, and administrative console sessions. Phishing-resistant FIDO2 hardware keys required for the highest-risk roles. PAM enforces JIT access provisioning for privileged accounts, with full session recording and automated de-provisioning, aligned to the least-privilege principle of ZTA [3].</w:t>
      </w:r>
    </w:p>
    <w:p w14:paraId="1BA229C6" w14:textId="77777777" w:rsidR="005A233C" w:rsidRPr="008E13F6" w:rsidRDefault="00000000" w:rsidP="001E4DAB">
      <w:pPr>
        <w:spacing w:after="80"/>
      </w:pPr>
      <w:r w:rsidRPr="008E13F6">
        <w:rPr>
          <w:b/>
        </w:rPr>
        <w:t xml:space="preserve">Micro-segmentation and DLP: </w:t>
      </w:r>
      <w:r w:rsidRPr="008E13F6">
        <w:t>Consumer data systems are isolated in dedicated network zones with strict inter-zone traffic policies. East-west traffic is inspected at all zone boundaries. DLP monitors and blocks bulk data transfers exceeding defined thresholds, ensuring that credential compromise does not automatically enable large-scale exfiltration [4].</w:t>
      </w:r>
    </w:p>
    <w:p w14:paraId="37294C46" w14:textId="77777777" w:rsidR="005A233C" w:rsidRPr="008E13F6" w:rsidRDefault="00000000" w:rsidP="001E4DAB">
      <w:r w:rsidRPr="008E13F6">
        <w:t>Collectively, these controls reduce dwell time from months to hours and limit exfiltration to zero usable records. The MTTD target of ≤ 1 hour, achieved through SIEM/EDR integration and automated SOAR response [12], combined with micro-segmentation that contains lateral movement to a single network zone, and field-level encryption that renders extracted data unusable, creates a layered architecture in which the 76-day Equifax dwell time and the exfiltration of 147 million records are jointly impossible.</w:t>
      </w:r>
    </w:p>
    <w:p w14:paraId="465FEDE0" w14:textId="77777777" w:rsidR="005A233C" w:rsidRPr="008E13F6" w:rsidRDefault="00000000" w:rsidP="00E14050">
      <w:pPr>
        <w:pStyle w:val="Heading2"/>
      </w:pPr>
      <w:bookmarkStart w:id="16" w:name="_Toc236328108"/>
      <w:r w:rsidRPr="008E13F6">
        <w:t>Conclusion</w:t>
      </w:r>
      <w:bookmarkEnd w:id="16"/>
    </w:p>
    <w:p w14:paraId="2CAEFAEA" w14:textId="10BC7530" w:rsidR="008E13F6" w:rsidRPr="008E13F6" w:rsidRDefault="008E13F6" w:rsidP="008E13F6">
      <w:r w:rsidRPr="001F7ED5">
        <w:rPr>
          <w:rFonts w:cs="Arial"/>
        </w:rPr>
        <w:t>The 2017 Equifax breach was not unprecedented or unforeseeable. It was the predictable result of documented governance failures: no clear accountability, unpatched known vulnerabilities, disabled monitoring, and unencrypted sensitive data. The programme in this report addresses every one of these root causes with a structured, evidence-based architecture. Clear executive accountability comes from the CISO governance hierarchy with board visibility [6]. Enforceable policies with measurable KPIs remove the procedural ambiguity that let the patch SLA go unmet [9]. Aligning strategy to NIST CSF 2.0 means security investment directly serves business continuity and regulatory compliance [6]. The risk register prioritises remediation spend on the highest-impact vulnerabilities</w:t>
      </w:r>
      <w:r w:rsidR="00125AFB" w:rsidRPr="001F7ED5">
        <w:rPr>
          <w:rFonts w:cs="Arial"/>
        </w:rPr>
        <w:t xml:space="preserve"> [8]</w:t>
      </w:r>
      <w:r w:rsidRPr="001F7ED5">
        <w:rPr>
          <w:rFonts w:cs="Arial"/>
        </w:rPr>
        <w:t>. The layered technical controls, automated</w:t>
      </w:r>
      <w:r w:rsidRPr="008E13F6">
        <w:t xml:space="preserve"> </w:t>
      </w:r>
      <w:r w:rsidRPr="008E13F6">
        <w:lastRenderedPageBreak/>
        <w:t>scanning, EDR, micro-segmentation, encryption, and SOAR, put the Zero Trust principles from Task 1 into practice: the environment anticipates threats, detects intrusions within an hour, contains lateral movement automatically, and makes exfiltrated data worthless through encryption.</w:t>
      </w:r>
    </w:p>
    <w:p w14:paraId="4FDCBE7F" w14:textId="77777777" w:rsidR="008E13F6" w:rsidRPr="008E13F6" w:rsidRDefault="008E13F6" w:rsidP="008E13F6"/>
    <w:p w14:paraId="6935790C" w14:textId="6284DFA8" w:rsidR="005A233C" w:rsidRPr="008E13F6" w:rsidRDefault="005A233C" w:rsidP="001E4DAB"/>
    <w:p w14:paraId="7C835558" w14:textId="66A3CE13" w:rsidR="005A233C" w:rsidRPr="00E14050" w:rsidRDefault="00000000" w:rsidP="00E14050">
      <w:pPr>
        <w:pStyle w:val="Heading2"/>
      </w:pPr>
      <w:bookmarkStart w:id="17" w:name="_Toc236328109"/>
      <w:r w:rsidRPr="00E14050">
        <w:t>References</w:t>
      </w:r>
      <w:bookmarkEnd w:id="17"/>
    </w:p>
    <w:p w14:paraId="3CD36952" w14:textId="77777777" w:rsidR="005A233C" w:rsidRPr="008E13F6" w:rsidRDefault="00000000">
      <w:pPr>
        <w:spacing w:after="80"/>
        <w:ind w:left="720" w:hanging="720"/>
      </w:pPr>
      <w:r w:rsidRPr="008E13F6">
        <w:t>[1]</w:t>
      </w:r>
      <w:r w:rsidRPr="008E13F6">
        <w:tab/>
        <w:t>U.S. House Committee on Oversight and Government Reform, "The Equifax Data Breach: Majority Staff Report," U.S. House of Representatives, Washington, DC, USA, Dec. 2018.</w:t>
      </w:r>
    </w:p>
    <w:p w14:paraId="3D3F34A5" w14:textId="77777777" w:rsidR="005A233C" w:rsidRPr="008E13F6" w:rsidRDefault="00000000">
      <w:pPr>
        <w:spacing w:after="80"/>
        <w:ind w:left="720" w:hanging="720"/>
      </w:pPr>
      <w:r w:rsidRPr="008E13F6">
        <w:t>[2]</w:t>
      </w:r>
      <w:r w:rsidRPr="008E13F6">
        <w:tab/>
        <w:t xml:space="preserve">J. </w:t>
      </w:r>
      <w:proofErr w:type="spellStart"/>
      <w:r w:rsidRPr="008E13F6">
        <w:t>Kindervag</w:t>
      </w:r>
      <w:proofErr w:type="spellEnd"/>
      <w:r w:rsidRPr="008E13F6">
        <w:t xml:space="preserve">, "No More Chewy </w:t>
      </w:r>
      <w:proofErr w:type="spellStart"/>
      <w:r w:rsidRPr="008E13F6">
        <w:t>Centers</w:t>
      </w:r>
      <w:proofErr w:type="spellEnd"/>
      <w:r w:rsidRPr="008E13F6">
        <w:t>: Introducing the Zero Trust Model of Information Security," Forrester Research Inc., Cambridge, MA, USA, Tech. Rep., Nov. 2010.</w:t>
      </w:r>
    </w:p>
    <w:p w14:paraId="556E1A76" w14:textId="77777777" w:rsidR="005A233C" w:rsidRPr="008E13F6" w:rsidRDefault="00000000">
      <w:pPr>
        <w:spacing w:after="80"/>
        <w:ind w:left="720" w:hanging="720"/>
      </w:pPr>
      <w:r w:rsidRPr="008E13F6">
        <w:t>[3]</w:t>
      </w:r>
      <w:r w:rsidRPr="008E13F6">
        <w:tab/>
        <w:t xml:space="preserve">S. Rose, O. Borchert, S. Mitchell, and S. Connelly, "Zero Trust Architecture," NIST Spec. Publ. 800-207, National Institute of Standards and Technology, Gaithersburg, MD, USA, Aug. 2020. </w:t>
      </w:r>
      <w:proofErr w:type="spellStart"/>
      <w:r w:rsidRPr="008E13F6">
        <w:t>doi</w:t>
      </w:r>
      <w:proofErr w:type="spellEnd"/>
      <w:r w:rsidRPr="008E13F6">
        <w:t>: 10.6028/NIST.SP.800-207</w:t>
      </w:r>
    </w:p>
    <w:p w14:paraId="3E0F5D0B" w14:textId="77777777" w:rsidR="005A233C" w:rsidRPr="008E13F6" w:rsidRDefault="00000000">
      <w:pPr>
        <w:spacing w:after="80"/>
        <w:ind w:left="720" w:hanging="720"/>
      </w:pPr>
      <w:r w:rsidRPr="008E13F6">
        <w:t>[4]</w:t>
      </w:r>
      <w:r w:rsidRPr="008E13F6">
        <w:tab/>
        <w:t>E. Gilman and D. Barth, Zero Trust Networks: Building Secure Systems in Untrusted Networks. Sebastopol, CA, USA: O'Reilly Media, 2017.</w:t>
      </w:r>
    </w:p>
    <w:p w14:paraId="41DFAEBC" w14:textId="77777777" w:rsidR="005A233C" w:rsidRPr="008E13F6" w:rsidRDefault="00000000">
      <w:pPr>
        <w:spacing w:after="80"/>
        <w:ind w:left="720" w:hanging="720"/>
      </w:pPr>
      <w:r w:rsidRPr="008E13F6">
        <w:t>[5]</w:t>
      </w:r>
      <w:r w:rsidRPr="008E13F6">
        <w:tab/>
        <w:t>IBM Security, "Cost of a Data Breach Report 2023," IBM Corporation, Armonk, NY, USA, 2023. [Online]. Available: https://www.ibm.com/reports/data-breach</w:t>
      </w:r>
    </w:p>
    <w:p w14:paraId="7BFA06B1" w14:textId="77777777" w:rsidR="005A233C" w:rsidRPr="008E13F6" w:rsidRDefault="00000000">
      <w:pPr>
        <w:spacing w:after="80"/>
        <w:ind w:left="720" w:hanging="720"/>
      </w:pPr>
      <w:r w:rsidRPr="008E13F6">
        <w:t>[6]</w:t>
      </w:r>
      <w:r w:rsidRPr="008E13F6">
        <w:tab/>
        <w:t xml:space="preserve">National Institute of Standards and Technology, "The NIST Cybersecurity Framework (CSF) 2.0," NIST CSWP 29, NIST, Gaithersburg, MD, USA, Feb. 2024. </w:t>
      </w:r>
      <w:proofErr w:type="spellStart"/>
      <w:r w:rsidRPr="008E13F6">
        <w:t>doi</w:t>
      </w:r>
      <w:proofErr w:type="spellEnd"/>
      <w:r w:rsidRPr="008E13F6">
        <w:t>: 10.6028/NIST.CSWP.29</w:t>
      </w:r>
    </w:p>
    <w:p w14:paraId="157C3E4A" w14:textId="77777777" w:rsidR="005A233C" w:rsidRPr="008E13F6" w:rsidRDefault="00000000">
      <w:pPr>
        <w:spacing w:after="80"/>
        <w:ind w:left="720" w:hanging="720"/>
      </w:pPr>
      <w:r w:rsidRPr="008E13F6">
        <w:t>[7]</w:t>
      </w:r>
      <w:r w:rsidRPr="008E13F6">
        <w:tab/>
        <w:t>European Parliament and Council of the European Union, "Regulation (EU) 2016/679 on the Protection of Natural Persons with Regard to the Processing of Personal Data (General Data Protection Regulation)," Off. J. Eur. Union, vol. L 119, pp. 1–88, May 2016.</w:t>
      </w:r>
    </w:p>
    <w:p w14:paraId="7BE832C2" w14:textId="77777777" w:rsidR="005A233C" w:rsidRPr="008E13F6" w:rsidRDefault="00000000">
      <w:pPr>
        <w:spacing w:after="80"/>
        <w:ind w:left="720" w:hanging="720"/>
      </w:pPr>
      <w:r w:rsidRPr="008E13F6">
        <w:lastRenderedPageBreak/>
        <w:t>[8]</w:t>
      </w:r>
      <w:r w:rsidRPr="008E13F6">
        <w:tab/>
        <w:t>European Parliament and Council of the European Union, "Regulation (EU) 2022/2554 on Digital Operational Resilience for the Financial Sector (DORA)," Off. J. Eur. Union, vol. L 333, pp. 1–79, Dec. 2022.</w:t>
      </w:r>
    </w:p>
    <w:p w14:paraId="59325B5F" w14:textId="2D98511B" w:rsidR="005A233C" w:rsidRPr="008E13F6" w:rsidRDefault="00000000">
      <w:pPr>
        <w:spacing w:after="80"/>
        <w:ind w:left="720" w:hanging="720"/>
      </w:pPr>
      <w:r w:rsidRPr="008E13F6">
        <w:t>[9]</w:t>
      </w:r>
      <w:r w:rsidRPr="008E13F6">
        <w:tab/>
        <w:t>International Organization for Standardization, "Information Security, Cybersecurity and Privacy Protection Information Security Management Systems Requirements," ISO/IEC 27001:2022, ISO, Geneva, Switzerland, Oct. 2022.</w:t>
      </w:r>
    </w:p>
    <w:p w14:paraId="15F04839" w14:textId="77777777" w:rsidR="005A233C" w:rsidRPr="008E13F6" w:rsidRDefault="00000000">
      <w:pPr>
        <w:spacing w:after="80"/>
        <w:ind w:left="720" w:hanging="720"/>
      </w:pPr>
      <w:r w:rsidRPr="008E13F6">
        <w:t>[10]</w:t>
      </w:r>
      <w:r w:rsidRPr="008E13F6">
        <w:tab/>
        <w:t>European Parliament and Council of the European Union, "Directive (EU) 2022/2555 on Measures for a High Common Level of Cybersecurity Across the Union (NIS2 Directive)," Off. J. Eur. Union, vol. L 333, pp. 80–152, Dec. 2022.</w:t>
      </w:r>
    </w:p>
    <w:p w14:paraId="5A6E6C01" w14:textId="77777777" w:rsidR="005A233C" w:rsidRPr="008E13F6" w:rsidRDefault="00000000">
      <w:pPr>
        <w:spacing w:after="80"/>
        <w:ind w:left="720" w:hanging="720"/>
      </w:pPr>
      <w:r w:rsidRPr="008E13F6">
        <w:t>[11]</w:t>
      </w:r>
      <w:r w:rsidRPr="008E13F6">
        <w:tab/>
        <w:t xml:space="preserve">P. Cichonski, T. Millar, T. Grance, and K. Scarfone, "Computer Security Incident Handling Guide," NIST Spec. Publ. 800-61r2, National Institute of Standards and Technology, Gaithersburg, MD, USA, Aug. 2012. </w:t>
      </w:r>
      <w:proofErr w:type="spellStart"/>
      <w:r w:rsidRPr="008E13F6">
        <w:t>doi</w:t>
      </w:r>
      <w:proofErr w:type="spellEnd"/>
      <w:r w:rsidRPr="008E13F6">
        <w:t>: 10.6028/NIST.SP.800-61r2</w:t>
      </w:r>
    </w:p>
    <w:p w14:paraId="6E713A85" w14:textId="77777777" w:rsidR="005A233C" w:rsidRDefault="00000000">
      <w:pPr>
        <w:spacing w:after="80"/>
        <w:ind w:left="720" w:hanging="720"/>
      </w:pPr>
      <w:r w:rsidRPr="008E13F6">
        <w:t>[12]</w:t>
      </w:r>
      <w:r w:rsidRPr="008E13F6">
        <w:tab/>
        <w:t xml:space="preserve">K. Scarfone and P. Mell, "Guide to Intrusion Detection and Prevention Systems (IDPS)," NIST Spec. Publ. 800-94, National Institute of Standards and Technology, Gaithersburg, MD, USA, Feb. 2007. </w:t>
      </w:r>
      <w:proofErr w:type="spellStart"/>
      <w:r w:rsidRPr="008E13F6">
        <w:t>doi</w:t>
      </w:r>
      <w:proofErr w:type="spellEnd"/>
      <w:r w:rsidRPr="008E13F6">
        <w:t>: 10.6028/NIST.SP.800-94</w:t>
      </w:r>
    </w:p>
    <w:sectPr w:rsidR="005A233C" w:rsidSect="00034616">
      <w:pgSz w:w="12240" w:h="15840"/>
      <w:pgMar w:top="1417" w:right="1417" w:bottom="1417" w:left="170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D9EF05" w14:textId="77777777" w:rsidR="0044634D" w:rsidRDefault="0044634D" w:rsidP="001858CF">
      <w:pPr>
        <w:spacing w:after="0" w:line="240" w:lineRule="auto"/>
      </w:pPr>
      <w:r>
        <w:separator/>
      </w:r>
    </w:p>
  </w:endnote>
  <w:endnote w:type="continuationSeparator" w:id="0">
    <w:p w14:paraId="05A0E095" w14:textId="77777777" w:rsidR="0044634D" w:rsidRDefault="0044634D" w:rsidP="00185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87A390" w14:textId="77777777" w:rsidR="0044634D" w:rsidRDefault="0044634D" w:rsidP="001858CF">
      <w:pPr>
        <w:spacing w:after="0" w:line="240" w:lineRule="auto"/>
      </w:pPr>
      <w:r>
        <w:separator/>
      </w:r>
    </w:p>
  </w:footnote>
  <w:footnote w:type="continuationSeparator" w:id="0">
    <w:p w14:paraId="579BC55F" w14:textId="77777777" w:rsidR="0044634D" w:rsidRDefault="0044634D" w:rsidP="001858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06176710">
    <w:abstractNumId w:val="8"/>
  </w:num>
  <w:num w:numId="2" w16cid:durableId="570240248">
    <w:abstractNumId w:val="6"/>
  </w:num>
  <w:num w:numId="3" w16cid:durableId="1677461721">
    <w:abstractNumId w:val="5"/>
  </w:num>
  <w:num w:numId="4" w16cid:durableId="131292017">
    <w:abstractNumId w:val="4"/>
  </w:num>
  <w:num w:numId="5" w16cid:durableId="852576926">
    <w:abstractNumId w:val="7"/>
  </w:num>
  <w:num w:numId="6" w16cid:durableId="92673519">
    <w:abstractNumId w:val="3"/>
  </w:num>
  <w:num w:numId="7" w16cid:durableId="282153536">
    <w:abstractNumId w:val="2"/>
  </w:num>
  <w:num w:numId="8" w16cid:durableId="841429948">
    <w:abstractNumId w:val="1"/>
  </w:num>
  <w:num w:numId="9" w16cid:durableId="1222981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3352"/>
    <w:rsid w:val="0006063C"/>
    <w:rsid w:val="00066D76"/>
    <w:rsid w:val="000D536A"/>
    <w:rsid w:val="000E01AD"/>
    <w:rsid w:val="000F12F1"/>
    <w:rsid w:val="00103600"/>
    <w:rsid w:val="00125AFB"/>
    <w:rsid w:val="001405DD"/>
    <w:rsid w:val="0015074B"/>
    <w:rsid w:val="001858CF"/>
    <w:rsid w:val="001B00CA"/>
    <w:rsid w:val="001B3C9A"/>
    <w:rsid w:val="001E4DAB"/>
    <w:rsid w:val="001F7ED5"/>
    <w:rsid w:val="00261B48"/>
    <w:rsid w:val="0029639D"/>
    <w:rsid w:val="002C28BF"/>
    <w:rsid w:val="0031278E"/>
    <w:rsid w:val="00321A69"/>
    <w:rsid w:val="00326F90"/>
    <w:rsid w:val="003515C5"/>
    <w:rsid w:val="003543C9"/>
    <w:rsid w:val="0036729B"/>
    <w:rsid w:val="003975E0"/>
    <w:rsid w:val="003A1193"/>
    <w:rsid w:val="003C3AB0"/>
    <w:rsid w:val="00427500"/>
    <w:rsid w:val="0044634D"/>
    <w:rsid w:val="0045293C"/>
    <w:rsid w:val="004530C4"/>
    <w:rsid w:val="00492EDD"/>
    <w:rsid w:val="004A4604"/>
    <w:rsid w:val="004A685C"/>
    <w:rsid w:val="004C6A8A"/>
    <w:rsid w:val="004F2D6E"/>
    <w:rsid w:val="00525923"/>
    <w:rsid w:val="00525C14"/>
    <w:rsid w:val="0054556D"/>
    <w:rsid w:val="00553595"/>
    <w:rsid w:val="00583536"/>
    <w:rsid w:val="00595EDD"/>
    <w:rsid w:val="005A233C"/>
    <w:rsid w:val="00630A45"/>
    <w:rsid w:val="006500DB"/>
    <w:rsid w:val="00670F0C"/>
    <w:rsid w:val="006A6A37"/>
    <w:rsid w:val="00700C0D"/>
    <w:rsid w:val="007023A4"/>
    <w:rsid w:val="00706983"/>
    <w:rsid w:val="007072C0"/>
    <w:rsid w:val="007D4BA9"/>
    <w:rsid w:val="007E1B7C"/>
    <w:rsid w:val="00823539"/>
    <w:rsid w:val="00863D86"/>
    <w:rsid w:val="008C2466"/>
    <w:rsid w:val="008C51E4"/>
    <w:rsid w:val="008D23E7"/>
    <w:rsid w:val="008E13F6"/>
    <w:rsid w:val="00940AD1"/>
    <w:rsid w:val="009838D0"/>
    <w:rsid w:val="00996A7E"/>
    <w:rsid w:val="009B74E9"/>
    <w:rsid w:val="00A1261B"/>
    <w:rsid w:val="00A33817"/>
    <w:rsid w:val="00AA1D8D"/>
    <w:rsid w:val="00B24BBB"/>
    <w:rsid w:val="00B47730"/>
    <w:rsid w:val="00BB536D"/>
    <w:rsid w:val="00BC69F0"/>
    <w:rsid w:val="00BE23A2"/>
    <w:rsid w:val="00C06F1B"/>
    <w:rsid w:val="00C97132"/>
    <w:rsid w:val="00CB0664"/>
    <w:rsid w:val="00D24A6E"/>
    <w:rsid w:val="00D308C7"/>
    <w:rsid w:val="00D631B7"/>
    <w:rsid w:val="00DB6BB6"/>
    <w:rsid w:val="00E14050"/>
    <w:rsid w:val="00E340AF"/>
    <w:rsid w:val="00E53EB2"/>
    <w:rsid w:val="00E643AC"/>
    <w:rsid w:val="00EE3C9A"/>
    <w:rsid w:val="00F06A90"/>
    <w:rsid w:val="00F41505"/>
    <w:rsid w:val="00F86AF9"/>
    <w:rsid w:val="00F940F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12499F8"/>
  <w14:defaultImageDpi w14:val="300"/>
  <w15:docId w15:val="{1D620024-89C1-4C0B-9A09-5D181025F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D76"/>
    <w:pPr>
      <w:spacing w:after="120"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BB536D"/>
    <w:pPr>
      <w:keepNext/>
      <w:keepLines/>
      <w:spacing w:before="280"/>
      <w:outlineLvl w:val="0"/>
    </w:pPr>
    <w:rPr>
      <w:rFonts w:eastAsiaTheme="majorEastAsia" w:cstheme="majorBidi"/>
      <w:b/>
      <w:bCs/>
      <w:color w:val="1F497D"/>
      <w:sz w:val="32"/>
      <w:szCs w:val="28"/>
    </w:rPr>
  </w:style>
  <w:style w:type="paragraph" w:styleId="Heading2">
    <w:name w:val="heading 2"/>
    <w:basedOn w:val="Normal"/>
    <w:next w:val="Normal"/>
    <w:link w:val="Heading2Char"/>
    <w:autoRedefine/>
    <w:uiPriority w:val="9"/>
    <w:unhideWhenUsed/>
    <w:qFormat/>
    <w:rsid w:val="00E14050"/>
    <w:pPr>
      <w:keepNext/>
      <w:keepLines/>
      <w:spacing w:before="200" w:after="80"/>
      <w:outlineLvl w:val="1"/>
    </w:pPr>
    <w:rPr>
      <w:rFonts w:eastAsiaTheme="majorEastAsia" w:cs="Arial"/>
      <w:b/>
      <w:bCs/>
      <w:color w:val="1F497D"/>
      <w:szCs w:val="24"/>
    </w:rPr>
  </w:style>
  <w:style w:type="paragraph" w:styleId="Heading3">
    <w:name w:val="heading 3"/>
    <w:basedOn w:val="Normal"/>
    <w:next w:val="Normal"/>
    <w:link w:val="Heading3Char"/>
    <w:autoRedefine/>
    <w:uiPriority w:val="9"/>
    <w:unhideWhenUsed/>
    <w:qFormat/>
    <w:rsid w:val="00BB536D"/>
    <w:pPr>
      <w:keepNext/>
      <w:keepLines/>
      <w:spacing w:before="160" w:after="60"/>
      <w:outlineLvl w:val="2"/>
    </w:pPr>
    <w:rPr>
      <w:rFonts w:eastAsiaTheme="majorEastAsia" w:cstheme="majorBidi"/>
      <w:b/>
      <w:bCs/>
      <w:color w:val="4472C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BB536D"/>
    <w:rPr>
      <w:rFonts w:ascii="Arial" w:eastAsiaTheme="majorEastAsia" w:hAnsi="Arial" w:cstheme="majorBidi"/>
      <w:b/>
      <w:bCs/>
      <w:color w:val="1F497D"/>
      <w:sz w:val="32"/>
      <w:szCs w:val="28"/>
      <w:lang w:val="en-GB"/>
    </w:rPr>
  </w:style>
  <w:style w:type="character" w:customStyle="1" w:styleId="Heading2Char">
    <w:name w:val="Heading 2 Char"/>
    <w:basedOn w:val="DefaultParagraphFont"/>
    <w:link w:val="Heading2"/>
    <w:uiPriority w:val="9"/>
    <w:rsid w:val="00E14050"/>
    <w:rPr>
      <w:rFonts w:ascii="Arial" w:eastAsiaTheme="majorEastAsia" w:hAnsi="Arial" w:cs="Arial"/>
      <w:b/>
      <w:bCs/>
      <w:color w:val="1F497D"/>
      <w:sz w:val="24"/>
      <w:szCs w:val="24"/>
      <w:lang w:val="en-GB"/>
    </w:rPr>
  </w:style>
  <w:style w:type="character" w:customStyle="1" w:styleId="Heading3Char">
    <w:name w:val="Heading 3 Char"/>
    <w:basedOn w:val="DefaultParagraphFont"/>
    <w:link w:val="Heading3"/>
    <w:uiPriority w:val="9"/>
    <w:rsid w:val="00BB536D"/>
    <w:rPr>
      <w:rFonts w:ascii="Arial" w:eastAsiaTheme="majorEastAsia" w:hAnsi="Arial" w:cstheme="majorBidi"/>
      <w:b/>
      <w:bCs/>
      <w:color w:val="4472C4"/>
      <w:sz w:val="24"/>
      <w:lang w:val="en-GB"/>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8E13F6"/>
  </w:style>
  <w:style w:type="paragraph" w:styleId="TOC1">
    <w:name w:val="toc 1"/>
    <w:basedOn w:val="Normal"/>
    <w:next w:val="Normal"/>
    <w:autoRedefine/>
    <w:uiPriority w:val="39"/>
    <w:unhideWhenUsed/>
    <w:rsid w:val="008E13F6"/>
    <w:pPr>
      <w:spacing w:after="100"/>
    </w:pPr>
  </w:style>
  <w:style w:type="paragraph" w:styleId="TOC2">
    <w:name w:val="toc 2"/>
    <w:basedOn w:val="Normal"/>
    <w:next w:val="Normal"/>
    <w:autoRedefine/>
    <w:uiPriority w:val="39"/>
    <w:unhideWhenUsed/>
    <w:rsid w:val="008E13F6"/>
    <w:pPr>
      <w:spacing w:after="100"/>
      <w:ind w:left="220"/>
    </w:pPr>
  </w:style>
  <w:style w:type="paragraph" w:styleId="TOC3">
    <w:name w:val="toc 3"/>
    <w:basedOn w:val="Normal"/>
    <w:next w:val="Normal"/>
    <w:autoRedefine/>
    <w:uiPriority w:val="39"/>
    <w:unhideWhenUsed/>
    <w:rsid w:val="008E13F6"/>
    <w:pPr>
      <w:spacing w:after="100"/>
      <w:ind w:left="440"/>
    </w:pPr>
  </w:style>
  <w:style w:type="character" w:styleId="Hyperlink">
    <w:name w:val="Hyperlink"/>
    <w:basedOn w:val="DefaultParagraphFont"/>
    <w:uiPriority w:val="99"/>
    <w:unhideWhenUsed/>
    <w:rsid w:val="008E13F6"/>
    <w:rPr>
      <w:color w:val="0000FF" w:themeColor="hyperlink"/>
      <w:u w:val="single"/>
    </w:rPr>
  </w:style>
  <w:style w:type="character" w:styleId="UnresolvedMention">
    <w:name w:val="Unresolved Mention"/>
    <w:basedOn w:val="DefaultParagraphFont"/>
    <w:uiPriority w:val="99"/>
    <w:semiHidden/>
    <w:unhideWhenUsed/>
    <w:rsid w:val="008E13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80B95C1-A547-46EB-B6C8-F5A0C0A44ED7}">
  <we:reference id="8c1c3d44-57e9-40d7-86e4-4adf88fea1dd" version="3.0.0.0" store="EXCatalog" storeType="EXCatalog"/>
  <we:alternateReferences>
    <we:reference id="WA200007520" version="3.0.0.0" store="en-US" storeType="OMEX"/>
  </we:alternateReferences>
  <we:properties>
    <we:property name="currentStyle" value="{&quot;id&quot;:&quot;rwoutputstyle:69bb04bb8249c90031920d8c&quot;,&quot;styleType&quot;:&quot;global&quot;,&quot;name&quot;:&quot;APA 7th (basic) - No Case Changes (No Title Casing), DOI: empty&quot;,&quot;userId&quot;:&quot;user:5c65ce0be4b09a36bed143f1&quot;,&quot;isInstitutional&quot;:false,&quot;citeStyle&quot;:&quot;INTEXT_ONLY&quot;,&quot;isSorted&quot;:false,&quot;usesNumbers&quot;:false,&quot;lrwStyleId&quot;:4376,&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5470</Words>
  <Characters>31180</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36577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Murat Yalcin (2428668)</cp:lastModifiedBy>
  <cp:revision>21</cp:revision>
  <dcterms:created xsi:type="dcterms:W3CDTF">2026-08-11T07:41:00Z</dcterms:created>
  <dcterms:modified xsi:type="dcterms:W3CDTF">2026-08-12T12:07:00Z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6c2a3f0e-ba28-4b63-86f2-ed6dca6a4c6b</vt:lpwstr>
  </property>
</Properties>
</file>