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E12EA" w14:textId="66604246" w:rsidR="00F440FB" w:rsidRPr="0087297A" w:rsidRDefault="00B66DFD">
      <w:pPr>
        <w:rPr>
          <w:rFonts w:ascii="Arial" w:hAnsi="Arial" w:cs="Arial"/>
          <w:b/>
          <w:bCs/>
          <w:sz w:val="32"/>
          <w:szCs w:val="32"/>
        </w:rPr>
      </w:pPr>
      <w:r w:rsidRPr="0087297A">
        <w:rPr>
          <w:rFonts w:ascii="Arial" w:hAnsi="Arial" w:cs="Arial"/>
          <w:b/>
          <w:bCs/>
          <w:sz w:val="32"/>
          <w:szCs w:val="32"/>
        </w:rPr>
        <w:t>Topic</w:t>
      </w:r>
      <w:r w:rsidRPr="0087297A">
        <w:rPr>
          <w:rFonts w:ascii="Arial" w:hAnsi="Arial" w:cs="Arial" w:hint="eastAsia"/>
          <w:b/>
          <w:bCs/>
          <w:sz w:val="32"/>
          <w:szCs w:val="32"/>
        </w:rPr>
        <w:t>:</w:t>
      </w:r>
    </w:p>
    <w:p w14:paraId="1A287179" w14:textId="667651DC" w:rsidR="00B66DFD" w:rsidRPr="0087297A" w:rsidRDefault="00B66DFD" w:rsidP="00B66DFD">
      <w:pPr>
        <w:rPr>
          <w:rFonts w:ascii="Arial" w:hAnsi="Arial" w:cs="Arial"/>
          <w:szCs w:val="22"/>
        </w:rPr>
      </w:pPr>
      <w:r w:rsidRPr="0087297A">
        <w:rPr>
          <w:rFonts w:ascii="Arial" w:hAnsi="Arial" w:cs="Arial"/>
          <w:szCs w:val="22"/>
        </w:rPr>
        <w:t>Artificial Intelligence Adoption and Employee Resistance in Organizations: A Critical</w:t>
      </w:r>
      <w:r w:rsidR="004158CD">
        <w:rPr>
          <w:rFonts w:ascii="Arial" w:hAnsi="Arial" w:cs="Arial" w:hint="eastAsia"/>
          <w:szCs w:val="22"/>
        </w:rPr>
        <w:t xml:space="preserve"> </w:t>
      </w:r>
      <w:r w:rsidRPr="0087297A">
        <w:rPr>
          <w:rFonts w:ascii="Arial" w:hAnsi="Arial" w:cs="Arial"/>
          <w:szCs w:val="22"/>
        </w:rPr>
        <w:t>Literature Review of Drivers, Barriers, and Change Management Strategies</w:t>
      </w:r>
    </w:p>
    <w:p w14:paraId="1AF6D4E3" w14:textId="77777777" w:rsidR="00B66DFD" w:rsidRDefault="00B66DFD" w:rsidP="00B66DFD">
      <w:pPr>
        <w:rPr>
          <w:rFonts w:ascii="Arial" w:hAnsi="Arial" w:cs="Arial"/>
        </w:rPr>
      </w:pPr>
    </w:p>
    <w:p w14:paraId="7C9B3E9B" w14:textId="3D98AD3D" w:rsidR="00B66DFD" w:rsidRPr="0087297A" w:rsidRDefault="00B66DFD" w:rsidP="00B66DFD">
      <w:pPr>
        <w:rPr>
          <w:rFonts w:ascii="Arial" w:hAnsi="Arial" w:cs="Arial"/>
          <w:b/>
          <w:bCs/>
          <w:sz w:val="32"/>
          <w:szCs w:val="32"/>
        </w:rPr>
      </w:pPr>
      <w:r w:rsidRPr="0087297A">
        <w:rPr>
          <w:rFonts w:ascii="Arial" w:hAnsi="Arial" w:cs="Arial" w:hint="eastAsia"/>
          <w:b/>
          <w:bCs/>
          <w:sz w:val="32"/>
          <w:szCs w:val="32"/>
        </w:rPr>
        <w:t>Objectives:</w:t>
      </w:r>
    </w:p>
    <w:p w14:paraId="39ABC347" w14:textId="73B06539" w:rsidR="00B66DFD" w:rsidRPr="0087297A" w:rsidRDefault="00B66DFD" w:rsidP="00B66DFD">
      <w:pPr>
        <w:rPr>
          <w:rFonts w:ascii="Arial" w:hAnsi="Arial" w:cs="Arial" w:hint="eastAsia"/>
          <w:szCs w:val="22"/>
        </w:rPr>
      </w:pPr>
      <w:r w:rsidRPr="0087297A">
        <w:rPr>
          <w:rFonts w:ascii="Arial" w:hAnsi="Arial" w:cs="Arial"/>
          <w:szCs w:val="22"/>
        </w:rPr>
        <w:t>Objective 1: To examine how AI adoption has been conceptualized in</w:t>
      </w:r>
      <w:r w:rsidRPr="0087297A">
        <w:rPr>
          <w:rFonts w:ascii="Arial" w:hAnsi="Arial" w:cs="Arial" w:hint="eastAsia"/>
          <w:szCs w:val="22"/>
        </w:rPr>
        <w:t xml:space="preserve"> </w:t>
      </w:r>
      <w:r w:rsidRPr="0087297A">
        <w:rPr>
          <w:rFonts w:ascii="Arial" w:hAnsi="Arial" w:cs="Arial"/>
          <w:szCs w:val="22"/>
        </w:rPr>
        <w:t>organizational management literature.</w:t>
      </w:r>
    </w:p>
    <w:p w14:paraId="757162FF" w14:textId="51283FCE" w:rsidR="00B66DFD" w:rsidRPr="004158CD" w:rsidRDefault="00B66DFD" w:rsidP="00B66DFD">
      <w:pPr>
        <w:rPr>
          <w:rFonts w:ascii="Arial" w:hAnsi="Arial" w:cs="Arial" w:hint="eastAsia"/>
          <w:szCs w:val="22"/>
        </w:rPr>
      </w:pPr>
      <w:r w:rsidRPr="0087297A">
        <w:rPr>
          <w:rFonts w:ascii="Arial" w:hAnsi="Arial" w:cs="Arial"/>
          <w:szCs w:val="22"/>
        </w:rPr>
        <w:t>Objective 2</w:t>
      </w:r>
      <w:r w:rsidRPr="0087297A">
        <w:rPr>
          <w:rFonts w:ascii="Arial" w:hAnsi="Arial" w:cs="Arial" w:hint="eastAsia"/>
          <w:szCs w:val="22"/>
        </w:rPr>
        <w:t xml:space="preserve">: </w:t>
      </w:r>
      <w:r w:rsidRPr="0087297A">
        <w:rPr>
          <w:rFonts w:ascii="Arial" w:hAnsi="Arial" w:cs="Arial"/>
          <w:szCs w:val="22"/>
        </w:rPr>
        <w:t>To identify major drivers and barriers influencing employee responses to AI adoption.</w:t>
      </w:r>
    </w:p>
    <w:p w14:paraId="7191932E" w14:textId="1024A4AB" w:rsidR="00B66DFD" w:rsidRPr="004158CD" w:rsidRDefault="00B66DFD" w:rsidP="00B66DFD">
      <w:pPr>
        <w:rPr>
          <w:rFonts w:ascii="Arial" w:hAnsi="Arial" w:cs="Arial" w:hint="eastAsia"/>
          <w:szCs w:val="22"/>
        </w:rPr>
      </w:pPr>
      <w:r w:rsidRPr="0087297A">
        <w:rPr>
          <w:rFonts w:ascii="Arial" w:hAnsi="Arial" w:cs="Arial"/>
          <w:szCs w:val="22"/>
        </w:rPr>
        <w:t>Objective 3</w:t>
      </w:r>
      <w:r w:rsidRPr="0087297A">
        <w:rPr>
          <w:rFonts w:ascii="Arial" w:hAnsi="Arial" w:cs="Arial" w:hint="eastAsia"/>
          <w:szCs w:val="22"/>
        </w:rPr>
        <w:t xml:space="preserve">: </w:t>
      </w:r>
      <w:r w:rsidRPr="0087297A">
        <w:rPr>
          <w:rFonts w:ascii="Arial" w:hAnsi="Arial" w:cs="Arial"/>
          <w:szCs w:val="22"/>
        </w:rPr>
        <w:t>To critically evaluate how existing studies explain</w:t>
      </w:r>
      <w:r w:rsidRPr="0087297A">
        <w:rPr>
          <w:rFonts w:ascii="Arial" w:hAnsi="Arial" w:cs="Arial" w:hint="eastAsia"/>
          <w:szCs w:val="22"/>
        </w:rPr>
        <w:t xml:space="preserve"> </w:t>
      </w:r>
      <w:r w:rsidRPr="0087297A">
        <w:rPr>
          <w:rFonts w:ascii="Arial" w:hAnsi="Arial" w:cs="Arial"/>
          <w:szCs w:val="22"/>
        </w:rPr>
        <w:t>employee resistance to AI-driven organizational change.</w:t>
      </w:r>
    </w:p>
    <w:p w14:paraId="348E5EEE" w14:textId="4A52EB42" w:rsidR="00B66DFD" w:rsidRPr="0087297A" w:rsidRDefault="00B66DFD" w:rsidP="00B66DFD">
      <w:pPr>
        <w:rPr>
          <w:rFonts w:ascii="Arial" w:hAnsi="Arial" w:cs="Arial"/>
          <w:szCs w:val="22"/>
        </w:rPr>
      </w:pPr>
      <w:r w:rsidRPr="0087297A">
        <w:rPr>
          <w:rFonts w:ascii="Arial" w:hAnsi="Arial" w:cs="Arial"/>
          <w:szCs w:val="22"/>
        </w:rPr>
        <w:t>Objective 4: To identify research gaps and propose future research directions for AI adoption and employee resistance in</w:t>
      </w:r>
      <w:r w:rsidR="004158CD">
        <w:rPr>
          <w:rFonts w:ascii="Arial" w:hAnsi="Arial" w:cs="Arial" w:hint="eastAsia"/>
          <w:szCs w:val="22"/>
        </w:rPr>
        <w:t xml:space="preserve"> </w:t>
      </w:r>
      <w:r w:rsidRPr="0087297A">
        <w:rPr>
          <w:rFonts w:ascii="Arial" w:hAnsi="Arial" w:cs="Arial"/>
          <w:szCs w:val="22"/>
        </w:rPr>
        <w:t>organizations.</w:t>
      </w:r>
    </w:p>
    <w:p w14:paraId="158AB571" w14:textId="77777777" w:rsidR="0087297A" w:rsidRPr="004158CD" w:rsidRDefault="0087297A" w:rsidP="00B66DFD">
      <w:pPr>
        <w:rPr>
          <w:rFonts w:ascii="Arial" w:hAnsi="Arial" w:cs="Arial"/>
        </w:rPr>
      </w:pPr>
    </w:p>
    <w:p w14:paraId="1534C103" w14:textId="37E00650" w:rsidR="0087297A" w:rsidRPr="0087297A" w:rsidRDefault="0087297A" w:rsidP="00B66DFD">
      <w:pPr>
        <w:rPr>
          <w:rFonts w:ascii="Arial" w:hAnsi="Arial" w:cs="Arial"/>
          <w:b/>
          <w:bCs/>
          <w:sz w:val="32"/>
          <w:szCs w:val="32"/>
        </w:rPr>
      </w:pPr>
      <w:r w:rsidRPr="0087297A">
        <w:rPr>
          <w:rFonts w:ascii="Arial" w:hAnsi="Arial" w:cs="Arial"/>
          <w:b/>
          <w:bCs/>
          <w:sz w:val="32"/>
          <w:szCs w:val="32"/>
        </w:rPr>
        <w:t>Three Possible Literature Review Approaches</w:t>
      </w:r>
    </w:p>
    <w:p w14:paraId="12A3E933" w14:textId="77777777" w:rsidR="004158CD" w:rsidRDefault="0087297A" w:rsidP="00B66DFD">
      <w:pPr>
        <w:rPr>
          <w:rFonts w:ascii="Arial" w:hAnsi="Arial" w:cs="Arial"/>
        </w:rPr>
      </w:pPr>
      <w:r w:rsidRPr="0087297A">
        <w:rPr>
          <w:rFonts w:ascii="Arial" w:hAnsi="Arial" w:cs="Arial"/>
        </w:rPr>
        <w:t>Based on the lecture content, three possible approaches are considered for this topic: narrative literature review, systematic literature review, and mapping/scoping review.  Each approach has strengths and is suited to different research purposes. The following explains how each method would work specifically for the AI adoption and employee resistance topic.</w:t>
      </w:r>
    </w:p>
    <w:p w14:paraId="03364936" w14:textId="353614AE" w:rsidR="0087297A" w:rsidRPr="004158CD" w:rsidRDefault="0087297A" w:rsidP="00B66DFD">
      <w:pPr>
        <w:rPr>
          <w:rFonts w:ascii="Arial" w:hAnsi="Arial" w:cs="Arial"/>
        </w:rPr>
      </w:pPr>
      <w:r w:rsidRPr="0087297A">
        <w:rPr>
          <w:rFonts w:ascii="Arial" w:hAnsi="Arial" w:cs="Arial"/>
          <w:b/>
          <w:bCs/>
          <w:sz w:val="24"/>
        </w:rPr>
        <w:t>Approach 1: Narrative / Traditional Literature Review</w:t>
      </w:r>
    </w:p>
    <w:p w14:paraId="16A6A404" w14:textId="68E15D58" w:rsidR="0087297A" w:rsidRDefault="0087297A" w:rsidP="00B66DFD">
      <w:pPr>
        <w:rPr>
          <w:rFonts w:ascii="Arial" w:hAnsi="Arial" w:cs="Arial"/>
        </w:rPr>
      </w:pPr>
      <w:r w:rsidRPr="0087297A">
        <w:rPr>
          <w:rFonts w:ascii="Arial" w:hAnsi="Arial" w:cs="Arial"/>
        </w:rPr>
        <w:t>A narrative literature review, as characterized by Grant and Booth (2009), offers a broad scope and non-standardized methodology, providing flexibility in structuring the review around thematic areas. Narrative reviews are not subject to strict protocol and are often driven by the argument thesis or theoretical standpoint of the author. (Grant &amp; Booth, 2009). The review could be organized around themes such as AI adoption models, employee resistance behaviors, trust and perceived threats, job insecurity, leadership communication and changing management strategies for this subject.</w:t>
      </w:r>
    </w:p>
    <w:p w14:paraId="4DA328F0" w14:textId="52EC5AC7" w:rsidR="0087297A" w:rsidRPr="0087297A" w:rsidRDefault="0087297A" w:rsidP="0087297A">
      <w:pPr>
        <w:rPr>
          <w:rFonts w:ascii="Arial" w:hAnsi="Arial" w:cs="Arial"/>
        </w:rPr>
      </w:pPr>
      <w:r w:rsidRPr="0087297A">
        <w:rPr>
          <w:rFonts w:ascii="Arial" w:hAnsi="Arial" w:cs="Arial" w:hint="eastAsia"/>
        </w:rPr>
        <w:t xml:space="preserve">Following the steps outlined by Baumeister and Leary (1997), the student would: (a) identify the research question; (b) conduct the literature search; (c) select relevant </w:t>
      </w:r>
      <w:r w:rsidRPr="0087297A">
        <w:rPr>
          <w:rFonts w:ascii="Arial" w:hAnsi="Arial" w:cs="Arial" w:hint="eastAsia"/>
        </w:rPr>
        <w:lastRenderedPageBreak/>
        <w:t xml:space="preserve">studies; (d) </w:t>
      </w:r>
      <w:r w:rsidRPr="0087297A">
        <w:rPr>
          <w:rFonts w:ascii="Arial" w:hAnsi="Arial" w:cs="Arial"/>
        </w:rPr>
        <w:t>organize</w:t>
      </w:r>
      <w:r w:rsidRPr="0087297A">
        <w:rPr>
          <w:rFonts w:ascii="Arial" w:hAnsi="Arial" w:cs="Arial" w:hint="eastAsia"/>
        </w:rPr>
        <w:t xml:space="preserve"> the literature by themes, methodologies, or theoretical frameworks; (e) </w:t>
      </w:r>
      <w:r w:rsidRPr="0087297A">
        <w:rPr>
          <w:rFonts w:ascii="Arial" w:hAnsi="Arial" w:cs="Arial"/>
        </w:rPr>
        <w:t>synthesize</w:t>
      </w:r>
      <w:r w:rsidRPr="0087297A">
        <w:rPr>
          <w:rFonts w:ascii="Arial" w:hAnsi="Arial" w:cs="Arial" w:hint="eastAsia"/>
        </w:rPr>
        <w:t xml:space="preserve"> the literature; and (f) critically evaluate the strengths and weaknesses of each study. Onwuegbuzie and Frels (2016) further differentiate four common types of narrative reviews, of which a general literature review and a theoretical literature review are most relevant here. A general review would outline the current state of knowledge about AI adoption and employee resistance. A theoretical review would discuss how theories such as the Technology Acceptance Model or change management theories have influenced research in this area.</w:t>
      </w:r>
    </w:p>
    <w:p w14:paraId="1CB5DB65" w14:textId="50637955" w:rsidR="0087297A" w:rsidRDefault="0087297A" w:rsidP="0087297A">
      <w:pPr>
        <w:rPr>
          <w:rFonts w:ascii="Arial" w:hAnsi="Arial" w:cs="Arial"/>
        </w:rPr>
      </w:pPr>
      <w:r w:rsidRPr="0087297A">
        <w:rPr>
          <w:rFonts w:ascii="Arial" w:hAnsi="Arial" w:cs="Arial" w:hint="eastAsia"/>
        </w:rPr>
        <w:t xml:space="preserve">In particular, the student could synthesize findings thematically by categorizing studies into drivers of acceptance (e.g., perceived usefulness, organizational support) and barriers to acceptance (e.g., fear of job loss, lack of transparency, algorithmic aversion). The critical appraisal would include an assessment of the methodological limitations and the discussion of implications for practice and future research. A common organizational structure is </w:t>
      </w:r>
      <w:proofErr w:type="spellStart"/>
      <w:r w:rsidRPr="0087297A">
        <w:rPr>
          <w:rFonts w:ascii="Arial" w:hAnsi="Arial" w:cs="Arial" w:hint="eastAsia"/>
        </w:rPr>
        <w:t>IMRaD</w:t>
      </w:r>
      <w:proofErr w:type="spellEnd"/>
      <w:r w:rsidRPr="0087297A">
        <w:rPr>
          <w:rFonts w:ascii="Arial" w:hAnsi="Arial" w:cs="Arial" w:hint="eastAsia"/>
        </w:rPr>
        <w:t xml:space="preserve"> structure (Introduction, Methods, Results and Discussion) that can be adapted in the narrative review to present search strategy, key findings and conceptual synthesis (University of Houston Libraries, n.d.).</w:t>
      </w:r>
    </w:p>
    <w:p w14:paraId="47B6DC71" w14:textId="64E45BDE" w:rsidR="0087297A" w:rsidRDefault="0087297A" w:rsidP="0087297A">
      <w:pPr>
        <w:rPr>
          <w:rFonts w:ascii="Arial" w:hAnsi="Arial" w:cs="Arial"/>
        </w:rPr>
      </w:pPr>
      <w:r w:rsidRPr="0087297A">
        <w:rPr>
          <w:rFonts w:ascii="Arial" w:hAnsi="Arial" w:cs="Arial" w:hint="eastAsia"/>
        </w:rPr>
        <w:t xml:space="preserve">The strength of this approach is that it is flexible and can be useful when the student needs to explain concepts and develop a broad argument across a diverse interdisciplinary field (Baumeister &amp; Leary, 1997; Grant &amp; Booth, 2009). The search process may be less transparent and reproducible than systematic approaches, and there is potential for selection bias if the literature search is not comprehensive (Grant &amp; Booth, 2009). If the student is looking to give a broad overview and develop a critical argument for the state of knowledge rather than a thorough synthesis of all available </w:t>
      </w:r>
      <w:r w:rsidRPr="0087297A">
        <w:rPr>
          <w:rFonts w:ascii="Arial" w:hAnsi="Arial" w:cs="Arial"/>
        </w:rPr>
        <w:t>evidence,</w:t>
      </w:r>
      <w:r w:rsidRPr="0087297A">
        <w:rPr>
          <w:rFonts w:ascii="Arial" w:hAnsi="Arial" w:cs="Arial" w:hint="eastAsia"/>
        </w:rPr>
        <w:t xml:space="preserve"> then a narrative review would be appropriate for this topic.</w:t>
      </w:r>
    </w:p>
    <w:p w14:paraId="0897F186" w14:textId="77777777" w:rsidR="0087297A" w:rsidRDefault="0087297A" w:rsidP="0087297A">
      <w:pPr>
        <w:rPr>
          <w:rFonts w:ascii="Arial" w:hAnsi="Arial" w:cs="Arial"/>
        </w:rPr>
      </w:pPr>
    </w:p>
    <w:p w14:paraId="081F6292" w14:textId="315FFBFD" w:rsidR="0087297A" w:rsidRPr="0087297A" w:rsidRDefault="0087297A" w:rsidP="0087297A">
      <w:pPr>
        <w:rPr>
          <w:rFonts w:ascii="Arial" w:hAnsi="Arial" w:cs="Arial"/>
          <w:b/>
          <w:bCs/>
          <w:sz w:val="28"/>
          <w:szCs w:val="28"/>
        </w:rPr>
      </w:pPr>
      <w:r w:rsidRPr="0087297A">
        <w:rPr>
          <w:rFonts w:ascii="Arial" w:hAnsi="Arial" w:cs="Arial"/>
          <w:b/>
          <w:bCs/>
          <w:sz w:val="28"/>
          <w:szCs w:val="28"/>
        </w:rPr>
        <w:t>Approach 2</w:t>
      </w:r>
      <w:r w:rsidRPr="0087297A">
        <w:rPr>
          <w:rFonts w:ascii="Arial" w:hAnsi="Arial" w:cs="Arial" w:hint="eastAsia"/>
          <w:b/>
          <w:bCs/>
          <w:sz w:val="28"/>
          <w:szCs w:val="28"/>
        </w:rPr>
        <w:t>:</w:t>
      </w:r>
      <w:r w:rsidRPr="0087297A">
        <w:rPr>
          <w:rFonts w:ascii="SimSun" w:eastAsia="SimSun" w:hAnsi="SimSun" w:cs="SimSun"/>
          <w:b/>
          <w:bCs/>
          <w:kern w:val="0"/>
          <w:sz w:val="28"/>
          <w:szCs w:val="28"/>
          <w14:ligatures w14:val="none"/>
        </w:rPr>
        <w:t xml:space="preserve"> </w:t>
      </w:r>
      <w:r w:rsidRPr="0087297A">
        <w:rPr>
          <w:rFonts w:ascii="Arial" w:hAnsi="Arial" w:cs="Arial"/>
          <w:b/>
          <w:bCs/>
          <w:sz w:val="28"/>
          <w:szCs w:val="28"/>
        </w:rPr>
        <w:t>Mapping / Scoping Review</w:t>
      </w:r>
    </w:p>
    <w:p w14:paraId="11AD5BB5" w14:textId="4AAFC988" w:rsidR="0087297A" w:rsidRPr="0087297A" w:rsidRDefault="0087297A" w:rsidP="0087297A">
      <w:pPr>
        <w:rPr>
          <w:rFonts w:ascii="Arial" w:hAnsi="Arial" w:cs="Arial"/>
        </w:rPr>
      </w:pPr>
      <w:r w:rsidRPr="0087297A">
        <w:rPr>
          <w:rFonts w:ascii="Arial" w:hAnsi="Arial" w:cs="Arial"/>
        </w:rPr>
        <w:t xml:space="preserve">A mapping or scoping review is particularly suitable for this topic because the subject area spans multiple research streams: technology adoption, employee resistance, AI anxiety, human resource management, leadership, organizational change, and digital transformation. Grant and Booth (2009) describe scoping reviews as a method to “map the existing literature, as well as identify key concepts, theories, sources of evidence and gaps in research,” and not a method to answer a specific question or to evaluate the effectiveness of interventions. They are especially valuable for subjects where literature is wide-ranging, diverse or still developing. A scoping review is </w:t>
      </w:r>
      <w:r w:rsidRPr="0087297A">
        <w:rPr>
          <w:rFonts w:ascii="Arial" w:hAnsi="Arial" w:cs="Arial"/>
        </w:rPr>
        <w:lastRenderedPageBreak/>
        <w:t>described as a “preliminary assessment of potential size and scope of available research literature” (George Washington University Himmelfarb Health Sciences Library, n.d.) and aims to identify the nature and extent of research evidence. Data are usually presented in a tabular format with organization by key components such as study design (George Washington University Himmelfarb Health Sciences Library, n.d.).</w:t>
      </w:r>
    </w:p>
    <w:p w14:paraId="14AB524A" w14:textId="77777777" w:rsidR="0087297A" w:rsidRPr="0087297A" w:rsidRDefault="0087297A" w:rsidP="0087297A">
      <w:pPr>
        <w:rPr>
          <w:rFonts w:ascii="Arial" w:hAnsi="Arial" w:cs="Arial"/>
        </w:rPr>
      </w:pPr>
      <w:r w:rsidRPr="0087297A">
        <w:rPr>
          <w:rFonts w:ascii="Arial" w:hAnsi="Arial" w:cs="Arial"/>
        </w:rPr>
        <w:t>For this topic, a mapping/scoping review would involve the following activities:</w:t>
      </w:r>
    </w:p>
    <w:p w14:paraId="0B808A9F" w14:textId="70478DD9" w:rsidR="0087297A" w:rsidRPr="0087297A" w:rsidRDefault="0087297A" w:rsidP="0087297A">
      <w:pPr>
        <w:numPr>
          <w:ilvl w:val="0"/>
          <w:numId w:val="1"/>
        </w:numPr>
        <w:rPr>
          <w:rFonts w:ascii="Arial" w:hAnsi="Arial" w:cs="Arial"/>
        </w:rPr>
      </w:pPr>
      <w:r w:rsidRPr="0087297A">
        <w:rPr>
          <w:rFonts w:ascii="Arial" w:hAnsi="Arial" w:cs="Arial"/>
          <w:b/>
          <w:bCs/>
        </w:rPr>
        <w:t>Identifying the broad question</w:t>
      </w:r>
      <w:r w:rsidRPr="0087297A">
        <w:rPr>
          <w:rFonts w:ascii="Arial" w:hAnsi="Arial" w:cs="Arial"/>
        </w:rPr>
        <w:t>: "What is known from the existing literature about AI adoption and employee resistance in organizations?"</w:t>
      </w:r>
    </w:p>
    <w:p w14:paraId="5D52AFE8" w14:textId="77777777" w:rsidR="0087297A" w:rsidRPr="0087297A" w:rsidRDefault="0087297A" w:rsidP="0087297A">
      <w:pPr>
        <w:numPr>
          <w:ilvl w:val="0"/>
          <w:numId w:val="1"/>
        </w:numPr>
        <w:rPr>
          <w:rFonts w:ascii="Arial" w:hAnsi="Arial" w:cs="Arial"/>
        </w:rPr>
      </w:pPr>
      <w:r w:rsidRPr="0087297A">
        <w:rPr>
          <w:rFonts w:ascii="Arial" w:hAnsi="Arial" w:cs="Arial"/>
          <w:b/>
          <w:bCs/>
        </w:rPr>
        <w:t>Systematically searching and screening</w:t>
      </w:r>
      <w:r w:rsidRPr="0087297A">
        <w:rPr>
          <w:rFonts w:ascii="Arial" w:hAnsi="Arial" w:cs="Arial"/>
        </w:rPr>
        <w:t>: Following a structured process to identify relevant studies, but with broader inclusion criteria compared to a systematic review (</w:t>
      </w:r>
      <w:proofErr w:type="spellStart"/>
      <w:r w:rsidRPr="0087297A">
        <w:rPr>
          <w:rFonts w:ascii="Arial" w:hAnsi="Arial" w:cs="Arial"/>
        </w:rPr>
        <w:t>Tricco</w:t>
      </w:r>
      <w:proofErr w:type="spellEnd"/>
      <w:r w:rsidRPr="0087297A">
        <w:rPr>
          <w:rFonts w:ascii="Arial" w:hAnsi="Arial" w:cs="Arial"/>
        </w:rPr>
        <w:t xml:space="preserve"> et al., 2018).</w:t>
      </w:r>
    </w:p>
    <w:p w14:paraId="48332F52" w14:textId="672F8F76" w:rsidR="0087297A" w:rsidRPr="0087297A" w:rsidRDefault="0087297A" w:rsidP="0087297A">
      <w:pPr>
        <w:numPr>
          <w:ilvl w:val="0"/>
          <w:numId w:val="1"/>
        </w:numPr>
        <w:rPr>
          <w:rFonts w:ascii="Arial" w:hAnsi="Arial" w:cs="Arial"/>
        </w:rPr>
      </w:pPr>
      <w:r w:rsidRPr="0087297A">
        <w:rPr>
          <w:rFonts w:ascii="Arial" w:hAnsi="Arial" w:cs="Arial"/>
          <w:b/>
          <w:bCs/>
        </w:rPr>
        <w:t>Mapping the evidence</w:t>
      </w:r>
      <w:r w:rsidRPr="0087297A">
        <w:rPr>
          <w:rFonts w:ascii="Arial" w:hAnsi="Arial" w:cs="Arial"/>
        </w:rPr>
        <w:t>: Categorizing studies by research context (industry, country, employee group), theoretical frameworks used, methodologies employed, and key findings. This mapping process can be directly supported by the structured Excel table required for Part 2.</w:t>
      </w:r>
    </w:p>
    <w:p w14:paraId="6EAB4709" w14:textId="3E7BB52C" w:rsidR="0087297A" w:rsidRPr="0087297A" w:rsidRDefault="0087297A" w:rsidP="0087297A">
      <w:pPr>
        <w:numPr>
          <w:ilvl w:val="0"/>
          <w:numId w:val="1"/>
        </w:numPr>
        <w:rPr>
          <w:rFonts w:ascii="Arial" w:hAnsi="Arial" w:cs="Arial"/>
        </w:rPr>
      </w:pPr>
      <w:r w:rsidRPr="0087297A">
        <w:rPr>
          <w:rFonts w:ascii="Arial" w:hAnsi="Arial" w:cs="Arial"/>
          <w:b/>
          <w:bCs/>
        </w:rPr>
        <w:t>Summarizing and identifying gaps</w:t>
      </w:r>
      <w:r w:rsidRPr="0087297A">
        <w:rPr>
          <w:rFonts w:ascii="Arial" w:hAnsi="Arial" w:cs="Arial"/>
        </w:rPr>
        <w:t>: Presenting the findings in tabular and graphical formats to visualize the distribution of research and highlight evidence gaps, theoretical gaps, methodological gaps, and practical-knowledge gaps (Grant &amp; Booth, 2009). The narrative synthesis in a scoping review characterizes studies within multiple groupings and is often presented alongside tabular presentations of included studies (Grant &amp; Booth, 2009).</w:t>
      </w:r>
    </w:p>
    <w:p w14:paraId="3BD113D7" w14:textId="77777777" w:rsidR="0087297A" w:rsidRPr="0087297A" w:rsidRDefault="0087297A" w:rsidP="0087297A">
      <w:pPr>
        <w:numPr>
          <w:ilvl w:val="0"/>
          <w:numId w:val="1"/>
        </w:numPr>
        <w:rPr>
          <w:rFonts w:ascii="Arial" w:hAnsi="Arial" w:cs="Arial"/>
        </w:rPr>
      </w:pPr>
      <w:r w:rsidRPr="0087297A">
        <w:rPr>
          <w:rFonts w:ascii="Arial" w:hAnsi="Arial" w:cs="Arial"/>
          <w:b/>
          <w:bCs/>
        </w:rPr>
        <w:t>Adopting the PRISMA-</w:t>
      </w:r>
      <w:proofErr w:type="spellStart"/>
      <w:r w:rsidRPr="0087297A">
        <w:rPr>
          <w:rFonts w:ascii="Arial" w:hAnsi="Arial" w:cs="Arial"/>
          <w:b/>
          <w:bCs/>
        </w:rPr>
        <w:t>ScR</w:t>
      </w:r>
      <w:proofErr w:type="spellEnd"/>
      <w:r w:rsidRPr="0087297A">
        <w:rPr>
          <w:rFonts w:ascii="Arial" w:hAnsi="Arial" w:cs="Arial"/>
          <w:b/>
          <w:bCs/>
        </w:rPr>
        <w:t xml:space="preserve"> framework</w:t>
      </w:r>
      <w:r w:rsidRPr="0087297A">
        <w:rPr>
          <w:rFonts w:ascii="Arial" w:hAnsi="Arial" w:cs="Arial"/>
        </w:rPr>
        <w:t>: Following the PRISMA extension for scoping reviews (</w:t>
      </w:r>
      <w:proofErr w:type="spellStart"/>
      <w:r w:rsidRPr="0087297A">
        <w:rPr>
          <w:rFonts w:ascii="Arial" w:hAnsi="Arial" w:cs="Arial"/>
        </w:rPr>
        <w:t>Tricco</w:t>
      </w:r>
      <w:proofErr w:type="spellEnd"/>
      <w:r w:rsidRPr="0087297A">
        <w:rPr>
          <w:rFonts w:ascii="Arial" w:hAnsi="Arial" w:cs="Arial"/>
        </w:rPr>
        <w:t xml:space="preserve"> et al., 2018) to guide reporting and ensure transparency, including the use of a PRISMA-</w:t>
      </w:r>
      <w:proofErr w:type="spellStart"/>
      <w:r w:rsidRPr="0087297A">
        <w:rPr>
          <w:rFonts w:ascii="Arial" w:hAnsi="Arial" w:cs="Arial"/>
        </w:rPr>
        <w:t>ScR</w:t>
      </w:r>
      <w:proofErr w:type="spellEnd"/>
      <w:r w:rsidRPr="0087297A">
        <w:rPr>
          <w:rFonts w:ascii="Arial" w:hAnsi="Arial" w:cs="Arial"/>
        </w:rPr>
        <w:t xml:space="preserve"> checklist and flow diagram.</w:t>
      </w:r>
    </w:p>
    <w:p w14:paraId="7381D97D" w14:textId="77777777" w:rsidR="0087297A" w:rsidRPr="0087297A" w:rsidRDefault="0087297A" w:rsidP="0087297A">
      <w:pPr>
        <w:rPr>
          <w:rFonts w:ascii="Arial" w:hAnsi="Arial" w:cs="Arial"/>
        </w:rPr>
      </w:pPr>
      <w:r w:rsidRPr="0087297A">
        <w:rPr>
          <w:rFonts w:ascii="Arial" w:hAnsi="Arial" w:cs="Arial" w:hint="eastAsia"/>
        </w:rPr>
        <w:t xml:space="preserve">The strengths of this approach are flexibility combined with structure, suitability for broad and interdisciplinary topics, and the ability to clarify key concepts and identify research gaps with less resource intensity than a full systematic review (Grant &amp; Booth, 2009; </w:t>
      </w:r>
      <w:proofErr w:type="spellStart"/>
      <w:r w:rsidRPr="0087297A">
        <w:rPr>
          <w:rFonts w:ascii="Arial" w:hAnsi="Arial" w:cs="Arial" w:hint="eastAsia"/>
        </w:rPr>
        <w:t>Tricco</w:t>
      </w:r>
      <w:proofErr w:type="spellEnd"/>
      <w:r w:rsidRPr="0087297A">
        <w:rPr>
          <w:rFonts w:ascii="Arial" w:hAnsi="Arial" w:cs="Arial" w:hint="eastAsia"/>
        </w:rPr>
        <w:t xml:space="preserve"> et al., 2018). The weaknesses are that it usually does not include formal quality assessment of included studies and it may not provide a conclusive answer to a particular research question (Grant &amp; Booth, 2009).</w:t>
      </w:r>
    </w:p>
    <w:p w14:paraId="57818440" w14:textId="77777777" w:rsidR="0087297A" w:rsidRPr="0087297A" w:rsidRDefault="0087297A" w:rsidP="0087297A">
      <w:pPr>
        <w:rPr>
          <w:rFonts w:ascii="Arial" w:hAnsi="Arial" w:cs="Arial"/>
        </w:rPr>
      </w:pPr>
    </w:p>
    <w:p w14:paraId="0E5D9749" w14:textId="472A470F" w:rsidR="0087297A" w:rsidRDefault="0087297A" w:rsidP="0087297A">
      <w:pPr>
        <w:rPr>
          <w:rFonts w:ascii="Arial" w:hAnsi="Arial" w:cs="Arial"/>
        </w:rPr>
      </w:pPr>
      <w:r w:rsidRPr="0087297A">
        <w:rPr>
          <w:rFonts w:ascii="Arial" w:hAnsi="Arial" w:cs="Arial" w:hint="eastAsia"/>
        </w:rPr>
        <w:t xml:space="preserve">For </w:t>
      </w:r>
      <w:r w:rsidRPr="0087297A">
        <w:rPr>
          <w:rFonts w:ascii="Arial" w:hAnsi="Arial" w:cs="Arial"/>
        </w:rPr>
        <w:t>several</w:t>
      </w:r>
      <w:r w:rsidRPr="0087297A">
        <w:rPr>
          <w:rFonts w:ascii="Arial" w:hAnsi="Arial" w:cs="Arial" w:hint="eastAsia"/>
        </w:rPr>
        <w:t xml:space="preserve"> reasons, a mapping/scoping review is very appropriate for this topic. Firstly, it helps the student </w:t>
      </w:r>
      <w:r w:rsidRPr="0087297A">
        <w:rPr>
          <w:rFonts w:ascii="Arial" w:hAnsi="Arial" w:cs="Arial"/>
        </w:rPr>
        <w:t>with</w:t>
      </w:r>
      <w:r w:rsidRPr="0087297A">
        <w:rPr>
          <w:rFonts w:ascii="Arial" w:hAnsi="Arial" w:cs="Arial" w:hint="eastAsia"/>
        </w:rPr>
        <w:t xml:space="preserve"> the systematic </w:t>
      </w:r>
      <w:r w:rsidRPr="0087297A">
        <w:rPr>
          <w:rFonts w:ascii="Arial" w:hAnsi="Arial" w:cs="Arial"/>
        </w:rPr>
        <w:t>organization</w:t>
      </w:r>
      <w:r w:rsidRPr="0087297A">
        <w:rPr>
          <w:rFonts w:ascii="Arial" w:hAnsi="Arial" w:cs="Arial" w:hint="eastAsia"/>
        </w:rPr>
        <w:t xml:space="preserve"> of a wide and varied body </w:t>
      </w:r>
      <w:r w:rsidRPr="0087297A">
        <w:rPr>
          <w:rFonts w:ascii="Arial" w:hAnsi="Arial" w:cs="Arial" w:hint="eastAsia"/>
        </w:rPr>
        <w:lastRenderedPageBreak/>
        <w:t xml:space="preserve">of literature. Second, it is directly supporting the Excel based mapping required for </w:t>
      </w:r>
      <w:r w:rsidRPr="0087297A">
        <w:rPr>
          <w:rFonts w:ascii="Arial" w:hAnsi="Arial" w:cs="Arial"/>
        </w:rPr>
        <w:t>Part</w:t>
      </w:r>
      <w:r w:rsidRPr="0087297A">
        <w:rPr>
          <w:rFonts w:ascii="Arial" w:hAnsi="Arial" w:cs="Arial" w:hint="eastAsia"/>
        </w:rPr>
        <w:t xml:space="preserve"> 2 where each column (author, year, theory, methodology, key findings, research gap etc.) corresponds to the mapping objectives. Third, it allows the student to identify contextual, theoretical, methodological and practical-knowledge gaps in the literature on AI adoption and employee resistance, which is a core requirement of the proposal.</w:t>
      </w:r>
    </w:p>
    <w:p w14:paraId="3AADE004" w14:textId="77777777" w:rsidR="00647934" w:rsidRDefault="00647934" w:rsidP="0087297A">
      <w:pPr>
        <w:rPr>
          <w:rFonts w:ascii="Arial" w:hAnsi="Arial" w:cs="Arial"/>
        </w:rPr>
      </w:pPr>
    </w:p>
    <w:p w14:paraId="7DB2A445" w14:textId="77777777" w:rsidR="00647934" w:rsidRDefault="00647934" w:rsidP="0087297A">
      <w:pPr>
        <w:rPr>
          <w:rFonts w:ascii="Arial" w:hAnsi="Arial" w:cs="Arial"/>
        </w:rPr>
      </w:pPr>
    </w:p>
    <w:tbl>
      <w:tblPr>
        <w:tblW w:w="8306" w:type="dxa"/>
        <w:tblLook w:val="04A0" w:firstRow="1" w:lastRow="0" w:firstColumn="1" w:lastColumn="0" w:noHBand="0" w:noVBand="1"/>
      </w:tblPr>
      <w:tblGrid>
        <w:gridCol w:w="1555"/>
        <w:gridCol w:w="6751"/>
      </w:tblGrid>
      <w:tr w:rsidR="00647934" w:rsidRPr="00647934" w14:paraId="58C1F9CF" w14:textId="77777777" w:rsidTr="00647934">
        <w:trPr>
          <w:trHeight w:val="280"/>
        </w:trPr>
        <w:tc>
          <w:tcPr>
            <w:tcW w:w="1221" w:type="dxa"/>
            <w:tcBorders>
              <w:top w:val="nil"/>
              <w:left w:val="nil"/>
              <w:bottom w:val="nil"/>
              <w:right w:val="nil"/>
            </w:tcBorders>
            <w:noWrap/>
            <w:vAlign w:val="center"/>
            <w:hideMark/>
          </w:tcPr>
          <w:p w14:paraId="5AF8405B" w14:textId="77777777" w:rsidR="00647934" w:rsidRPr="00647934" w:rsidRDefault="00647934" w:rsidP="00647934">
            <w:pPr>
              <w:widowControl/>
              <w:spacing w:after="0" w:line="240" w:lineRule="auto"/>
              <w:rPr>
                <w:rFonts w:ascii="等线" w:eastAsia="等线" w:hAnsi="等线" w:cs="SimSun" w:hint="eastAsia"/>
                <w:color w:val="000000"/>
                <w:kern w:val="0"/>
                <w:szCs w:val="22"/>
                <w14:ligatures w14:val="none"/>
              </w:rPr>
            </w:pPr>
            <w:r w:rsidRPr="00647934">
              <w:rPr>
                <w:rFonts w:ascii="等线" w:eastAsia="等线" w:hAnsi="等线" w:cs="SimSun"/>
                <w:color w:val="000000"/>
                <w:kern w:val="0"/>
                <w:szCs w:val="22"/>
                <w14:ligatures w14:val="none"/>
              </w:rPr>
              <w:t>Column</w:t>
            </w:r>
          </w:p>
        </w:tc>
        <w:tc>
          <w:tcPr>
            <w:tcW w:w="7085" w:type="dxa"/>
            <w:tcBorders>
              <w:top w:val="nil"/>
              <w:left w:val="nil"/>
              <w:bottom w:val="nil"/>
              <w:right w:val="nil"/>
            </w:tcBorders>
            <w:noWrap/>
            <w:vAlign w:val="center"/>
            <w:hideMark/>
          </w:tcPr>
          <w:p w14:paraId="00C9CCC9" w14:textId="77777777" w:rsidR="00647934" w:rsidRPr="00647934" w:rsidRDefault="00647934" w:rsidP="00647934">
            <w:pPr>
              <w:widowControl/>
              <w:spacing w:after="0" w:line="240" w:lineRule="auto"/>
              <w:rPr>
                <w:rFonts w:ascii="等线" w:eastAsia="等线" w:hAnsi="等线" w:cs="SimSun" w:hint="eastAsia"/>
                <w:color w:val="000000"/>
                <w:kern w:val="0"/>
                <w:szCs w:val="22"/>
                <w14:ligatures w14:val="none"/>
              </w:rPr>
            </w:pPr>
            <w:r w:rsidRPr="00647934">
              <w:rPr>
                <w:rFonts w:ascii="等线" w:eastAsia="等线" w:hAnsi="等线" w:cs="SimSun"/>
                <w:color w:val="000000"/>
                <w:kern w:val="0"/>
                <w:szCs w:val="22"/>
                <w14:ligatures w14:val="none"/>
              </w:rPr>
              <w:t>Purpose</w:t>
            </w:r>
          </w:p>
        </w:tc>
      </w:tr>
      <w:tr w:rsidR="00647934" w:rsidRPr="00647934" w14:paraId="0EB236EA" w14:textId="77777777" w:rsidTr="00647934">
        <w:trPr>
          <w:trHeight w:val="280"/>
        </w:trPr>
        <w:tc>
          <w:tcPr>
            <w:tcW w:w="1221" w:type="dxa"/>
            <w:tcBorders>
              <w:top w:val="nil"/>
              <w:left w:val="nil"/>
              <w:bottom w:val="nil"/>
              <w:right w:val="nil"/>
            </w:tcBorders>
            <w:noWrap/>
            <w:vAlign w:val="center"/>
            <w:hideMark/>
          </w:tcPr>
          <w:p w14:paraId="24995C49" w14:textId="77777777" w:rsidR="00647934" w:rsidRPr="00647934" w:rsidRDefault="00647934" w:rsidP="00647934">
            <w:pPr>
              <w:widowControl/>
              <w:spacing w:after="0" w:line="240" w:lineRule="auto"/>
              <w:rPr>
                <w:rFonts w:ascii="等线" w:eastAsia="等线" w:hAnsi="等线" w:cs="SimSun" w:hint="eastAsia"/>
                <w:color w:val="000000"/>
                <w:kern w:val="0"/>
                <w:szCs w:val="22"/>
                <w14:ligatures w14:val="none"/>
              </w:rPr>
            </w:pPr>
            <w:r w:rsidRPr="00647934">
              <w:rPr>
                <w:rFonts w:ascii="等线" w:eastAsia="等线" w:hAnsi="等线" w:cs="SimSun"/>
                <w:color w:val="000000"/>
                <w:kern w:val="0"/>
                <w:szCs w:val="22"/>
                <w14:ligatures w14:val="none"/>
              </w:rPr>
              <w:t>NO.</w:t>
            </w:r>
          </w:p>
        </w:tc>
        <w:tc>
          <w:tcPr>
            <w:tcW w:w="7085" w:type="dxa"/>
            <w:tcBorders>
              <w:top w:val="nil"/>
              <w:left w:val="nil"/>
              <w:bottom w:val="nil"/>
              <w:right w:val="nil"/>
            </w:tcBorders>
            <w:noWrap/>
            <w:vAlign w:val="center"/>
            <w:hideMark/>
          </w:tcPr>
          <w:p w14:paraId="2A76128B" w14:textId="77777777" w:rsidR="00647934" w:rsidRPr="00647934" w:rsidRDefault="00647934" w:rsidP="00647934">
            <w:pPr>
              <w:widowControl/>
              <w:spacing w:after="0" w:line="240" w:lineRule="auto"/>
              <w:rPr>
                <w:rFonts w:ascii="等线" w:eastAsia="等线" w:hAnsi="等线" w:cs="SimSun" w:hint="eastAsia"/>
                <w:color w:val="000000"/>
                <w:kern w:val="0"/>
                <w:szCs w:val="22"/>
                <w14:ligatures w14:val="none"/>
              </w:rPr>
            </w:pPr>
            <w:r w:rsidRPr="00647934">
              <w:rPr>
                <w:rFonts w:ascii="等线" w:eastAsia="等线" w:hAnsi="等线" w:cs="SimSun"/>
                <w:color w:val="000000"/>
                <w:kern w:val="0"/>
                <w:szCs w:val="22"/>
                <w14:ligatures w14:val="none"/>
              </w:rPr>
              <w:t>Basic record keeping</w:t>
            </w:r>
          </w:p>
        </w:tc>
      </w:tr>
      <w:tr w:rsidR="00647934" w:rsidRPr="00647934" w14:paraId="13E3916E" w14:textId="77777777" w:rsidTr="00647934">
        <w:trPr>
          <w:trHeight w:val="280"/>
        </w:trPr>
        <w:tc>
          <w:tcPr>
            <w:tcW w:w="1221" w:type="dxa"/>
            <w:tcBorders>
              <w:top w:val="nil"/>
              <w:left w:val="nil"/>
              <w:bottom w:val="nil"/>
              <w:right w:val="nil"/>
            </w:tcBorders>
            <w:noWrap/>
            <w:vAlign w:val="center"/>
            <w:hideMark/>
          </w:tcPr>
          <w:p w14:paraId="65F16F5F" w14:textId="77777777" w:rsidR="00647934" w:rsidRPr="00647934" w:rsidRDefault="00647934" w:rsidP="00647934">
            <w:pPr>
              <w:widowControl/>
              <w:spacing w:after="0" w:line="240" w:lineRule="auto"/>
              <w:rPr>
                <w:rFonts w:ascii="等线" w:eastAsia="等线" w:hAnsi="等线" w:cs="SimSun" w:hint="eastAsia"/>
                <w:color w:val="000000"/>
                <w:kern w:val="0"/>
                <w:szCs w:val="22"/>
                <w14:ligatures w14:val="none"/>
              </w:rPr>
            </w:pPr>
            <w:r w:rsidRPr="00647934">
              <w:rPr>
                <w:rFonts w:ascii="等线" w:eastAsia="等线" w:hAnsi="等线" w:cs="SimSun"/>
                <w:color w:val="000000"/>
                <w:kern w:val="0"/>
                <w:szCs w:val="22"/>
                <w14:ligatures w14:val="none"/>
              </w:rPr>
              <w:t>Author(s)</w:t>
            </w:r>
          </w:p>
        </w:tc>
        <w:tc>
          <w:tcPr>
            <w:tcW w:w="7085" w:type="dxa"/>
            <w:tcBorders>
              <w:top w:val="nil"/>
              <w:left w:val="nil"/>
              <w:bottom w:val="nil"/>
              <w:right w:val="nil"/>
            </w:tcBorders>
            <w:noWrap/>
            <w:vAlign w:val="center"/>
            <w:hideMark/>
          </w:tcPr>
          <w:p w14:paraId="7A4A6A79" w14:textId="77777777" w:rsidR="00647934" w:rsidRPr="00647934" w:rsidRDefault="00647934" w:rsidP="00647934">
            <w:pPr>
              <w:widowControl/>
              <w:spacing w:after="0" w:line="240" w:lineRule="auto"/>
              <w:rPr>
                <w:rFonts w:ascii="等线" w:eastAsia="等线" w:hAnsi="等线" w:cs="SimSun" w:hint="eastAsia"/>
                <w:color w:val="000000"/>
                <w:kern w:val="0"/>
                <w:szCs w:val="22"/>
                <w14:ligatures w14:val="none"/>
              </w:rPr>
            </w:pPr>
            <w:r w:rsidRPr="00647934">
              <w:rPr>
                <w:rFonts w:ascii="等线" w:eastAsia="等线" w:hAnsi="等线" w:cs="SimSun"/>
                <w:color w:val="000000"/>
                <w:kern w:val="0"/>
                <w:szCs w:val="22"/>
                <w14:ligatures w14:val="none"/>
              </w:rPr>
              <w:t xml:space="preserve">To identify key scholars and publication patterns </w:t>
            </w:r>
          </w:p>
        </w:tc>
      </w:tr>
      <w:tr w:rsidR="00647934" w:rsidRPr="00647934" w14:paraId="016A8F9B" w14:textId="77777777" w:rsidTr="00647934">
        <w:trPr>
          <w:trHeight w:val="280"/>
        </w:trPr>
        <w:tc>
          <w:tcPr>
            <w:tcW w:w="1221" w:type="dxa"/>
            <w:tcBorders>
              <w:top w:val="nil"/>
              <w:left w:val="nil"/>
              <w:bottom w:val="nil"/>
              <w:right w:val="nil"/>
            </w:tcBorders>
            <w:noWrap/>
            <w:vAlign w:val="center"/>
            <w:hideMark/>
          </w:tcPr>
          <w:p w14:paraId="1C4EEAFA" w14:textId="77777777" w:rsidR="00647934" w:rsidRPr="00647934" w:rsidRDefault="00647934" w:rsidP="00647934">
            <w:pPr>
              <w:widowControl/>
              <w:spacing w:after="0" w:line="240" w:lineRule="auto"/>
              <w:rPr>
                <w:rFonts w:ascii="等线" w:eastAsia="等线" w:hAnsi="等线" w:cs="SimSun" w:hint="eastAsia"/>
                <w:color w:val="000000"/>
                <w:kern w:val="0"/>
                <w:szCs w:val="22"/>
                <w14:ligatures w14:val="none"/>
              </w:rPr>
            </w:pPr>
            <w:r w:rsidRPr="00647934">
              <w:rPr>
                <w:rFonts w:ascii="等线" w:eastAsia="等线" w:hAnsi="等线" w:cs="SimSun"/>
                <w:color w:val="000000"/>
                <w:kern w:val="0"/>
                <w:szCs w:val="22"/>
                <w14:ligatures w14:val="none"/>
              </w:rPr>
              <w:t>Year</w:t>
            </w:r>
          </w:p>
        </w:tc>
        <w:tc>
          <w:tcPr>
            <w:tcW w:w="7085" w:type="dxa"/>
            <w:tcBorders>
              <w:top w:val="nil"/>
              <w:left w:val="nil"/>
              <w:bottom w:val="nil"/>
              <w:right w:val="nil"/>
            </w:tcBorders>
            <w:noWrap/>
            <w:vAlign w:val="center"/>
            <w:hideMark/>
          </w:tcPr>
          <w:p w14:paraId="1A992D46" w14:textId="77777777" w:rsidR="00647934" w:rsidRPr="00647934" w:rsidRDefault="00647934" w:rsidP="00647934">
            <w:pPr>
              <w:widowControl/>
              <w:spacing w:after="0" w:line="240" w:lineRule="auto"/>
              <w:rPr>
                <w:rFonts w:ascii="等线" w:eastAsia="等线" w:hAnsi="等线" w:cs="SimSun" w:hint="eastAsia"/>
                <w:color w:val="000000"/>
                <w:kern w:val="0"/>
                <w:szCs w:val="22"/>
                <w14:ligatures w14:val="none"/>
              </w:rPr>
            </w:pPr>
            <w:r w:rsidRPr="00647934">
              <w:rPr>
                <w:rFonts w:ascii="等线" w:eastAsia="等线" w:hAnsi="等线" w:cs="SimSun"/>
                <w:color w:val="000000"/>
                <w:kern w:val="0"/>
                <w:szCs w:val="22"/>
                <w14:ligatures w14:val="none"/>
              </w:rPr>
              <w:t>To observe recent development of the field</w:t>
            </w:r>
          </w:p>
        </w:tc>
      </w:tr>
      <w:tr w:rsidR="00647934" w:rsidRPr="00647934" w14:paraId="1DDF0828" w14:textId="77777777" w:rsidTr="00647934">
        <w:trPr>
          <w:trHeight w:val="280"/>
        </w:trPr>
        <w:tc>
          <w:tcPr>
            <w:tcW w:w="1221" w:type="dxa"/>
            <w:tcBorders>
              <w:top w:val="nil"/>
              <w:left w:val="nil"/>
              <w:bottom w:val="nil"/>
              <w:right w:val="nil"/>
            </w:tcBorders>
            <w:noWrap/>
            <w:vAlign w:val="center"/>
            <w:hideMark/>
          </w:tcPr>
          <w:p w14:paraId="7013D11F" w14:textId="77777777" w:rsidR="00647934" w:rsidRPr="00647934" w:rsidRDefault="00647934" w:rsidP="00647934">
            <w:pPr>
              <w:widowControl/>
              <w:spacing w:after="0" w:line="240" w:lineRule="auto"/>
              <w:rPr>
                <w:rFonts w:ascii="等线" w:eastAsia="等线" w:hAnsi="等线" w:cs="SimSun" w:hint="eastAsia"/>
                <w:color w:val="000000"/>
                <w:kern w:val="0"/>
                <w:szCs w:val="22"/>
                <w14:ligatures w14:val="none"/>
              </w:rPr>
            </w:pPr>
            <w:r w:rsidRPr="00647934">
              <w:rPr>
                <w:rFonts w:ascii="等线" w:eastAsia="等线" w:hAnsi="等线" w:cs="SimSun"/>
                <w:color w:val="000000"/>
                <w:kern w:val="0"/>
                <w:szCs w:val="22"/>
                <w14:ligatures w14:val="none"/>
              </w:rPr>
              <w:t>Title</w:t>
            </w:r>
          </w:p>
        </w:tc>
        <w:tc>
          <w:tcPr>
            <w:tcW w:w="7085" w:type="dxa"/>
            <w:tcBorders>
              <w:top w:val="nil"/>
              <w:left w:val="nil"/>
              <w:bottom w:val="nil"/>
              <w:right w:val="nil"/>
            </w:tcBorders>
            <w:noWrap/>
            <w:vAlign w:val="center"/>
            <w:hideMark/>
          </w:tcPr>
          <w:p w14:paraId="434A8BB9" w14:textId="77777777" w:rsidR="00647934" w:rsidRPr="00647934" w:rsidRDefault="00647934" w:rsidP="00647934">
            <w:pPr>
              <w:widowControl/>
              <w:spacing w:after="0" w:line="240" w:lineRule="auto"/>
              <w:rPr>
                <w:rFonts w:ascii="等线" w:eastAsia="等线" w:hAnsi="等线" w:cs="SimSun" w:hint="eastAsia"/>
                <w:color w:val="000000"/>
                <w:kern w:val="0"/>
                <w:szCs w:val="22"/>
                <w14:ligatures w14:val="none"/>
              </w:rPr>
            </w:pPr>
            <w:r w:rsidRPr="00647934">
              <w:rPr>
                <w:rFonts w:ascii="等线" w:eastAsia="等线" w:hAnsi="等线" w:cs="SimSun"/>
                <w:color w:val="000000"/>
                <w:kern w:val="0"/>
                <w:szCs w:val="22"/>
                <w14:ligatures w14:val="none"/>
              </w:rPr>
              <w:t>To record the literature source clearly</w:t>
            </w:r>
          </w:p>
        </w:tc>
      </w:tr>
      <w:tr w:rsidR="00647934" w:rsidRPr="00647934" w14:paraId="6E2C9B11" w14:textId="77777777" w:rsidTr="00647934">
        <w:trPr>
          <w:trHeight w:val="280"/>
        </w:trPr>
        <w:tc>
          <w:tcPr>
            <w:tcW w:w="1221" w:type="dxa"/>
            <w:tcBorders>
              <w:top w:val="nil"/>
              <w:left w:val="nil"/>
              <w:bottom w:val="nil"/>
              <w:right w:val="nil"/>
            </w:tcBorders>
            <w:noWrap/>
            <w:vAlign w:val="center"/>
            <w:hideMark/>
          </w:tcPr>
          <w:p w14:paraId="1048B91B" w14:textId="77777777" w:rsidR="00647934" w:rsidRPr="00647934" w:rsidRDefault="00647934" w:rsidP="00647934">
            <w:pPr>
              <w:widowControl/>
              <w:spacing w:after="0" w:line="240" w:lineRule="auto"/>
              <w:rPr>
                <w:rFonts w:ascii="等线" w:eastAsia="等线" w:hAnsi="等线" w:cs="SimSun" w:hint="eastAsia"/>
                <w:color w:val="000000"/>
                <w:kern w:val="0"/>
                <w:szCs w:val="22"/>
                <w14:ligatures w14:val="none"/>
              </w:rPr>
            </w:pPr>
            <w:r w:rsidRPr="00647934">
              <w:rPr>
                <w:rFonts w:ascii="等线" w:eastAsia="等线" w:hAnsi="等线" w:cs="SimSun"/>
                <w:color w:val="000000"/>
                <w:kern w:val="0"/>
                <w:szCs w:val="22"/>
                <w14:ligatures w14:val="none"/>
              </w:rPr>
              <w:t>Journal/Source Type</w:t>
            </w:r>
          </w:p>
        </w:tc>
        <w:tc>
          <w:tcPr>
            <w:tcW w:w="7085" w:type="dxa"/>
            <w:tcBorders>
              <w:top w:val="nil"/>
              <w:left w:val="nil"/>
              <w:bottom w:val="nil"/>
              <w:right w:val="nil"/>
            </w:tcBorders>
            <w:noWrap/>
            <w:vAlign w:val="center"/>
            <w:hideMark/>
          </w:tcPr>
          <w:p w14:paraId="50F1FABA" w14:textId="77777777" w:rsidR="00647934" w:rsidRPr="00647934" w:rsidRDefault="00647934" w:rsidP="00647934">
            <w:pPr>
              <w:widowControl/>
              <w:spacing w:after="0" w:line="240" w:lineRule="auto"/>
              <w:rPr>
                <w:rFonts w:ascii="等线" w:eastAsia="等线" w:hAnsi="等线" w:cs="SimSun" w:hint="eastAsia"/>
                <w:color w:val="000000"/>
                <w:kern w:val="0"/>
                <w:szCs w:val="22"/>
                <w14:ligatures w14:val="none"/>
              </w:rPr>
            </w:pPr>
            <w:r w:rsidRPr="00647934">
              <w:rPr>
                <w:rFonts w:ascii="等线" w:eastAsia="等线" w:hAnsi="等线" w:cs="SimSun"/>
                <w:color w:val="000000"/>
                <w:kern w:val="0"/>
                <w:szCs w:val="22"/>
                <w14:ligatures w14:val="none"/>
              </w:rPr>
              <w:t xml:space="preserve">To distinguish </w:t>
            </w:r>
            <w:proofErr w:type="gramStart"/>
            <w:r w:rsidRPr="00647934">
              <w:rPr>
                <w:rFonts w:ascii="等线" w:eastAsia="等线" w:hAnsi="等线" w:cs="SimSun"/>
                <w:color w:val="000000"/>
                <w:kern w:val="0"/>
                <w:szCs w:val="22"/>
                <w14:ligatures w14:val="none"/>
              </w:rPr>
              <w:t>article</w:t>
            </w:r>
            <w:proofErr w:type="gramEnd"/>
            <w:r w:rsidRPr="00647934">
              <w:rPr>
                <w:rFonts w:ascii="等线" w:eastAsia="等线" w:hAnsi="等线" w:cs="SimSun"/>
                <w:color w:val="000000"/>
                <w:kern w:val="0"/>
                <w:szCs w:val="22"/>
                <w14:ligatures w14:val="none"/>
              </w:rPr>
              <w:t xml:space="preserve">, book </w:t>
            </w:r>
            <w:proofErr w:type="gramStart"/>
            <w:r w:rsidRPr="00647934">
              <w:rPr>
                <w:rFonts w:ascii="等线" w:eastAsia="等线" w:hAnsi="等线" w:cs="SimSun"/>
                <w:color w:val="000000"/>
                <w:kern w:val="0"/>
                <w:szCs w:val="22"/>
                <w14:ligatures w14:val="none"/>
              </w:rPr>
              <w:t>chapter</w:t>
            </w:r>
            <w:proofErr w:type="gramEnd"/>
            <w:r w:rsidRPr="00647934">
              <w:rPr>
                <w:rFonts w:ascii="等线" w:eastAsia="等线" w:hAnsi="等线" w:cs="SimSun"/>
                <w:color w:val="000000"/>
                <w:kern w:val="0"/>
                <w:szCs w:val="22"/>
                <w14:ligatures w14:val="none"/>
              </w:rPr>
              <w:t xml:space="preserve">, thesis, </w:t>
            </w:r>
            <w:proofErr w:type="gramStart"/>
            <w:r w:rsidRPr="00647934">
              <w:rPr>
                <w:rFonts w:ascii="等线" w:eastAsia="等线" w:hAnsi="等线" w:cs="SimSun"/>
                <w:color w:val="000000"/>
                <w:kern w:val="0"/>
                <w:szCs w:val="22"/>
                <w14:ligatures w14:val="none"/>
              </w:rPr>
              <w:t>report</w:t>
            </w:r>
            <w:proofErr w:type="gramEnd"/>
            <w:r w:rsidRPr="00647934">
              <w:rPr>
                <w:rFonts w:ascii="等线" w:eastAsia="等线" w:hAnsi="等线" w:cs="SimSun"/>
                <w:color w:val="000000"/>
                <w:kern w:val="0"/>
                <w:szCs w:val="22"/>
                <w14:ligatures w14:val="none"/>
              </w:rPr>
              <w:t xml:space="preserve">, etc. </w:t>
            </w:r>
          </w:p>
        </w:tc>
      </w:tr>
      <w:tr w:rsidR="00647934" w:rsidRPr="00647934" w14:paraId="4ED156E6" w14:textId="77777777" w:rsidTr="00647934">
        <w:trPr>
          <w:trHeight w:val="280"/>
        </w:trPr>
        <w:tc>
          <w:tcPr>
            <w:tcW w:w="1221" w:type="dxa"/>
            <w:tcBorders>
              <w:top w:val="nil"/>
              <w:left w:val="nil"/>
              <w:bottom w:val="nil"/>
              <w:right w:val="nil"/>
            </w:tcBorders>
            <w:noWrap/>
            <w:vAlign w:val="center"/>
            <w:hideMark/>
          </w:tcPr>
          <w:p w14:paraId="4045D1CA" w14:textId="77777777" w:rsidR="00647934" w:rsidRPr="00647934" w:rsidRDefault="00647934" w:rsidP="00647934">
            <w:pPr>
              <w:widowControl/>
              <w:spacing w:after="0" w:line="240" w:lineRule="auto"/>
              <w:rPr>
                <w:rFonts w:ascii="等线" w:eastAsia="等线" w:hAnsi="等线" w:cs="SimSun" w:hint="eastAsia"/>
                <w:color w:val="000000"/>
                <w:kern w:val="0"/>
                <w:szCs w:val="22"/>
                <w14:ligatures w14:val="none"/>
              </w:rPr>
            </w:pPr>
            <w:r w:rsidRPr="00647934">
              <w:rPr>
                <w:rFonts w:ascii="等线" w:eastAsia="等线" w:hAnsi="等线" w:cs="SimSun"/>
                <w:color w:val="000000"/>
                <w:kern w:val="0"/>
                <w:szCs w:val="22"/>
                <w14:ligatures w14:val="none"/>
              </w:rPr>
              <w:t>Theory</w:t>
            </w:r>
          </w:p>
        </w:tc>
        <w:tc>
          <w:tcPr>
            <w:tcW w:w="7085" w:type="dxa"/>
            <w:tcBorders>
              <w:top w:val="nil"/>
              <w:left w:val="nil"/>
              <w:bottom w:val="nil"/>
              <w:right w:val="nil"/>
            </w:tcBorders>
            <w:noWrap/>
            <w:vAlign w:val="center"/>
            <w:hideMark/>
          </w:tcPr>
          <w:p w14:paraId="518DFA8A" w14:textId="77777777" w:rsidR="00647934" w:rsidRPr="00647934" w:rsidRDefault="00647934" w:rsidP="00647934">
            <w:pPr>
              <w:widowControl/>
              <w:spacing w:after="0" w:line="240" w:lineRule="auto"/>
              <w:rPr>
                <w:rFonts w:ascii="等线" w:eastAsia="等线" w:hAnsi="等线" w:cs="SimSun" w:hint="eastAsia"/>
                <w:color w:val="000000"/>
                <w:kern w:val="0"/>
                <w:szCs w:val="22"/>
                <w14:ligatures w14:val="none"/>
              </w:rPr>
            </w:pPr>
            <w:r w:rsidRPr="00647934">
              <w:rPr>
                <w:rFonts w:ascii="等线" w:eastAsia="等线" w:hAnsi="等线" w:cs="SimSun"/>
                <w:color w:val="000000"/>
                <w:kern w:val="0"/>
                <w:szCs w:val="22"/>
                <w14:ligatures w14:val="none"/>
              </w:rPr>
              <w:t>To identify each study's theoretical foundation, enabling analysis of dominant, underused, or missing theories in the field.</w:t>
            </w:r>
          </w:p>
        </w:tc>
      </w:tr>
      <w:tr w:rsidR="00647934" w:rsidRPr="00647934" w14:paraId="3B90AD27" w14:textId="77777777" w:rsidTr="00647934">
        <w:trPr>
          <w:trHeight w:val="280"/>
        </w:trPr>
        <w:tc>
          <w:tcPr>
            <w:tcW w:w="1221" w:type="dxa"/>
            <w:tcBorders>
              <w:top w:val="nil"/>
              <w:left w:val="nil"/>
              <w:bottom w:val="nil"/>
              <w:right w:val="nil"/>
            </w:tcBorders>
            <w:noWrap/>
            <w:vAlign w:val="center"/>
            <w:hideMark/>
          </w:tcPr>
          <w:p w14:paraId="4FFF9C6E" w14:textId="77777777" w:rsidR="00647934" w:rsidRPr="00647934" w:rsidRDefault="00647934" w:rsidP="00647934">
            <w:pPr>
              <w:widowControl/>
              <w:spacing w:after="0" w:line="240" w:lineRule="auto"/>
              <w:rPr>
                <w:rFonts w:ascii="等线" w:eastAsia="等线" w:hAnsi="等线" w:cs="SimSun" w:hint="eastAsia"/>
                <w:color w:val="000000"/>
                <w:kern w:val="0"/>
                <w:szCs w:val="22"/>
                <w14:ligatures w14:val="none"/>
              </w:rPr>
            </w:pPr>
            <w:r w:rsidRPr="00647934">
              <w:rPr>
                <w:rFonts w:ascii="等线" w:eastAsia="等线" w:hAnsi="等线" w:cs="SimSun"/>
                <w:color w:val="000000"/>
                <w:kern w:val="0"/>
                <w:szCs w:val="22"/>
                <w14:ligatures w14:val="none"/>
              </w:rPr>
              <w:t>Methodology</w:t>
            </w:r>
          </w:p>
        </w:tc>
        <w:tc>
          <w:tcPr>
            <w:tcW w:w="7085" w:type="dxa"/>
            <w:tcBorders>
              <w:top w:val="nil"/>
              <w:left w:val="nil"/>
              <w:bottom w:val="nil"/>
              <w:right w:val="nil"/>
            </w:tcBorders>
            <w:noWrap/>
            <w:vAlign w:val="center"/>
            <w:hideMark/>
          </w:tcPr>
          <w:p w14:paraId="1C2110DD" w14:textId="77777777" w:rsidR="00647934" w:rsidRPr="00647934" w:rsidRDefault="00647934" w:rsidP="00647934">
            <w:pPr>
              <w:widowControl/>
              <w:spacing w:after="0" w:line="240" w:lineRule="auto"/>
              <w:rPr>
                <w:rFonts w:ascii="等线" w:eastAsia="等线" w:hAnsi="等线" w:cs="SimSun" w:hint="eastAsia"/>
                <w:color w:val="000000"/>
                <w:kern w:val="0"/>
                <w:szCs w:val="22"/>
                <w14:ligatures w14:val="none"/>
              </w:rPr>
            </w:pPr>
            <w:r w:rsidRPr="00647934">
              <w:rPr>
                <w:rFonts w:ascii="等线" w:eastAsia="等线" w:hAnsi="等线" w:cs="SimSun"/>
                <w:color w:val="000000"/>
                <w:kern w:val="0"/>
                <w:szCs w:val="22"/>
                <w14:ligatures w14:val="none"/>
              </w:rPr>
              <w:t>To distinguish qualitative, quantitative, mixed methods, review, case study</w:t>
            </w:r>
          </w:p>
        </w:tc>
      </w:tr>
      <w:tr w:rsidR="00647934" w:rsidRPr="00647934" w14:paraId="6B695B3A" w14:textId="77777777" w:rsidTr="00647934">
        <w:trPr>
          <w:trHeight w:val="280"/>
        </w:trPr>
        <w:tc>
          <w:tcPr>
            <w:tcW w:w="1221" w:type="dxa"/>
            <w:tcBorders>
              <w:top w:val="nil"/>
              <w:left w:val="nil"/>
              <w:bottom w:val="nil"/>
              <w:right w:val="nil"/>
            </w:tcBorders>
            <w:noWrap/>
            <w:vAlign w:val="center"/>
            <w:hideMark/>
          </w:tcPr>
          <w:p w14:paraId="384F73DB" w14:textId="77777777" w:rsidR="00647934" w:rsidRPr="00647934" w:rsidRDefault="00647934" w:rsidP="00647934">
            <w:pPr>
              <w:widowControl/>
              <w:spacing w:after="0" w:line="240" w:lineRule="auto"/>
              <w:rPr>
                <w:rFonts w:ascii="等线" w:eastAsia="等线" w:hAnsi="等线" w:cs="SimSun" w:hint="eastAsia"/>
                <w:color w:val="000000"/>
                <w:kern w:val="0"/>
                <w:szCs w:val="22"/>
                <w14:ligatures w14:val="none"/>
              </w:rPr>
            </w:pPr>
            <w:r w:rsidRPr="00647934">
              <w:rPr>
                <w:rFonts w:ascii="等线" w:eastAsia="等线" w:hAnsi="等线" w:cs="SimSun"/>
                <w:color w:val="000000"/>
                <w:kern w:val="0"/>
                <w:szCs w:val="22"/>
                <w14:ligatures w14:val="none"/>
              </w:rPr>
              <w:t>Keywords</w:t>
            </w:r>
          </w:p>
        </w:tc>
        <w:tc>
          <w:tcPr>
            <w:tcW w:w="7085" w:type="dxa"/>
            <w:tcBorders>
              <w:top w:val="nil"/>
              <w:left w:val="nil"/>
              <w:bottom w:val="nil"/>
              <w:right w:val="nil"/>
            </w:tcBorders>
            <w:noWrap/>
            <w:vAlign w:val="center"/>
            <w:hideMark/>
          </w:tcPr>
          <w:p w14:paraId="5B1C655C" w14:textId="77777777" w:rsidR="00647934" w:rsidRPr="00647934" w:rsidRDefault="00647934" w:rsidP="00647934">
            <w:pPr>
              <w:widowControl/>
              <w:spacing w:after="0" w:line="240" w:lineRule="auto"/>
              <w:rPr>
                <w:rFonts w:ascii="等线" w:eastAsia="等线" w:hAnsi="等线" w:cs="SimSun" w:hint="eastAsia"/>
                <w:color w:val="000000"/>
                <w:kern w:val="0"/>
                <w:szCs w:val="22"/>
                <w14:ligatures w14:val="none"/>
              </w:rPr>
            </w:pPr>
            <w:r w:rsidRPr="00647934">
              <w:rPr>
                <w:rFonts w:ascii="等线" w:eastAsia="等线" w:hAnsi="等线" w:cs="SimSun"/>
                <w:color w:val="000000"/>
                <w:kern w:val="0"/>
                <w:szCs w:val="22"/>
                <w14:ligatures w14:val="none"/>
              </w:rPr>
              <w:t>For later coding and grouping</w:t>
            </w:r>
          </w:p>
        </w:tc>
      </w:tr>
    </w:tbl>
    <w:p w14:paraId="4241A591" w14:textId="77777777" w:rsidR="00647934" w:rsidRDefault="00647934" w:rsidP="0087297A">
      <w:pPr>
        <w:rPr>
          <w:rFonts w:ascii="Arial" w:hAnsi="Arial" w:cs="Arial"/>
        </w:rPr>
      </w:pPr>
    </w:p>
    <w:p w14:paraId="03CCBB5F" w14:textId="77777777" w:rsidR="00B82A3C" w:rsidRPr="00B82A3C" w:rsidRDefault="00B82A3C" w:rsidP="0087297A">
      <w:pPr>
        <w:rPr>
          <w:rFonts w:ascii="Arial" w:hAnsi="Arial" w:cs="Arial"/>
          <w:sz w:val="32"/>
          <w:szCs w:val="32"/>
        </w:rPr>
      </w:pPr>
    </w:p>
    <w:p w14:paraId="09A98AEF" w14:textId="77777777" w:rsidR="00B82A3C" w:rsidRPr="00B82A3C" w:rsidRDefault="00B82A3C" w:rsidP="00B82A3C">
      <w:pPr>
        <w:rPr>
          <w:rFonts w:ascii="Arial" w:hAnsi="Arial" w:cs="Arial"/>
          <w:b/>
          <w:bCs/>
          <w:sz w:val="32"/>
          <w:szCs w:val="32"/>
        </w:rPr>
      </w:pPr>
      <w:r w:rsidRPr="00B82A3C">
        <w:rPr>
          <w:rFonts w:ascii="Arial" w:hAnsi="Arial" w:cs="Arial"/>
          <w:b/>
          <w:bCs/>
          <w:sz w:val="32"/>
          <w:szCs w:val="32"/>
        </w:rPr>
        <w:t>Theoretical Background</w:t>
      </w:r>
    </w:p>
    <w:p w14:paraId="190CEF8D" w14:textId="0B782BE7" w:rsidR="00B82A3C" w:rsidRDefault="00B82A3C" w:rsidP="0087297A">
      <w:pPr>
        <w:rPr>
          <w:rFonts w:ascii="Arial" w:hAnsi="Arial" w:cs="Arial"/>
        </w:rPr>
      </w:pPr>
      <w:r w:rsidRPr="00B82A3C">
        <w:rPr>
          <w:rFonts w:ascii="Arial" w:hAnsi="Arial" w:cs="Arial"/>
        </w:rPr>
        <w:t>The theoretical background should not be a random list of theories.  Students should talk about how each theory can be used to understand AI adoption, employee reaction or organizational change. This proposal selected two theories, one technology acceptance theory and one organizational change theory. This combination allows for a balanced understanding of individual cognitive responses and wider organizational dynamics.</w:t>
      </w:r>
    </w:p>
    <w:p w14:paraId="51D8086E" w14:textId="77777777" w:rsidR="00B82A3C" w:rsidRPr="004158CD" w:rsidRDefault="00B82A3C" w:rsidP="0087297A">
      <w:pPr>
        <w:rPr>
          <w:rFonts w:ascii="Arial" w:hAnsi="Arial" w:cs="Arial"/>
          <w:b/>
          <w:bCs/>
          <w:sz w:val="24"/>
        </w:rPr>
      </w:pPr>
    </w:p>
    <w:p w14:paraId="5A89C7C2" w14:textId="77777777" w:rsidR="00B82A3C" w:rsidRPr="004158CD" w:rsidRDefault="00B82A3C" w:rsidP="00B82A3C">
      <w:pPr>
        <w:rPr>
          <w:rFonts w:ascii="Arial" w:hAnsi="Arial" w:cs="Arial"/>
          <w:b/>
          <w:bCs/>
          <w:sz w:val="24"/>
        </w:rPr>
      </w:pPr>
      <w:r w:rsidRPr="004158CD">
        <w:rPr>
          <w:rFonts w:ascii="Arial" w:hAnsi="Arial" w:cs="Arial" w:hint="eastAsia"/>
          <w:b/>
          <w:bCs/>
          <w:sz w:val="24"/>
        </w:rPr>
        <w:t>The Technology Acceptance Model (TAM)</w:t>
      </w:r>
    </w:p>
    <w:p w14:paraId="72C14E8A" w14:textId="77777777" w:rsidR="00B82A3C" w:rsidRPr="00B82A3C" w:rsidRDefault="00B82A3C" w:rsidP="00B82A3C">
      <w:pPr>
        <w:rPr>
          <w:rFonts w:ascii="Arial" w:hAnsi="Arial" w:cs="Arial"/>
        </w:rPr>
      </w:pPr>
    </w:p>
    <w:p w14:paraId="7CEF0801" w14:textId="316F85AC" w:rsidR="00B82A3C" w:rsidRPr="00B82A3C" w:rsidRDefault="00B82A3C" w:rsidP="00B82A3C">
      <w:pPr>
        <w:rPr>
          <w:rFonts w:ascii="Arial" w:hAnsi="Arial" w:cs="Arial"/>
        </w:rPr>
      </w:pPr>
      <w:r w:rsidRPr="00B82A3C">
        <w:rPr>
          <w:rFonts w:ascii="Arial" w:hAnsi="Arial" w:cs="Arial" w:hint="eastAsia"/>
        </w:rPr>
        <w:t xml:space="preserve">The Technology Acceptance Model, developed by Davis (1989), is one of the most widely used frameworks for understanding technology adoption at the individual </w:t>
      </w:r>
      <w:r w:rsidRPr="00B82A3C">
        <w:rPr>
          <w:rFonts w:ascii="Arial" w:hAnsi="Arial" w:cs="Arial" w:hint="eastAsia"/>
        </w:rPr>
        <w:lastRenderedPageBreak/>
        <w:t>level. TAM proposes that two primary beliefs impact an individual</w:t>
      </w:r>
      <w:proofErr w:type="gramStart"/>
      <w:r w:rsidRPr="00B82A3C">
        <w:rPr>
          <w:rFonts w:ascii="Arial" w:hAnsi="Arial" w:cs="Arial" w:hint="eastAsia"/>
        </w:rPr>
        <w:t>’</w:t>
      </w:r>
      <w:proofErr w:type="gramEnd"/>
      <w:r w:rsidRPr="00B82A3C">
        <w:rPr>
          <w:rFonts w:ascii="Arial" w:hAnsi="Arial" w:cs="Arial" w:hint="eastAsia"/>
        </w:rPr>
        <w:t xml:space="preserve">s intention to use a technology: perceived usefulness (the extent to which an individual believes that using the technology will enhance his or her job performance) and perceived ease of use (the extent to which an individual believes that using the technology will be free of effort). These beliefs influence attitudes toward </w:t>
      </w:r>
      <w:r w:rsidRPr="00B82A3C">
        <w:rPr>
          <w:rFonts w:ascii="Arial" w:hAnsi="Arial" w:cs="Arial"/>
        </w:rPr>
        <w:t>technology</w:t>
      </w:r>
      <w:r w:rsidRPr="00B82A3C">
        <w:rPr>
          <w:rFonts w:ascii="Arial" w:hAnsi="Arial" w:cs="Arial" w:hint="eastAsia"/>
        </w:rPr>
        <w:t xml:space="preserve"> which influence </w:t>
      </w:r>
      <w:r w:rsidRPr="00B82A3C">
        <w:rPr>
          <w:rFonts w:ascii="Arial" w:hAnsi="Arial" w:cs="Arial"/>
        </w:rPr>
        <w:t>behavioral</w:t>
      </w:r>
      <w:r w:rsidRPr="00B82A3C">
        <w:rPr>
          <w:rFonts w:ascii="Arial" w:hAnsi="Arial" w:cs="Arial" w:hint="eastAsia"/>
        </w:rPr>
        <w:t xml:space="preserve"> intentions and actual usage </w:t>
      </w:r>
      <w:r w:rsidRPr="00B82A3C">
        <w:rPr>
          <w:rFonts w:ascii="Arial" w:hAnsi="Arial" w:cs="Arial"/>
        </w:rPr>
        <w:t>behavior</w:t>
      </w:r>
      <w:r w:rsidRPr="00B82A3C">
        <w:rPr>
          <w:rFonts w:ascii="Arial" w:hAnsi="Arial" w:cs="Arial" w:hint="eastAsia"/>
        </w:rPr>
        <w:t>.</w:t>
      </w:r>
    </w:p>
    <w:p w14:paraId="79130293" w14:textId="77777777" w:rsidR="00B82A3C" w:rsidRPr="00B82A3C" w:rsidRDefault="00B82A3C" w:rsidP="00B82A3C">
      <w:pPr>
        <w:rPr>
          <w:rFonts w:ascii="Arial" w:hAnsi="Arial" w:cs="Arial"/>
        </w:rPr>
      </w:pPr>
    </w:p>
    <w:p w14:paraId="06BB8160" w14:textId="6956B71D" w:rsidR="00B82A3C" w:rsidRDefault="00B82A3C" w:rsidP="00B82A3C">
      <w:pPr>
        <w:rPr>
          <w:rFonts w:ascii="Arial" w:hAnsi="Arial" w:cs="Arial"/>
        </w:rPr>
      </w:pPr>
      <w:r w:rsidRPr="00B82A3C">
        <w:rPr>
          <w:rFonts w:ascii="Arial" w:hAnsi="Arial" w:cs="Arial" w:hint="eastAsia"/>
        </w:rPr>
        <w:t>TAM provides a basic lens for this topic as to why some employees accept standard artificial intelligence systems and others resist. When workers see AI as helpful in their work, whether that</w:t>
      </w:r>
      <w:proofErr w:type="gramStart"/>
      <w:r w:rsidRPr="00B82A3C">
        <w:rPr>
          <w:rFonts w:ascii="Arial" w:hAnsi="Arial" w:cs="Arial" w:hint="eastAsia"/>
        </w:rPr>
        <w:t>’</w:t>
      </w:r>
      <w:proofErr w:type="gramEnd"/>
      <w:r w:rsidRPr="00B82A3C">
        <w:rPr>
          <w:rFonts w:ascii="Arial" w:hAnsi="Arial" w:cs="Arial" w:hint="eastAsia"/>
        </w:rPr>
        <w:t>s automating routine tasks or improving decision-making, they</w:t>
      </w:r>
      <w:proofErr w:type="gramStart"/>
      <w:r w:rsidRPr="00B82A3C">
        <w:rPr>
          <w:rFonts w:ascii="Arial" w:hAnsi="Arial" w:cs="Arial" w:hint="eastAsia"/>
        </w:rPr>
        <w:t>’</w:t>
      </w:r>
      <w:proofErr w:type="gramEnd"/>
      <w:r w:rsidRPr="00B82A3C">
        <w:rPr>
          <w:rFonts w:ascii="Arial" w:hAnsi="Arial" w:cs="Arial" w:hint="eastAsia"/>
        </w:rPr>
        <w:t>re more likely to embrace it. In contrast, resistance is likely to emerge if AI is perceived to be difficult to use, threatening job autonomy, or providing little personal benefit. TAM helps to understand the cognitive appraisal process that supports employees</w:t>
      </w:r>
      <w:proofErr w:type="gramStart"/>
      <w:r w:rsidRPr="00B82A3C">
        <w:rPr>
          <w:rFonts w:ascii="Arial" w:hAnsi="Arial" w:cs="Arial" w:hint="eastAsia"/>
        </w:rPr>
        <w:t>’</w:t>
      </w:r>
      <w:proofErr w:type="gramEnd"/>
      <w:r w:rsidRPr="00B82A3C">
        <w:rPr>
          <w:rFonts w:ascii="Arial" w:hAnsi="Arial" w:cs="Arial" w:hint="eastAsia"/>
        </w:rPr>
        <w:t xml:space="preserve"> responses to AI adoption.</w:t>
      </w:r>
    </w:p>
    <w:p w14:paraId="6E8B224C" w14:textId="77777777" w:rsidR="00B82A3C" w:rsidRDefault="00B82A3C" w:rsidP="0087297A">
      <w:pPr>
        <w:rPr>
          <w:rFonts w:ascii="Arial" w:hAnsi="Arial" w:cs="Arial"/>
        </w:rPr>
      </w:pPr>
    </w:p>
    <w:p w14:paraId="1162D2F9" w14:textId="77777777" w:rsidR="00B82A3C" w:rsidRPr="004158CD" w:rsidRDefault="00B82A3C" w:rsidP="00B82A3C">
      <w:pPr>
        <w:rPr>
          <w:rFonts w:ascii="Arial" w:hAnsi="Arial" w:cs="Arial"/>
          <w:b/>
          <w:bCs/>
          <w:sz w:val="24"/>
        </w:rPr>
      </w:pPr>
      <w:r w:rsidRPr="004158CD">
        <w:rPr>
          <w:rFonts w:ascii="Arial" w:hAnsi="Arial" w:cs="Arial" w:hint="eastAsia"/>
          <w:b/>
          <w:bCs/>
          <w:sz w:val="24"/>
        </w:rPr>
        <w:t>The change management theory.</w:t>
      </w:r>
    </w:p>
    <w:p w14:paraId="17444D30" w14:textId="77777777" w:rsidR="00B82A3C" w:rsidRPr="00B82A3C" w:rsidRDefault="00B82A3C" w:rsidP="00B82A3C">
      <w:pPr>
        <w:rPr>
          <w:rFonts w:ascii="Arial" w:hAnsi="Arial" w:cs="Arial"/>
        </w:rPr>
      </w:pPr>
    </w:p>
    <w:p w14:paraId="3251DCCA" w14:textId="142EDA77" w:rsidR="00B82A3C" w:rsidRPr="00B82A3C" w:rsidRDefault="00B82A3C" w:rsidP="00B82A3C">
      <w:pPr>
        <w:rPr>
          <w:rFonts w:ascii="Arial" w:hAnsi="Arial" w:cs="Arial"/>
        </w:rPr>
      </w:pPr>
      <w:r w:rsidRPr="00B82A3C">
        <w:rPr>
          <w:rFonts w:ascii="Arial" w:hAnsi="Arial" w:cs="Arial" w:hint="eastAsia"/>
        </w:rPr>
        <w:t xml:space="preserve">In particular, the framework of Change Management Theory, as framed by Kotter (1996) and Lewin (1947), offers a framework for understanding </w:t>
      </w:r>
      <w:r w:rsidRPr="00B82A3C">
        <w:rPr>
          <w:rFonts w:ascii="Arial" w:hAnsi="Arial" w:cs="Arial"/>
        </w:rPr>
        <w:t>organizational</w:t>
      </w:r>
      <w:r w:rsidRPr="00B82A3C">
        <w:rPr>
          <w:rFonts w:ascii="Arial" w:hAnsi="Arial" w:cs="Arial" w:hint="eastAsia"/>
        </w:rPr>
        <w:t xml:space="preserve"> transformation and the human responses it evokes. Lewin</w:t>
      </w:r>
      <w:proofErr w:type="gramStart"/>
      <w:r w:rsidRPr="00B82A3C">
        <w:rPr>
          <w:rFonts w:ascii="Arial" w:hAnsi="Arial" w:cs="Arial" w:hint="eastAsia"/>
        </w:rPr>
        <w:t>’</w:t>
      </w:r>
      <w:proofErr w:type="gramEnd"/>
      <w:r w:rsidRPr="00B82A3C">
        <w:rPr>
          <w:rFonts w:ascii="Arial" w:hAnsi="Arial" w:cs="Arial" w:hint="eastAsia"/>
        </w:rPr>
        <w:t xml:space="preserve">s three-stage model of unfreezing, moving and refreezing explains how </w:t>
      </w:r>
      <w:r w:rsidRPr="00B82A3C">
        <w:rPr>
          <w:rFonts w:ascii="Arial" w:hAnsi="Arial" w:cs="Arial"/>
        </w:rPr>
        <w:t>organizations</w:t>
      </w:r>
      <w:r w:rsidRPr="00B82A3C">
        <w:rPr>
          <w:rFonts w:ascii="Arial" w:hAnsi="Arial" w:cs="Arial" w:hint="eastAsia"/>
        </w:rPr>
        <w:t xml:space="preserve"> change from a current state to a desired future state. Kotter</w:t>
      </w:r>
      <w:proofErr w:type="gramStart"/>
      <w:r w:rsidRPr="00B82A3C">
        <w:rPr>
          <w:rFonts w:ascii="Arial" w:hAnsi="Arial" w:cs="Arial" w:hint="eastAsia"/>
        </w:rPr>
        <w:t>’</w:t>
      </w:r>
      <w:proofErr w:type="gramEnd"/>
      <w:r w:rsidRPr="00B82A3C">
        <w:rPr>
          <w:rFonts w:ascii="Arial" w:hAnsi="Arial" w:cs="Arial" w:hint="eastAsia"/>
        </w:rPr>
        <w:t>s eight step model additionally emphasizes the need to create urgency, build coalitions, communicate vision, empower employees and anchor change in the organizational culture.</w:t>
      </w:r>
    </w:p>
    <w:p w14:paraId="09900DA0" w14:textId="77777777" w:rsidR="00B82A3C" w:rsidRPr="00B82A3C" w:rsidRDefault="00B82A3C" w:rsidP="00B82A3C">
      <w:pPr>
        <w:rPr>
          <w:rFonts w:ascii="Arial" w:hAnsi="Arial" w:cs="Arial"/>
        </w:rPr>
      </w:pPr>
    </w:p>
    <w:p w14:paraId="4307F5C0" w14:textId="3F9A7531" w:rsidR="00B82A3C" w:rsidRDefault="00B82A3C" w:rsidP="00B82A3C">
      <w:pPr>
        <w:rPr>
          <w:rFonts w:ascii="Arial" w:hAnsi="Arial" w:cs="Arial"/>
        </w:rPr>
      </w:pPr>
      <w:r w:rsidRPr="00B82A3C">
        <w:rPr>
          <w:rFonts w:ascii="Arial" w:hAnsi="Arial" w:cs="Arial" w:hint="eastAsia"/>
        </w:rPr>
        <w:t xml:space="preserve">Change management theory views employee resistance as a predictable and manageable aspect of </w:t>
      </w:r>
      <w:r w:rsidRPr="00B82A3C">
        <w:rPr>
          <w:rFonts w:ascii="Arial" w:hAnsi="Arial" w:cs="Arial"/>
        </w:rPr>
        <w:t>organizational</w:t>
      </w:r>
      <w:r w:rsidRPr="00B82A3C">
        <w:rPr>
          <w:rFonts w:ascii="Arial" w:hAnsi="Arial" w:cs="Arial" w:hint="eastAsia"/>
        </w:rPr>
        <w:t xml:space="preserve"> change, rather than an irrational or pathological response, given the context of this topic. Unfreezing highlights the need for open communication about the reasons for the adoption of AI and the possible impact on staff. The moving stage emphasizes the significance of employee participation, training and leadership support in reducing uncertainty and fear. Refreezing points to the need for revised job roles and </w:t>
      </w:r>
      <w:r w:rsidRPr="00B82A3C">
        <w:rPr>
          <w:rFonts w:ascii="Arial" w:hAnsi="Arial" w:cs="Arial"/>
        </w:rPr>
        <w:t>organizational</w:t>
      </w:r>
      <w:r w:rsidRPr="00B82A3C">
        <w:rPr>
          <w:rFonts w:ascii="Arial" w:hAnsi="Arial" w:cs="Arial" w:hint="eastAsia"/>
        </w:rPr>
        <w:t xml:space="preserve"> culture integrating AI sustainably. The theory is useful </w:t>
      </w:r>
      <w:r w:rsidRPr="00B82A3C">
        <w:rPr>
          <w:rFonts w:ascii="Arial" w:hAnsi="Arial" w:cs="Arial"/>
        </w:rPr>
        <w:t>for</w:t>
      </w:r>
      <w:r w:rsidRPr="00B82A3C">
        <w:rPr>
          <w:rFonts w:ascii="Arial" w:hAnsi="Arial" w:cs="Arial" w:hint="eastAsia"/>
        </w:rPr>
        <w:t xml:space="preserve"> understanding practical approaches that change leaders can apply to minimize resistance and promote AI acceptance.</w:t>
      </w:r>
    </w:p>
    <w:p w14:paraId="14E6CBB9" w14:textId="77777777" w:rsidR="00B82A3C" w:rsidRDefault="00B82A3C" w:rsidP="00B82A3C">
      <w:pPr>
        <w:rPr>
          <w:rFonts w:ascii="Arial" w:hAnsi="Arial" w:cs="Arial"/>
        </w:rPr>
      </w:pPr>
    </w:p>
    <w:p w14:paraId="3D4E4F17" w14:textId="77777777" w:rsidR="00B82A3C" w:rsidRDefault="00B82A3C" w:rsidP="00B82A3C">
      <w:pPr>
        <w:rPr>
          <w:rFonts w:ascii="Arial" w:hAnsi="Arial" w:cs="Arial"/>
        </w:rPr>
      </w:pPr>
    </w:p>
    <w:p w14:paraId="3BCF989A" w14:textId="77777777" w:rsidR="00B82A3C" w:rsidRDefault="00B82A3C" w:rsidP="00B82A3C">
      <w:pPr>
        <w:rPr>
          <w:rFonts w:ascii="Arial" w:hAnsi="Arial" w:cs="Arial"/>
        </w:rPr>
      </w:pPr>
    </w:p>
    <w:p w14:paraId="69E7DAC1" w14:textId="77777777" w:rsidR="00B82A3C" w:rsidRDefault="00B82A3C" w:rsidP="00B82A3C">
      <w:pPr>
        <w:rPr>
          <w:rFonts w:ascii="Arial" w:hAnsi="Arial" w:cs="Arial"/>
        </w:rPr>
      </w:pPr>
    </w:p>
    <w:p w14:paraId="2764089F" w14:textId="77777777" w:rsidR="00B82A3C" w:rsidRDefault="00B82A3C" w:rsidP="00B82A3C">
      <w:pPr>
        <w:rPr>
          <w:rFonts w:ascii="Arial" w:hAnsi="Arial" w:cs="Arial"/>
        </w:rPr>
      </w:pPr>
    </w:p>
    <w:p w14:paraId="2777938D" w14:textId="77777777" w:rsidR="00B82A3C" w:rsidRDefault="00B82A3C" w:rsidP="00B82A3C">
      <w:pPr>
        <w:rPr>
          <w:rFonts w:ascii="Arial" w:hAnsi="Arial" w:cs="Arial"/>
        </w:rPr>
      </w:pPr>
    </w:p>
    <w:p w14:paraId="71862354" w14:textId="13703B2F" w:rsidR="00B82A3C" w:rsidRDefault="00B82A3C" w:rsidP="00B82A3C">
      <w:pPr>
        <w:rPr>
          <w:rFonts w:ascii="Arial" w:hAnsi="Arial" w:cs="Arial"/>
        </w:rPr>
      </w:pPr>
      <w:r>
        <w:rPr>
          <w:rFonts w:ascii="Arial" w:hAnsi="Arial" w:cs="Arial" w:hint="eastAsia"/>
        </w:rPr>
        <w:t>Reference List:</w:t>
      </w:r>
    </w:p>
    <w:p w14:paraId="259CF7AE" w14:textId="77777777" w:rsidR="00B82A3C" w:rsidRPr="00B82A3C" w:rsidRDefault="00B82A3C" w:rsidP="00B82A3C">
      <w:pPr>
        <w:rPr>
          <w:rFonts w:ascii="Arial" w:hAnsi="Arial" w:cs="Arial"/>
        </w:rPr>
      </w:pPr>
      <w:r w:rsidRPr="00B82A3C">
        <w:rPr>
          <w:rFonts w:ascii="Arial" w:hAnsi="Arial" w:cs="Arial"/>
        </w:rPr>
        <w:t xml:space="preserve">Baumeister, R. F., &amp; Leary, M. R. (1997). Writing narrative literature reviews. </w:t>
      </w:r>
      <w:r w:rsidRPr="00B82A3C">
        <w:rPr>
          <w:rFonts w:ascii="Arial" w:hAnsi="Arial" w:cs="Arial"/>
          <w:i/>
          <w:iCs/>
        </w:rPr>
        <w:t>Review of General Psychology, 1</w:t>
      </w:r>
      <w:r w:rsidRPr="00B82A3C">
        <w:rPr>
          <w:rFonts w:ascii="Arial" w:hAnsi="Arial" w:cs="Arial"/>
        </w:rPr>
        <w:t>(3), 311–320.</w:t>
      </w:r>
    </w:p>
    <w:p w14:paraId="11D68F8E" w14:textId="77777777" w:rsidR="00B82A3C" w:rsidRPr="00B82A3C" w:rsidRDefault="00B82A3C" w:rsidP="00B82A3C">
      <w:pPr>
        <w:rPr>
          <w:rFonts w:ascii="Arial" w:hAnsi="Arial" w:cs="Arial"/>
        </w:rPr>
      </w:pPr>
      <w:r w:rsidRPr="00B82A3C">
        <w:rPr>
          <w:rFonts w:ascii="Arial" w:hAnsi="Arial" w:cs="Arial"/>
        </w:rPr>
        <w:t xml:space="preserve">George Washington University Himmelfarb Health Sciences Library. (n.d.). </w:t>
      </w:r>
      <w:r w:rsidRPr="00B82A3C">
        <w:rPr>
          <w:rFonts w:ascii="Arial" w:hAnsi="Arial" w:cs="Arial"/>
          <w:i/>
          <w:iCs/>
        </w:rPr>
        <w:t>Nursing: Scoping reviews</w:t>
      </w:r>
      <w:r w:rsidRPr="00B82A3C">
        <w:rPr>
          <w:rFonts w:ascii="Arial" w:hAnsi="Arial" w:cs="Arial"/>
        </w:rPr>
        <w:t xml:space="preserve">. </w:t>
      </w:r>
      <w:hyperlink r:id="rId5" w:tgtFrame="_blank" w:history="1">
        <w:r w:rsidRPr="00B82A3C">
          <w:rPr>
            <w:rStyle w:val="ae"/>
            <w:rFonts w:ascii="Arial" w:hAnsi="Arial" w:cs="Arial"/>
          </w:rPr>
          <w:t>https://guides.himmelfarb.gwu.edu/Nursing/phd-scoping-reviews</w:t>
        </w:r>
      </w:hyperlink>
    </w:p>
    <w:p w14:paraId="6F4DEDAF" w14:textId="77777777" w:rsidR="00B82A3C" w:rsidRPr="00B82A3C" w:rsidRDefault="00B82A3C" w:rsidP="00B82A3C">
      <w:pPr>
        <w:rPr>
          <w:rFonts w:ascii="Arial" w:hAnsi="Arial" w:cs="Arial"/>
        </w:rPr>
      </w:pPr>
      <w:r w:rsidRPr="00B82A3C">
        <w:rPr>
          <w:rFonts w:ascii="Arial" w:hAnsi="Arial" w:cs="Arial"/>
        </w:rPr>
        <w:t xml:space="preserve">Grant, M. J., &amp; Booth, A. (2009). A typology of reviews: An analysis of 14 review types and associated methodologies. </w:t>
      </w:r>
      <w:r w:rsidRPr="00B82A3C">
        <w:rPr>
          <w:rFonts w:ascii="Arial" w:hAnsi="Arial" w:cs="Arial"/>
          <w:i/>
          <w:iCs/>
        </w:rPr>
        <w:t>Health Information &amp; Libraries Journal, 26</w:t>
      </w:r>
      <w:r w:rsidRPr="00B82A3C">
        <w:rPr>
          <w:rFonts w:ascii="Arial" w:hAnsi="Arial" w:cs="Arial"/>
        </w:rPr>
        <w:t>(2), 91–108.</w:t>
      </w:r>
    </w:p>
    <w:p w14:paraId="1BA44E22" w14:textId="77777777" w:rsidR="00B82A3C" w:rsidRPr="00B82A3C" w:rsidRDefault="00B82A3C" w:rsidP="00B82A3C">
      <w:pPr>
        <w:rPr>
          <w:rFonts w:ascii="Arial" w:hAnsi="Arial" w:cs="Arial"/>
        </w:rPr>
      </w:pPr>
      <w:r w:rsidRPr="00B82A3C">
        <w:rPr>
          <w:rFonts w:ascii="Arial" w:hAnsi="Arial" w:cs="Arial"/>
        </w:rPr>
        <w:t xml:space="preserve">Onwuegbuzie, A. J., &amp; Frels, R. K. (2016). </w:t>
      </w:r>
      <w:r w:rsidRPr="00B82A3C">
        <w:rPr>
          <w:rFonts w:ascii="Arial" w:hAnsi="Arial" w:cs="Arial"/>
          <w:i/>
          <w:iCs/>
        </w:rPr>
        <w:t>Seven steps to a comprehensive literature review: A multimodal and cultural approach</w:t>
      </w:r>
      <w:r w:rsidRPr="00B82A3C">
        <w:rPr>
          <w:rFonts w:ascii="Arial" w:hAnsi="Arial" w:cs="Arial"/>
        </w:rPr>
        <w:t>. Emerald Group Publishing.</w:t>
      </w:r>
    </w:p>
    <w:p w14:paraId="09563610" w14:textId="77777777" w:rsidR="00B82A3C" w:rsidRPr="00B82A3C" w:rsidRDefault="00B82A3C" w:rsidP="00B82A3C">
      <w:pPr>
        <w:rPr>
          <w:rFonts w:ascii="Arial" w:hAnsi="Arial" w:cs="Arial"/>
        </w:rPr>
      </w:pPr>
      <w:r w:rsidRPr="00B82A3C">
        <w:rPr>
          <w:rFonts w:ascii="Arial" w:hAnsi="Arial" w:cs="Arial"/>
        </w:rPr>
        <w:t xml:space="preserve">University of Houston Libraries. (n.d.). </w:t>
      </w:r>
      <w:r w:rsidRPr="00B82A3C">
        <w:rPr>
          <w:rFonts w:ascii="Arial" w:hAnsi="Arial" w:cs="Arial"/>
          <w:i/>
          <w:iCs/>
        </w:rPr>
        <w:t>Literature reviews in the health sciences: Narrative literature reviews</w:t>
      </w:r>
      <w:r w:rsidRPr="00B82A3C">
        <w:rPr>
          <w:rFonts w:ascii="Arial" w:hAnsi="Arial" w:cs="Arial"/>
        </w:rPr>
        <w:t xml:space="preserve">. </w:t>
      </w:r>
      <w:hyperlink r:id="rId6" w:tgtFrame="_blank" w:history="1">
        <w:r w:rsidRPr="00B82A3C">
          <w:rPr>
            <w:rStyle w:val="ae"/>
            <w:rFonts w:ascii="Arial" w:hAnsi="Arial" w:cs="Arial"/>
          </w:rPr>
          <w:t>https://guides.lib.uh.edu/reviews/narrative</w:t>
        </w:r>
      </w:hyperlink>
    </w:p>
    <w:p w14:paraId="1B1F5709" w14:textId="77777777" w:rsidR="00B82A3C" w:rsidRPr="00B82A3C" w:rsidRDefault="00B82A3C" w:rsidP="00B82A3C">
      <w:pPr>
        <w:rPr>
          <w:rFonts w:ascii="Arial" w:hAnsi="Arial" w:cs="Arial"/>
        </w:rPr>
      </w:pPr>
      <w:r w:rsidRPr="00B82A3C">
        <w:rPr>
          <w:rFonts w:ascii="Arial" w:hAnsi="Arial" w:cs="Arial"/>
        </w:rPr>
        <w:t xml:space="preserve">Davis, F. D. (1989). Perceived usefulness, perceived ease of use, and user acceptance of information technology. </w:t>
      </w:r>
      <w:r w:rsidRPr="00B82A3C">
        <w:rPr>
          <w:rFonts w:ascii="Arial" w:hAnsi="Arial" w:cs="Arial"/>
          <w:i/>
          <w:iCs/>
        </w:rPr>
        <w:t>MIS Quarterly, 13</w:t>
      </w:r>
      <w:r w:rsidRPr="00B82A3C">
        <w:rPr>
          <w:rFonts w:ascii="Arial" w:hAnsi="Arial" w:cs="Arial"/>
        </w:rPr>
        <w:t>(3), 319–340.</w:t>
      </w:r>
    </w:p>
    <w:p w14:paraId="1C5AAC3E" w14:textId="77777777" w:rsidR="00B82A3C" w:rsidRPr="00B82A3C" w:rsidRDefault="00B82A3C" w:rsidP="00B82A3C">
      <w:pPr>
        <w:rPr>
          <w:rFonts w:ascii="Arial" w:hAnsi="Arial" w:cs="Arial"/>
        </w:rPr>
      </w:pPr>
      <w:r w:rsidRPr="00B82A3C">
        <w:rPr>
          <w:rFonts w:ascii="Arial" w:hAnsi="Arial" w:cs="Arial"/>
        </w:rPr>
        <w:t xml:space="preserve">Kotter, J. P. (1996). </w:t>
      </w:r>
      <w:r w:rsidRPr="00B82A3C">
        <w:rPr>
          <w:rFonts w:ascii="Arial" w:hAnsi="Arial" w:cs="Arial"/>
          <w:i/>
          <w:iCs/>
        </w:rPr>
        <w:t>Leading change</w:t>
      </w:r>
      <w:r w:rsidRPr="00B82A3C">
        <w:rPr>
          <w:rFonts w:ascii="Arial" w:hAnsi="Arial" w:cs="Arial"/>
        </w:rPr>
        <w:t>. Harvard Business School Press.</w:t>
      </w:r>
    </w:p>
    <w:p w14:paraId="5D8E944C" w14:textId="77777777" w:rsidR="00B82A3C" w:rsidRPr="00B82A3C" w:rsidRDefault="00B82A3C" w:rsidP="00B82A3C">
      <w:pPr>
        <w:rPr>
          <w:rFonts w:ascii="Arial" w:hAnsi="Arial" w:cs="Arial"/>
        </w:rPr>
      </w:pPr>
      <w:r w:rsidRPr="00B82A3C">
        <w:rPr>
          <w:rFonts w:ascii="Arial" w:hAnsi="Arial" w:cs="Arial"/>
        </w:rPr>
        <w:t xml:space="preserve">Lewin, K. (1947). Frontiers in group dynamics: Concept, method and reality in social science. </w:t>
      </w:r>
      <w:r w:rsidRPr="00B82A3C">
        <w:rPr>
          <w:rFonts w:ascii="Arial" w:hAnsi="Arial" w:cs="Arial"/>
          <w:i/>
          <w:iCs/>
        </w:rPr>
        <w:t>Human Relations, 1</w:t>
      </w:r>
      <w:r w:rsidRPr="00B82A3C">
        <w:rPr>
          <w:rFonts w:ascii="Arial" w:hAnsi="Arial" w:cs="Arial"/>
        </w:rPr>
        <w:t>(1), 5–41.</w:t>
      </w:r>
    </w:p>
    <w:p w14:paraId="036BA92F" w14:textId="77777777" w:rsidR="00B82A3C" w:rsidRPr="00B82A3C" w:rsidRDefault="00B82A3C" w:rsidP="00B82A3C">
      <w:pPr>
        <w:rPr>
          <w:rFonts w:ascii="Arial" w:hAnsi="Arial" w:cs="Arial"/>
        </w:rPr>
      </w:pPr>
    </w:p>
    <w:sectPr w:rsidR="00B82A3C" w:rsidRPr="00B82A3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altName w:val="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338E6"/>
    <w:multiLevelType w:val="multilevel"/>
    <w:tmpl w:val="38765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93872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B93"/>
    <w:rsid w:val="004158CD"/>
    <w:rsid w:val="00577B93"/>
    <w:rsid w:val="00647934"/>
    <w:rsid w:val="00651A24"/>
    <w:rsid w:val="007A2F49"/>
    <w:rsid w:val="0087297A"/>
    <w:rsid w:val="00B66DFD"/>
    <w:rsid w:val="00B82A3C"/>
    <w:rsid w:val="00D7138D"/>
    <w:rsid w:val="00F440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01214E"/>
  <w15:chartTrackingRefBased/>
  <w15:docId w15:val="{FD38CCCB-297F-40B6-8BC7-0F6D6734E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577B93"/>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577B93"/>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unhideWhenUsed/>
    <w:qFormat/>
    <w:rsid w:val="00577B93"/>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unhideWhenUsed/>
    <w:qFormat/>
    <w:rsid w:val="00577B93"/>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577B93"/>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577B93"/>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577B93"/>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577B93"/>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577B93"/>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77B93"/>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577B93"/>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rsid w:val="00577B93"/>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rsid w:val="00577B93"/>
    <w:rPr>
      <w:rFonts w:cstheme="majorBidi"/>
      <w:color w:val="0F4761" w:themeColor="accent1" w:themeShade="BF"/>
      <w:sz w:val="28"/>
      <w:szCs w:val="28"/>
    </w:rPr>
  </w:style>
  <w:style w:type="character" w:customStyle="1" w:styleId="50">
    <w:name w:val="标题 5 字符"/>
    <w:basedOn w:val="a0"/>
    <w:link w:val="5"/>
    <w:uiPriority w:val="9"/>
    <w:semiHidden/>
    <w:rsid w:val="00577B93"/>
    <w:rPr>
      <w:rFonts w:cstheme="majorBidi"/>
      <w:color w:val="0F4761" w:themeColor="accent1" w:themeShade="BF"/>
      <w:sz w:val="24"/>
    </w:rPr>
  </w:style>
  <w:style w:type="character" w:customStyle="1" w:styleId="60">
    <w:name w:val="标题 6 字符"/>
    <w:basedOn w:val="a0"/>
    <w:link w:val="6"/>
    <w:uiPriority w:val="9"/>
    <w:semiHidden/>
    <w:rsid w:val="00577B93"/>
    <w:rPr>
      <w:rFonts w:cstheme="majorBidi"/>
      <w:b/>
      <w:bCs/>
      <w:color w:val="0F4761" w:themeColor="accent1" w:themeShade="BF"/>
    </w:rPr>
  </w:style>
  <w:style w:type="character" w:customStyle="1" w:styleId="70">
    <w:name w:val="标题 7 字符"/>
    <w:basedOn w:val="a0"/>
    <w:link w:val="7"/>
    <w:uiPriority w:val="9"/>
    <w:semiHidden/>
    <w:rsid w:val="00577B93"/>
    <w:rPr>
      <w:rFonts w:cstheme="majorBidi"/>
      <w:b/>
      <w:bCs/>
      <w:color w:val="595959" w:themeColor="text1" w:themeTint="A6"/>
    </w:rPr>
  </w:style>
  <w:style w:type="character" w:customStyle="1" w:styleId="80">
    <w:name w:val="标题 8 字符"/>
    <w:basedOn w:val="a0"/>
    <w:link w:val="8"/>
    <w:uiPriority w:val="9"/>
    <w:semiHidden/>
    <w:rsid w:val="00577B93"/>
    <w:rPr>
      <w:rFonts w:cstheme="majorBidi"/>
      <w:color w:val="595959" w:themeColor="text1" w:themeTint="A6"/>
    </w:rPr>
  </w:style>
  <w:style w:type="character" w:customStyle="1" w:styleId="90">
    <w:name w:val="标题 9 字符"/>
    <w:basedOn w:val="a0"/>
    <w:link w:val="9"/>
    <w:uiPriority w:val="9"/>
    <w:semiHidden/>
    <w:rsid w:val="00577B93"/>
    <w:rPr>
      <w:rFonts w:eastAsiaTheme="majorEastAsia" w:cstheme="majorBidi"/>
      <w:color w:val="595959" w:themeColor="text1" w:themeTint="A6"/>
    </w:rPr>
  </w:style>
  <w:style w:type="paragraph" w:styleId="a3">
    <w:name w:val="Title"/>
    <w:basedOn w:val="a"/>
    <w:next w:val="a"/>
    <w:link w:val="a4"/>
    <w:uiPriority w:val="10"/>
    <w:qFormat/>
    <w:rsid w:val="00577B93"/>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577B9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77B93"/>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577B9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77B93"/>
    <w:pPr>
      <w:spacing w:before="160"/>
      <w:jc w:val="center"/>
    </w:pPr>
    <w:rPr>
      <w:i/>
      <w:iCs/>
      <w:color w:val="404040" w:themeColor="text1" w:themeTint="BF"/>
    </w:rPr>
  </w:style>
  <w:style w:type="character" w:customStyle="1" w:styleId="a8">
    <w:name w:val="引用 字符"/>
    <w:basedOn w:val="a0"/>
    <w:link w:val="a7"/>
    <w:uiPriority w:val="29"/>
    <w:rsid w:val="00577B93"/>
    <w:rPr>
      <w:i/>
      <w:iCs/>
      <w:color w:val="404040" w:themeColor="text1" w:themeTint="BF"/>
    </w:rPr>
  </w:style>
  <w:style w:type="paragraph" w:styleId="a9">
    <w:name w:val="List Paragraph"/>
    <w:basedOn w:val="a"/>
    <w:uiPriority w:val="34"/>
    <w:qFormat/>
    <w:rsid w:val="00577B93"/>
    <w:pPr>
      <w:ind w:left="720"/>
      <w:contextualSpacing/>
    </w:pPr>
  </w:style>
  <w:style w:type="character" w:styleId="aa">
    <w:name w:val="Intense Emphasis"/>
    <w:basedOn w:val="a0"/>
    <w:uiPriority w:val="21"/>
    <w:qFormat/>
    <w:rsid w:val="00577B93"/>
    <w:rPr>
      <w:i/>
      <w:iCs/>
      <w:color w:val="0F4761" w:themeColor="accent1" w:themeShade="BF"/>
    </w:rPr>
  </w:style>
  <w:style w:type="paragraph" w:styleId="ab">
    <w:name w:val="Intense Quote"/>
    <w:basedOn w:val="a"/>
    <w:next w:val="a"/>
    <w:link w:val="ac"/>
    <w:uiPriority w:val="30"/>
    <w:qFormat/>
    <w:rsid w:val="00577B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577B93"/>
    <w:rPr>
      <w:i/>
      <w:iCs/>
      <w:color w:val="0F4761" w:themeColor="accent1" w:themeShade="BF"/>
    </w:rPr>
  </w:style>
  <w:style w:type="character" w:styleId="ad">
    <w:name w:val="Intense Reference"/>
    <w:basedOn w:val="a0"/>
    <w:uiPriority w:val="32"/>
    <w:qFormat/>
    <w:rsid w:val="00577B93"/>
    <w:rPr>
      <w:b/>
      <w:bCs/>
      <w:smallCaps/>
      <w:color w:val="0F4761" w:themeColor="accent1" w:themeShade="BF"/>
      <w:spacing w:val="5"/>
    </w:rPr>
  </w:style>
  <w:style w:type="table" w:styleId="-3">
    <w:name w:val="Light List Accent 3"/>
    <w:basedOn w:val="a1"/>
    <w:uiPriority w:val="61"/>
    <w:rsid w:val="00647934"/>
    <w:pPr>
      <w:spacing w:after="0" w:line="240" w:lineRule="auto"/>
    </w:pPr>
    <w:rPr>
      <w:kern w:val="0"/>
      <w:szCs w:val="22"/>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character" w:styleId="ae">
    <w:name w:val="Hyperlink"/>
    <w:basedOn w:val="a0"/>
    <w:uiPriority w:val="99"/>
    <w:unhideWhenUsed/>
    <w:rsid w:val="00B82A3C"/>
    <w:rPr>
      <w:color w:val="467886" w:themeColor="hyperlink"/>
      <w:u w:val="single"/>
    </w:rPr>
  </w:style>
  <w:style w:type="character" w:styleId="af">
    <w:name w:val="Unresolved Mention"/>
    <w:basedOn w:val="a0"/>
    <w:uiPriority w:val="99"/>
    <w:semiHidden/>
    <w:unhideWhenUsed/>
    <w:rsid w:val="00B82A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uides.lib.uh.edu/reviews/narrative" TargetMode="External"/><Relationship Id="rId5" Type="http://schemas.openxmlformats.org/officeDocument/2006/relationships/hyperlink" Target="https://guides.himmelfarb.gwu.edu/Nursing/phd-scoping-reviews"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20</TotalTime>
  <Pages>6</Pages>
  <Words>1734</Words>
  <Characters>10441</Characters>
  <Application>Microsoft Office Word</Application>
  <DocSecurity>0</DocSecurity>
  <Lines>204</Lines>
  <Paragraphs>70</Paragraphs>
  <ScaleCrop>false</ScaleCrop>
  <Company/>
  <LinksUpToDate>false</LinksUpToDate>
  <CharactersWithSpaces>12105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Guangzheng Wu (2501013)</dc:creator>
  <cp:keywords/>
  <dc:description/>
  <cp:lastModifiedBy>Guangzheng Wu (2501013)</cp:lastModifiedBy>
  <cp:revision>4</cp:revision>
  <dcterms:created xsi:type="dcterms:W3CDTF">2026-07-13T15:10:00Z</dcterms:created>
  <dcterms:modified xsi:type="dcterms:W3CDTF">2026-07-13T16:13:00Z</dcterms:modified>
</cp:coreProperties>
</file>