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42FC" w:rsidRDefault="009042FC">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
      <w:sdtPr>
        <w:id w:val="1620075597"/>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D20297" w:rsidRPr="00D20297" w:rsidRDefault="00D20297">
          <w:pPr>
            <w:pStyle w:val="TOCHeading"/>
            <w:rPr>
              <w:rFonts w:ascii="Times New Roman" w:hAnsi="Times New Roman" w:cs="Times New Roman"/>
              <w:sz w:val="24"/>
              <w:szCs w:val="24"/>
            </w:rPr>
          </w:pPr>
          <w:r w:rsidRPr="00D20297">
            <w:rPr>
              <w:rFonts w:ascii="Times New Roman" w:hAnsi="Times New Roman" w:cs="Times New Roman"/>
              <w:sz w:val="24"/>
              <w:szCs w:val="24"/>
            </w:rPr>
            <w:t>Table of Contents</w:t>
          </w:r>
        </w:p>
        <w:p w:rsidR="00D20297" w:rsidRPr="00D20297" w:rsidRDefault="00D20297">
          <w:pPr>
            <w:pStyle w:val="TOC1"/>
            <w:tabs>
              <w:tab w:val="right" w:leader="dot" w:pos="9350"/>
            </w:tabs>
            <w:rPr>
              <w:rFonts w:ascii="Times New Roman" w:hAnsi="Times New Roman" w:cs="Times New Roman"/>
              <w:noProof/>
              <w:sz w:val="24"/>
              <w:szCs w:val="24"/>
            </w:rPr>
          </w:pPr>
          <w:r w:rsidRPr="00D20297">
            <w:rPr>
              <w:rFonts w:ascii="Times New Roman" w:hAnsi="Times New Roman" w:cs="Times New Roman"/>
              <w:sz w:val="24"/>
              <w:szCs w:val="24"/>
            </w:rPr>
            <w:fldChar w:fldCharType="begin"/>
          </w:r>
          <w:r w:rsidRPr="00D20297">
            <w:rPr>
              <w:rFonts w:ascii="Times New Roman" w:hAnsi="Times New Roman" w:cs="Times New Roman"/>
              <w:sz w:val="24"/>
              <w:szCs w:val="24"/>
            </w:rPr>
            <w:instrText xml:space="preserve"> TOC \o "1-3" \h \z \u </w:instrText>
          </w:r>
          <w:r w:rsidRPr="00D20297">
            <w:rPr>
              <w:rFonts w:ascii="Times New Roman" w:hAnsi="Times New Roman" w:cs="Times New Roman"/>
              <w:sz w:val="24"/>
              <w:szCs w:val="24"/>
            </w:rPr>
            <w:fldChar w:fldCharType="separate"/>
          </w:r>
          <w:hyperlink w:anchor="_Toc123847559" w:history="1">
            <w:r w:rsidRPr="00D20297">
              <w:rPr>
                <w:rStyle w:val="Hyperlink"/>
                <w:rFonts w:ascii="Times New Roman" w:hAnsi="Times New Roman" w:cs="Times New Roman"/>
                <w:noProof/>
                <w:sz w:val="24"/>
                <w:szCs w:val="24"/>
              </w:rPr>
              <w:t>Part a</w:t>
            </w:r>
            <w:r w:rsidRPr="00D20297">
              <w:rPr>
                <w:rFonts w:ascii="Times New Roman" w:hAnsi="Times New Roman" w:cs="Times New Roman"/>
                <w:noProof/>
                <w:webHidden/>
                <w:sz w:val="24"/>
                <w:szCs w:val="24"/>
              </w:rPr>
              <w:tab/>
            </w:r>
            <w:r w:rsidRPr="00D20297">
              <w:rPr>
                <w:rFonts w:ascii="Times New Roman" w:hAnsi="Times New Roman" w:cs="Times New Roman"/>
                <w:noProof/>
                <w:webHidden/>
                <w:sz w:val="24"/>
                <w:szCs w:val="24"/>
              </w:rPr>
              <w:fldChar w:fldCharType="begin"/>
            </w:r>
            <w:r w:rsidRPr="00D20297">
              <w:rPr>
                <w:rFonts w:ascii="Times New Roman" w:hAnsi="Times New Roman" w:cs="Times New Roman"/>
                <w:noProof/>
                <w:webHidden/>
                <w:sz w:val="24"/>
                <w:szCs w:val="24"/>
              </w:rPr>
              <w:instrText xml:space="preserve"> PAGEREF _Toc123847559 \h </w:instrText>
            </w:r>
            <w:r w:rsidRPr="00D20297">
              <w:rPr>
                <w:rFonts w:ascii="Times New Roman" w:hAnsi="Times New Roman" w:cs="Times New Roman"/>
                <w:noProof/>
                <w:webHidden/>
                <w:sz w:val="24"/>
                <w:szCs w:val="24"/>
              </w:rPr>
            </w:r>
            <w:r w:rsidRPr="00D20297">
              <w:rPr>
                <w:rFonts w:ascii="Times New Roman" w:hAnsi="Times New Roman" w:cs="Times New Roman"/>
                <w:noProof/>
                <w:webHidden/>
                <w:sz w:val="24"/>
                <w:szCs w:val="24"/>
              </w:rPr>
              <w:fldChar w:fldCharType="separate"/>
            </w:r>
            <w:r w:rsidRPr="00D20297">
              <w:rPr>
                <w:rFonts w:ascii="Times New Roman" w:hAnsi="Times New Roman" w:cs="Times New Roman"/>
                <w:noProof/>
                <w:webHidden/>
                <w:sz w:val="24"/>
                <w:szCs w:val="24"/>
              </w:rPr>
              <w:t>2</w:t>
            </w:r>
            <w:r w:rsidRPr="00D20297">
              <w:rPr>
                <w:rFonts w:ascii="Times New Roman" w:hAnsi="Times New Roman" w:cs="Times New Roman"/>
                <w:noProof/>
                <w:webHidden/>
                <w:sz w:val="24"/>
                <w:szCs w:val="24"/>
              </w:rPr>
              <w:fldChar w:fldCharType="end"/>
            </w:r>
          </w:hyperlink>
        </w:p>
        <w:p w:rsidR="00D20297" w:rsidRPr="00D20297" w:rsidRDefault="00D20297">
          <w:pPr>
            <w:pStyle w:val="TOC1"/>
            <w:tabs>
              <w:tab w:val="right" w:leader="dot" w:pos="9350"/>
            </w:tabs>
            <w:rPr>
              <w:rFonts w:ascii="Times New Roman" w:hAnsi="Times New Roman" w:cs="Times New Roman"/>
              <w:noProof/>
              <w:sz w:val="24"/>
              <w:szCs w:val="24"/>
            </w:rPr>
          </w:pPr>
          <w:hyperlink w:anchor="_Toc123847560" w:history="1">
            <w:r w:rsidRPr="00D20297">
              <w:rPr>
                <w:rStyle w:val="Hyperlink"/>
                <w:rFonts w:ascii="Times New Roman" w:hAnsi="Times New Roman" w:cs="Times New Roman"/>
                <w:noProof/>
                <w:sz w:val="24"/>
                <w:szCs w:val="24"/>
              </w:rPr>
              <w:t>Part b</w:t>
            </w:r>
            <w:r w:rsidRPr="00D20297">
              <w:rPr>
                <w:rFonts w:ascii="Times New Roman" w:hAnsi="Times New Roman" w:cs="Times New Roman"/>
                <w:noProof/>
                <w:webHidden/>
                <w:sz w:val="24"/>
                <w:szCs w:val="24"/>
              </w:rPr>
              <w:tab/>
            </w:r>
            <w:r w:rsidRPr="00D20297">
              <w:rPr>
                <w:rFonts w:ascii="Times New Roman" w:hAnsi="Times New Roman" w:cs="Times New Roman"/>
                <w:noProof/>
                <w:webHidden/>
                <w:sz w:val="24"/>
                <w:szCs w:val="24"/>
              </w:rPr>
              <w:fldChar w:fldCharType="begin"/>
            </w:r>
            <w:r w:rsidRPr="00D20297">
              <w:rPr>
                <w:rFonts w:ascii="Times New Roman" w:hAnsi="Times New Roman" w:cs="Times New Roman"/>
                <w:noProof/>
                <w:webHidden/>
                <w:sz w:val="24"/>
                <w:szCs w:val="24"/>
              </w:rPr>
              <w:instrText xml:space="preserve"> PAGEREF _Toc123847560 \h </w:instrText>
            </w:r>
            <w:r w:rsidRPr="00D20297">
              <w:rPr>
                <w:rFonts w:ascii="Times New Roman" w:hAnsi="Times New Roman" w:cs="Times New Roman"/>
                <w:noProof/>
                <w:webHidden/>
                <w:sz w:val="24"/>
                <w:szCs w:val="24"/>
              </w:rPr>
            </w:r>
            <w:r w:rsidRPr="00D20297">
              <w:rPr>
                <w:rFonts w:ascii="Times New Roman" w:hAnsi="Times New Roman" w:cs="Times New Roman"/>
                <w:noProof/>
                <w:webHidden/>
                <w:sz w:val="24"/>
                <w:szCs w:val="24"/>
              </w:rPr>
              <w:fldChar w:fldCharType="separate"/>
            </w:r>
            <w:r w:rsidRPr="00D20297">
              <w:rPr>
                <w:rFonts w:ascii="Times New Roman" w:hAnsi="Times New Roman" w:cs="Times New Roman"/>
                <w:noProof/>
                <w:webHidden/>
                <w:sz w:val="24"/>
                <w:szCs w:val="24"/>
              </w:rPr>
              <w:t>4</w:t>
            </w:r>
            <w:r w:rsidRPr="00D20297">
              <w:rPr>
                <w:rFonts w:ascii="Times New Roman" w:hAnsi="Times New Roman" w:cs="Times New Roman"/>
                <w:noProof/>
                <w:webHidden/>
                <w:sz w:val="24"/>
                <w:szCs w:val="24"/>
              </w:rPr>
              <w:fldChar w:fldCharType="end"/>
            </w:r>
          </w:hyperlink>
        </w:p>
        <w:p w:rsidR="00D20297" w:rsidRPr="00D20297" w:rsidRDefault="00D20297">
          <w:pPr>
            <w:pStyle w:val="TOC1"/>
            <w:tabs>
              <w:tab w:val="right" w:leader="dot" w:pos="9350"/>
            </w:tabs>
            <w:rPr>
              <w:rFonts w:ascii="Times New Roman" w:hAnsi="Times New Roman" w:cs="Times New Roman"/>
              <w:noProof/>
              <w:sz w:val="24"/>
              <w:szCs w:val="24"/>
            </w:rPr>
          </w:pPr>
          <w:hyperlink w:anchor="_Toc123847561" w:history="1">
            <w:r w:rsidRPr="00D20297">
              <w:rPr>
                <w:rStyle w:val="Hyperlink"/>
                <w:rFonts w:ascii="Times New Roman" w:hAnsi="Times New Roman" w:cs="Times New Roman"/>
                <w:noProof/>
                <w:sz w:val="24"/>
                <w:szCs w:val="24"/>
              </w:rPr>
              <w:t>References</w:t>
            </w:r>
            <w:r w:rsidRPr="00D20297">
              <w:rPr>
                <w:rFonts w:ascii="Times New Roman" w:hAnsi="Times New Roman" w:cs="Times New Roman"/>
                <w:noProof/>
                <w:webHidden/>
                <w:sz w:val="24"/>
                <w:szCs w:val="24"/>
              </w:rPr>
              <w:tab/>
            </w:r>
            <w:r w:rsidRPr="00D20297">
              <w:rPr>
                <w:rFonts w:ascii="Times New Roman" w:hAnsi="Times New Roman" w:cs="Times New Roman"/>
                <w:noProof/>
                <w:webHidden/>
                <w:sz w:val="24"/>
                <w:szCs w:val="24"/>
              </w:rPr>
              <w:fldChar w:fldCharType="begin"/>
            </w:r>
            <w:r w:rsidRPr="00D20297">
              <w:rPr>
                <w:rFonts w:ascii="Times New Roman" w:hAnsi="Times New Roman" w:cs="Times New Roman"/>
                <w:noProof/>
                <w:webHidden/>
                <w:sz w:val="24"/>
                <w:szCs w:val="24"/>
              </w:rPr>
              <w:instrText xml:space="preserve"> PAGEREF _Toc123847561 \h </w:instrText>
            </w:r>
            <w:r w:rsidRPr="00D20297">
              <w:rPr>
                <w:rFonts w:ascii="Times New Roman" w:hAnsi="Times New Roman" w:cs="Times New Roman"/>
                <w:noProof/>
                <w:webHidden/>
                <w:sz w:val="24"/>
                <w:szCs w:val="24"/>
              </w:rPr>
            </w:r>
            <w:r w:rsidRPr="00D20297">
              <w:rPr>
                <w:rFonts w:ascii="Times New Roman" w:hAnsi="Times New Roman" w:cs="Times New Roman"/>
                <w:noProof/>
                <w:webHidden/>
                <w:sz w:val="24"/>
                <w:szCs w:val="24"/>
              </w:rPr>
              <w:fldChar w:fldCharType="separate"/>
            </w:r>
            <w:r w:rsidRPr="00D20297">
              <w:rPr>
                <w:rFonts w:ascii="Times New Roman" w:hAnsi="Times New Roman" w:cs="Times New Roman"/>
                <w:noProof/>
                <w:webHidden/>
                <w:sz w:val="24"/>
                <w:szCs w:val="24"/>
              </w:rPr>
              <w:t>6</w:t>
            </w:r>
            <w:r w:rsidRPr="00D20297">
              <w:rPr>
                <w:rFonts w:ascii="Times New Roman" w:hAnsi="Times New Roman" w:cs="Times New Roman"/>
                <w:noProof/>
                <w:webHidden/>
                <w:sz w:val="24"/>
                <w:szCs w:val="24"/>
              </w:rPr>
              <w:fldChar w:fldCharType="end"/>
            </w:r>
          </w:hyperlink>
        </w:p>
        <w:p w:rsidR="00D20297" w:rsidRDefault="00D20297">
          <w:r w:rsidRPr="00D20297">
            <w:rPr>
              <w:rFonts w:ascii="Times New Roman" w:hAnsi="Times New Roman" w:cs="Times New Roman"/>
              <w:sz w:val="24"/>
              <w:szCs w:val="24"/>
            </w:rPr>
            <w:fldChar w:fldCharType="end"/>
          </w:r>
        </w:p>
      </w:sdtContent>
    </w:sdt>
    <w:p w:rsidR="00D20297" w:rsidRDefault="00D20297" w:rsidP="009042FC">
      <w:pPr>
        <w:pStyle w:val="Heading1"/>
        <w:spacing w:line="360" w:lineRule="auto"/>
        <w:jc w:val="both"/>
        <w:rPr>
          <w:rFonts w:ascii="Times New Roman" w:hAnsi="Times New Roman" w:cs="Times New Roman"/>
          <w:sz w:val="24"/>
          <w:szCs w:val="24"/>
        </w:rPr>
      </w:pPr>
    </w:p>
    <w:p w:rsidR="00D20297" w:rsidRDefault="00D20297">
      <w:pPr>
        <w:rPr>
          <w:rFonts w:ascii="Times New Roman" w:eastAsiaTheme="majorEastAsia" w:hAnsi="Times New Roman" w:cs="Times New Roman"/>
          <w:b/>
          <w:bCs/>
          <w:color w:val="365F91" w:themeColor="accent1" w:themeShade="BF"/>
          <w:sz w:val="24"/>
          <w:szCs w:val="24"/>
        </w:rPr>
      </w:pPr>
      <w:bookmarkStart w:id="0" w:name="_Toc123847559"/>
      <w:r>
        <w:rPr>
          <w:rFonts w:ascii="Times New Roman" w:hAnsi="Times New Roman" w:cs="Times New Roman"/>
          <w:sz w:val="24"/>
          <w:szCs w:val="24"/>
        </w:rPr>
        <w:br w:type="page"/>
      </w:r>
    </w:p>
    <w:p w:rsidR="009042FC" w:rsidRPr="009042FC" w:rsidRDefault="009042FC" w:rsidP="009042FC">
      <w:pPr>
        <w:pStyle w:val="Heading1"/>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lastRenderedPageBreak/>
        <w:t>Part a</w:t>
      </w:r>
      <w:bookmarkEnd w:id="0"/>
    </w:p>
    <w:p w:rsidR="00426CB6" w:rsidRPr="009042FC" w:rsidRDefault="00426CB6"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In the present scenario it has been found that, hadley has arrived at Ronan’s house to steal his Bucci trainers. Haley also tress passes into the dwelling house of Ronan when the later was not present, then Hadley stole the Kolex watch belonged to Ronan which was there inside the dressing room of Ronan and then he poured after shave in the bin and set it on fire to cause damage to the property. The issue in this scenario is to determine the offences for which Haldey will be criminally liable.</w:t>
      </w:r>
    </w:p>
    <w:p w:rsidR="00426CB6" w:rsidRPr="009042FC" w:rsidRDefault="00426CB6"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According to section 9(1) of the Theft Act 1968m a person will be considered as guilty for burglary if it is found that he enters into any building or part of a building in the form of a trespasser and he has the intention to commit any offence as provided in section 9(2) of the Act. Section 9(2) of</w:t>
      </w:r>
      <w:r w:rsidR="00E00010" w:rsidRPr="009042FC">
        <w:rPr>
          <w:rFonts w:ascii="Times New Roman" w:hAnsi="Times New Roman" w:cs="Times New Roman"/>
          <w:sz w:val="24"/>
          <w:szCs w:val="24"/>
        </w:rPr>
        <w:t xml:space="preserve"> the Theft Act 1968 states that, those offences can be stealing anything in the building or part of the building or inflicting any grievous bodily harm to any person present in the </w:t>
      </w:r>
      <w:r w:rsidR="009042FC" w:rsidRPr="009042FC">
        <w:rPr>
          <w:rFonts w:ascii="Times New Roman" w:hAnsi="Times New Roman" w:cs="Times New Roman"/>
          <w:sz w:val="24"/>
          <w:szCs w:val="24"/>
        </w:rPr>
        <w:t>building or</w:t>
      </w:r>
      <w:r w:rsidR="00E00010" w:rsidRPr="009042FC">
        <w:rPr>
          <w:rFonts w:ascii="Times New Roman" w:hAnsi="Times New Roman" w:cs="Times New Roman"/>
          <w:sz w:val="24"/>
          <w:szCs w:val="24"/>
        </w:rPr>
        <w:t xml:space="preserve"> doing any damage which is unlawful in nature to the building or anything therein. </w:t>
      </w:r>
    </w:p>
    <w:p w:rsidR="00E00010" w:rsidRPr="009042FC" w:rsidRDefault="00E00010"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 xml:space="preserve">There are multiple </w:t>
      </w:r>
      <w:r w:rsidR="009042FC" w:rsidRPr="009042FC">
        <w:rPr>
          <w:rFonts w:ascii="Times New Roman" w:hAnsi="Times New Roman" w:cs="Times New Roman"/>
          <w:sz w:val="24"/>
          <w:szCs w:val="24"/>
        </w:rPr>
        <w:t>elements of Burglary that must b</w:t>
      </w:r>
      <w:r w:rsidRPr="009042FC">
        <w:rPr>
          <w:rFonts w:ascii="Times New Roman" w:hAnsi="Times New Roman" w:cs="Times New Roman"/>
          <w:sz w:val="24"/>
          <w:szCs w:val="24"/>
        </w:rPr>
        <w:t>e established in order to determine the criminal liability. These include the following:</w:t>
      </w:r>
    </w:p>
    <w:p w:rsidR="00E00010" w:rsidRPr="009042FC" w:rsidRDefault="00E00010"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Entry:</w:t>
      </w:r>
    </w:p>
    <w:p w:rsidR="00E00010" w:rsidRPr="009042FC" w:rsidRDefault="00E00010"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It is important to establish that the defaulter has entered in the building or entered any part of his body into the building. In both the cases, the act will be considered as burglary, it was held in the case of R v Brown (Vincent) (1985) Crim L.R. 212.</w:t>
      </w:r>
    </w:p>
    <w:p w:rsidR="00E00010" w:rsidRPr="009042FC" w:rsidRDefault="00E00010"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Building:</w:t>
      </w:r>
    </w:p>
    <w:p w:rsidR="00E00010" w:rsidRPr="009042FC" w:rsidRDefault="00E00010"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The second important element is that there must be a building, where the defaulter has trespassed into. According to the provisions of section 9(4) of the Theft Act 1968, inhibited vehicles and vessels are also to be considered as buildings.</w:t>
      </w:r>
    </w:p>
    <w:p w:rsidR="00E00010" w:rsidRPr="009042FC" w:rsidRDefault="00E00010"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Trespasser:</w:t>
      </w:r>
    </w:p>
    <w:p w:rsidR="00E00010" w:rsidRPr="009042FC" w:rsidRDefault="00E00010" w:rsidP="009042FC">
      <w:pPr>
        <w:spacing w:line="360" w:lineRule="auto"/>
        <w:jc w:val="both"/>
        <w:rPr>
          <w:rStyle w:val="Emphasis"/>
          <w:rFonts w:ascii="Times New Roman" w:hAnsi="Times New Roman" w:cs="Times New Roman"/>
          <w:i w:val="0"/>
          <w:sz w:val="24"/>
          <w:szCs w:val="24"/>
          <w:shd w:val="clear" w:color="auto" w:fill="FFFFFF"/>
        </w:rPr>
      </w:pPr>
      <w:r w:rsidRPr="009042FC">
        <w:rPr>
          <w:rFonts w:ascii="Times New Roman" w:hAnsi="Times New Roman" w:cs="Times New Roman"/>
          <w:sz w:val="24"/>
          <w:szCs w:val="24"/>
        </w:rPr>
        <w:t xml:space="preserve">It must be established that the defaulter has trespassed into the building. In this regards it is important consider that, in order to establish trespassing, it must be proven that the trespasser was well aware about the fact while committing the offence of trespassing. It was found in the </w:t>
      </w:r>
      <w:r w:rsidRPr="009042FC">
        <w:rPr>
          <w:rFonts w:ascii="Times New Roman" w:hAnsi="Times New Roman" w:cs="Times New Roman"/>
          <w:sz w:val="24"/>
          <w:szCs w:val="24"/>
        </w:rPr>
        <w:lastRenderedPageBreak/>
        <w:t xml:space="preserve">case of </w:t>
      </w:r>
      <w:r w:rsidRPr="009042FC">
        <w:rPr>
          <w:rStyle w:val="Emphasis"/>
          <w:rFonts w:ascii="Times New Roman" w:hAnsi="Times New Roman" w:cs="Times New Roman"/>
          <w:color w:val="444444"/>
          <w:sz w:val="24"/>
          <w:szCs w:val="24"/>
          <w:shd w:val="clear" w:color="auto" w:fill="FFFFFF"/>
        </w:rPr>
        <w:t xml:space="preserve">R v Jones [1976] 3 All ER 54, </w:t>
      </w:r>
      <w:r w:rsidRPr="009042FC">
        <w:rPr>
          <w:rStyle w:val="Emphasis"/>
          <w:rFonts w:ascii="Times New Roman" w:hAnsi="Times New Roman" w:cs="Times New Roman"/>
          <w:i w:val="0"/>
          <w:sz w:val="24"/>
          <w:szCs w:val="24"/>
          <w:shd w:val="clear" w:color="auto" w:fill="FFFFFF"/>
        </w:rPr>
        <w:t>where the defendant entered into his father’s to steal two television sets, was considered as trespassing although he had a general permission from his father to enter into the house. This was held because the defaulter did not have the permission to enter into the house for stealing.</w:t>
      </w:r>
    </w:p>
    <w:p w:rsidR="00E00010" w:rsidRPr="009042FC" w:rsidRDefault="0039282B"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Steal:</w:t>
      </w:r>
    </w:p>
    <w:p w:rsidR="00A0723A" w:rsidRPr="009042FC" w:rsidRDefault="0039282B"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This is an important element. If it is found that the burglary has been committed on the basis of stealing of anything in the building, then it will be necessary to establish the elements of theft, as provided in the section 1 of the Theft Act 1968. According to section 1 of the Theft Act 1968, the term theft is regarded as dishonest appropriation of property belonging to another with an intention to primarily deprive of the other for it.</w:t>
      </w:r>
      <w:r w:rsidR="00A0723A" w:rsidRPr="009042FC">
        <w:rPr>
          <w:rFonts w:ascii="Times New Roman" w:hAnsi="Times New Roman" w:cs="Times New Roman"/>
          <w:sz w:val="24"/>
          <w:szCs w:val="24"/>
        </w:rPr>
        <w:t xml:space="preserve"> </w:t>
      </w:r>
    </w:p>
    <w:p w:rsidR="00E725FC" w:rsidRPr="009042FC" w:rsidRDefault="00A0723A"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In the present scenario, it has been found that Hadley has trespassed into the building of Ronan. Hadley has entered into the building without the permission of Ronan and with an intention to theft. Therefore, he will be criminally liable for the act of trespassing into the building of Ronan. Hadley has stolen the Kolex watch belonging to Ronen, this can be considered as a dishonest appropriation of property belonging to Ronan with an intention to primarily deprive off the other for the same. This also amounts to a criminal offence. Lastly, Hadley has poured aftershave in the bin of the dressing room inside the building and set fire on it to intentionally damage the property, therefore, this can be considered as a case of criminal damage caused to the property, which is provided in section 9(2) of the Theft Act 1968. Therefore, this can also be regarded as a criminal offence.</w:t>
      </w:r>
    </w:p>
    <w:p w:rsidR="00A0723A" w:rsidRPr="009042FC" w:rsidRDefault="00A0723A"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Considering the above scenario, all the acts committed by Hadley, namely, trespassing in the building belonging to the Ronan, with an intention to steal things, which is the watch of Ronan and causing criminal damage to the building of Ronan, these all amounts to acts which can create criminal liability against Hadley.</w:t>
      </w:r>
    </w:p>
    <w:p w:rsidR="00A0723A" w:rsidRPr="009042FC" w:rsidRDefault="00622D3E" w:rsidP="009042FC">
      <w:pPr>
        <w:pStyle w:val="Heading1"/>
        <w:spacing w:line="360" w:lineRule="auto"/>
        <w:jc w:val="both"/>
        <w:rPr>
          <w:rFonts w:ascii="Times New Roman" w:hAnsi="Times New Roman" w:cs="Times New Roman"/>
          <w:sz w:val="24"/>
          <w:szCs w:val="24"/>
        </w:rPr>
      </w:pPr>
      <w:bookmarkStart w:id="1" w:name="_Toc123847560"/>
      <w:r w:rsidRPr="009042FC">
        <w:rPr>
          <w:rFonts w:ascii="Times New Roman" w:hAnsi="Times New Roman" w:cs="Times New Roman"/>
          <w:sz w:val="24"/>
          <w:szCs w:val="24"/>
        </w:rPr>
        <w:t>Part b</w:t>
      </w:r>
      <w:bookmarkEnd w:id="1"/>
    </w:p>
    <w:p w:rsidR="00622D3E" w:rsidRPr="009042FC" w:rsidRDefault="00622D3E"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 xml:space="preserve">In the present case, it has been found that Freya was diagnosed when she was a child with epilepsy, however, she has not experienced any seizure for the last ten years, as a result of that she stopped taking medication for epilepsy. However, she was aware about the fact gat she was </w:t>
      </w:r>
      <w:r w:rsidRPr="009042FC">
        <w:rPr>
          <w:rFonts w:ascii="Times New Roman" w:hAnsi="Times New Roman" w:cs="Times New Roman"/>
          <w:sz w:val="24"/>
          <w:szCs w:val="24"/>
        </w:rPr>
        <w:lastRenderedPageBreak/>
        <w:t>diagnosed with epilepsy. She drank considerable amount of alocohol with her friend Nickey at the foam party and when she returned she started vomiting, eventually she had a seizure. When her friend Nicki found her in such condition, she called Mike for help. As Mike tried to help Freya, she punched Mike in the face causing Mike to have a black eye. However, Freya was in the state of seizure when she punched Mike. The issue in this case is to determine whether Freya can take the defences of intoxication and automatism if she is charged und</w:t>
      </w:r>
      <w:r w:rsidR="009042FC" w:rsidRPr="009042FC">
        <w:rPr>
          <w:rFonts w:ascii="Times New Roman" w:hAnsi="Times New Roman" w:cs="Times New Roman"/>
          <w:sz w:val="24"/>
          <w:szCs w:val="24"/>
        </w:rPr>
        <w:t>e</w:t>
      </w:r>
      <w:r w:rsidRPr="009042FC">
        <w:rPr>
          <w:rFonts w:ascii="Times New Roman" w:hAnsi="Times New Roman" w:cs="Times New Roman"/>
          <w:sz w:val="24"/>
          <w:szCs w:val="24"/>
        </w:rPr>
        <w:t xml:space="preserve">r section 47 of the Offence Against Person Act 1861. </w:t>
      </w:r>
    </w:p>
    <w:p w:rsidR="00622D3E" w:rsidRPr="009042FC" w:rsidRDefault="00622D3E"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Section 47 of the OAPA 1</w:t>
      </w:r>
      <w:r w:rsidR="00655862" w:rsidRPr="009042FC">
        <w:rPr>
          <w:rFonts w:ascii="Times New Roman" w:hAnsi="Times New Roman" w:cs="Times New Roman"/>
          <w:sz w:val="24"/>
          <w:szCs w:val="24"/>
        </w:rPr>
        <w:t>861 call</w:t>
      </w:r>
      <w:r w:rsidRPr="009042FC">
        <w:rPr>
          <w:rFonts w:ascii="Times New Roman" w:hAnsi="Times New Roman" w:cs="Times New Roman"/>
          <w:sz w:val="24"/>
          <w:szCs w:val="24"/>
        </w:rPr>
        <w:t xml:space="preserve"> for offence of assault occasioning bodily harm (ABH)</w:t>
      </w:r>
      <w:r w:rsidR="00655862" w:rsidRPr="009042FC">
        <w:rPr>
          <w:rFonts w:ascii="Times New Roman" w:hAnsi="Times New Roman" w:cs="Times New Roman"/>
          <w:sz w:val="24"/>
          <w:szCs w:val="24"/>
        </w:rPr>
        <w:t>, according tot eh provisions of this section, if any person is convicted upon an indictment of any assault occasioning any bodily harm shall have the criminal liability under this section and such individual should be imprisoned for not more than five years. The offence under this section of the OAPA 1861 is committed in the form of an assault or battery that can lead the victim to suffer from actual body harm. In the case of R v DPP (2003) it was found that the defendant kicked the appellant and as a result of that, the later lost consciousness, as a result of that, the court held the defendant of ABH.</w:t>
      </w:r>
    </w:p>
    <w:p w:rsidR="00655862" w:rsidRPr="009042FC" w:rsidRDefault="00655862"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There can be defences that the defendant can avail in order to protect himself/herself from the criminal liability. One of the defences is the defence of automatism. This option provides defence to the defendant, when he/she was not in a position to control his/her action or he/she was not aware about the action.</w:t>
      </w:r>
    </w:p>
    <w:p w:rsidR="00655862" w:rsidRPr="009042FC" w:rsidRDefault="00020032"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 xml:space="preserve">However, things change in case of self-induced automatism, this is considered as a situation, when the defendant was aware that his/her conduct would possible put him/her in an automatic state. For example, when an individual drinks alcohol by knowing that this can put him in a automatic state. The offences can be of basic and specific intent, the specific intent offences are those, which requires a specific intention or mens rea to commit a crime. On the other hand, the crimes of basic intent are of general criminal intent and there is no specific intention present.  ABH can be considered as a crime of basic intent and the defence of self-induced automatism cannot be considered for crimes of basic intent. If it is found that the self-induced automatic state of the defendant has been caused due to consumption of intoxicants, the same cannot be considered as a defence. It was stated in the case of DPP v Majewski (1977) that if the defendant was anware of the fact that the actions of him would likely put him in an self induced automatic </w:t>
      </w:r>
      <w:r w:rsidRPr="009042FC">
        <w:rPr>
          <w:rFonts w:ascii="Times New Roman" w:hAnsi="Times New Roman" w:cs="Times New Roman"/>
          <w:sz w:val="24"/>
          <w:szCs w:val="24"/>
        </w:rPr>
        <w:lastRenderedPageBreak/>
        <w:t xml:space="preserve">state, where he might commit an offence, then it will be considered that such individual was not reckless and hence the defence of automatism will be applicable. In the present case, Freya </w:t>
      </w:r>
      <w:r w:rsidR="00084AC2" w:rsidRPr="009042FC">
        <w:rPr>
          <w:rFonts w:ascii="Times New Roman" w:hAnsi="Times New Roman" w:cs="Times New Roman"/>
          <w:sz w:val="24"/>
          <w:szCs w:val="24"/>
        </w:rPr>
        <w:t>drank heavily on the foam party which caused her to enter into the state of automatism, therefore, it can be stated that this is a self induced automatism caused due to intoxication and Frey had been reckless. Therefore, it will not be possible for Freya to take defence of automaitsm</w:t>
      </w:r>
    </w:p>
    <w:p w:rsidR="00020032" w:rsidRPr="009042FC" w:rsidRDefault="00020032"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Considering defence of intoxication</w:t>
      </w:r>
      <w:r w:rsidR="00084AC2" w:rsidRPr="009042FC">
        <w:rPr>
          <w:rFonts w:ascii="Times New Roman" w:hAnsi="Times New Roman" w:cs="Times New Roman"/>
          <w:sz w:val="24"/>
          <w:szCs w:val="24"/>
        </w:rPr>
        <w:t xml:space="preserve">, it can be stated that, the case of Freya can be considered as voluntary intoxication as she was aware of the fact that drinking alcohol in a considerable volume can put her in a state of intoxication. And as it is also clear that the crime she committed of basic intent, therefore, she will not be able to avail the defence of intoxication, as voluntary intoxication in case of ABH, which is a crime of basic intent is not considered as a defence. Voluntary intoxication can be considered as a choice which has been made recklessly to become intoxicated and it is also assumed that defendant is aware of the risks. </w:t>
      </w:r>
    </w:p>
    <w:p w:rsidR="00084AC2" w:rsidRPr="009042FC" w:rsidRDefault="00084AC2"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Hence it is clear that Freya will not be able to avail the defences of automatism or intoxication if she is charged under section 47 of the OAPA 1861.</w:t>
      </w:r>
    </w:p>
    <w:p w:rsidR="009042FC" w:rsidRPr="009042FC" w:rsidRDefault="009042FC"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br w:type="page"/>
      </w:r>
    </w:p>
    <w:p w:rsidR="009042FC" w:rsidRPr="009042FC" w:rsidRDefault="009042FC" w:rsidP="009042FC">
      <w:pPr>
        <w:pStyle w:val="Heading1"/>
        <w:spacing w:line="360" w:lineRule="auto"/>
        <w:jc w:val="both"/>
        <w:rPr>
          <w:rFonts w:ascii="Times New Roman" w:hAnsi="Times New Roman" w:cs="Times New Roman"/>
          <w:sz w:val="24"/>
          <w:szCs w:val="24"/>
        </w:rPr>
      </w:pPr>
      <w:bookmarkStart w:id="2" w:name="_Toc123847561"/>
      <w:r w:rsidRPr="009042FC">
        <w:rPr>
          <w:rFonts w:ascii="Times New Roman" w:hAnsi="Times New Roman" w:cs="Times New Roman"/>
          <w:sz w:val="24"/>
          <w:szCs w:val="24"/>
        </w:rPr>
        <w:lastRenderedPageBreak/>
        <w:t>References</w:t>
      </w:r>
      <w:bookmarkEnd w:id="2"/>
    </w:p>
    <w:p w:rsidR="009042FC" w:rsidRPr="009042FC" w:rsidRDefault="009042FC"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Legislations:</w:t>
      </w:r>
    </w:p>
    <w:p w:rsidR="009042FC" w:rsidRPr="009042FC" w:rsidRDefault="009042FC"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The Theft Act 1968</w:t>
      </w:r>
    </w:p>
    <w:p w:rsidR="009042FC" w:rsidRPr="009042FC" w:rsidRDefault="009042FC"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OAPA 1861</w:t>
      </w:r>
    </w:p>
    <w:p w:rsidR="00084AC2" w:rsidRPr="009042FC" w:rsidRDefault="00084AC2"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Case laws:</w:t>
      </w:r>
    </w:p>
    <w:p w:rsidR="00084AC2" w:rsidRPr="009042FC" w:rsidRDefault="00084AC2"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DPP v Majewski (1977) ac 443</w:t>
      </w:r>
    </w:p>
    <w:p w:rsidR="00084AC2" w:rsidRPr="009042FC" w:rsidRDefault="00084AC2"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R v DPP (2003) EWHC 266</w:t>
      </w:r>
    </w:p>
    <w:p w:rsidR="009042FC" w:rsidRPr="009042FC" w:rsidRDefault="009042FC" w:rsidP="009042FC">
      <w:pPr>
        <w:spacing w:line="360" w:lineRule="auto"/>
        <w:jc w:val="both"/>
        <w:rPr>
          <w:rStyle w:val="Emphasis"/>
          <w:rFonts w:ascii="Times New Roman" w:hAnsi="Times New Roman" w:cs="Times New Roman"/>
          <w:color w:val="444444"/>
          <w:sz w:val="24"/>
          <w:szCs w:val="24"/>
          <w:shd w:val="clear" w:color="auto" w:fill="FFFFFF"/>
        </w:rPr>
      </w:pPr>
      <w:r w:rsidRPr="009042FC">
        <w:rPr>
          <w:rStyle w:val="Emphasis"/>
          <w:rFonts w:ascii="Times New Roman" w:hAnsi="Times New Roman" w:cs="Times New Roman"/>
          <w:color w:val="444444"/>
          <w:sz w:val="24"/>
          <w:szCs w:val="24"/>
          <w:shd w:val="clear" w:color="auto" w:fill="FFFFFF"/>
        </w:rPr>
        <w:t>R v Jones [1976] 3 All ER 54</w:t>
      </w:r>
    </w:p>
    <w:p w:rsidR="009042FC" w:rsidRPr="009042FC" w:rsidRDefault="009042FC" w:rsidP="009042FC">
      <w:pPr>
        <w:spacing w:line="360" w:lineRule="auto"/>
        <w:jc w:val="both"/>
        <w:rPr>
          <w:rFonts w:ascii="Times New Roman" w:hAnsi="Times New Roman" w:cs="Times New Roman"/>
          <w:sz w:val="24"/>
          <w:szCs w:val="24"/>
        </w:rPr>
      </w:pPr>
      <w:r w:rsidRPr="009042FC">
        <w:rPr>
          <w:rFonts w:ascii="Times New Roman" w:hAnsi="Times New Roman" w:cs="Times New Roman"/>
          <w:sz w:val="24"/>
          <w:szCs w:val="24"/>
        </w:rPr>
        <w:t>R v Brown (Vincent) (1985) Crim L.R. 212</w:t>
      </w:r>
    </w:p>
    <w:sectPr w:rsidR="009042FC" w:rsidRPr="009042FC" w:rsidSect="003E3882">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013FD" w:rsidRDefault="003013FD" w:rsidP="00D20297">
      <w:pPr>
        <w:spacing w:after="0" w:line="240" w:lineRule="auto"/>
      </w:pPr>
      <w:r>
        <w:separator/>
      </w:r>
    </w:p>
  </w:endnote>
  <w:endnote w:type="continuationSeparator" w:id="1">
    <w:p w:rsidR="003013FD" w:rsidRDefault="003013FD" w:rsidP="00D2029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20075599"/>
      <w:docPartObj>
        <w:docPartGallery w:val="Page Numbers (Bottom of Page)"/>
        <w:docPartUnique/>
      </w:docPartObj>
    </w:sdtPr>
    <w:sdtContent>
      <w:p w:rsidR="00D20297" w:rsidRDefault="00D20297">
        <w:pPr>
          <w:pStyle w:val="Footer"/>
          <w:jc w:val="center"/>
        </w:pPr>
        <w:fldSimple w:instr=" PAGE   \* MERGEFORMAT ">
          <w:r>
            <w:rPr>
              <w:noProof/>
            </w:rPr>
            <w:t>3</w:t>
          </w:r>
        </w:fldSimple>
      </w:p>
    </w:sdtContent>
  </w:sdt>
  <w:p w:rsidR="00D20297" w:rsidRDefault="00D2029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013FD" w:rsidRDefault="003013FD" w:rsidP="00D20297">
      <w:pPr>
        <w:spacing w:after="0" w:line="240" w:lineRule="auto"/>
      </w:pPr>
      <w:r>
        <w:separator/>
      </w:r>
    </w:p>
  </w:footnote>
  <w:footnote w:type="continuationSeparator" w:id="1">
    <w:p w:rsidR="003013FD" w:rsidRDefault="003013FD" w:rsidP="00D2029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F8124BD"/>
    <w:multiLevelType w:val="hybridMultilevel"/>
    <w:tmpl w:val="D54A0AFA"/>
    <w:lvl w:ilvl="0" w:tplc="9AAAF5E4">
      <w:start w:val="2017"/>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0"/>
  <w:defaultTabStop w:val="720"/>
  <w:characterSpacingControl w:val="doNotCompress"/>
  <w:footnotePr>
    <w:footnote w:id="0"/>
    <w:footnote w:id="1"/>
  </w:footnotePr>
  <w:endnotePr>
    <w:endnote w:id="0"/>
    <w:endnote w:id="1"/>
  </w:endnotePr>
  <w:compat/>
  <w:rsids>
    <w:rsidRoot w:val="00426CB6"/>
    <w:rsid w:val="00020032"/>
    <w:rsid w:val="00084AC2"/>
    <w:rsid w:val="003013FD"/>
    <w:rsid w:val="0039282B"/>
    <w:rsid w:val="003E3882"/>
    <w:rsid w:val="00426CB6"/>
    <w:rsid w:val="005F496C"/>
    <w:rsid w:val="00622D3E"/>
    <w:rsid w:val="00655862"/>
    <w:rsid w:val="006B1589"/>
    <w:rsid w:val="009042FC"/>
    <w:rsid w:val="00A0723A"/>
    <w:rsid w:val="00D20297"/>
    <w:rsid w:val="00E00010"/>
    <w:rsid w:val="00E725F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3882"/>
  </w:style>
  <w:style w:type="paragraph" w:styleId="Heading1">
    <w:name w:val="heading 1"/>
    <w:basedOn w:val="Normal"/>
    <w:next w:val="Normal"/>
    <w:link w:val="Heading1Char"/>
    <w:uiPriority w:val="9"/>
    <w:qFormat/>
    <w:rsid w:val="009042F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00010"/>
    <w:rPr>
      <w:i/>
      <w:iCs/>
    </w:rPr>
  </w:style>
  <w:style w:type="paragraph" w:styleId="ListParagraph">
    <w:name w:val="List Paragraph"/>
    <w:basedOn w:val="Normal"/>
    <w:uiPriority w:val="34"/>
    <w:qFormat/>
    <w:rsid w:val="00A0723A"/>
    <w:pPr>
      <w:ind w:left="720"/>
      <w:contextualSpacing/>
    </w:pPr>
  </w:style>
  <w:style w:type="character" w:customStyle="1" w:styleId="Heading1Char">
    <w:name w:val="Heading 1 Char"/>
    <w:basedOn w:val="DefaultParagraphFont"/>
    <w:link w:val="Heading1"/>
    <w:uiPriority w:val="9"/>
    <w:rsid w:val="009042F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20297"/>
    <w:pPr>
      <w:outlineLvl w:val="9"/>
    </w:pPr>
  </w:style>
  <w:style w:type="paragraph" w:styleId="TOC1">
    <w:name w:val="toc 1"/>
    <w:basedOn w:val="Normal"/>
    <w:next w:val="Normal"/>
    <w:autoRedefine/>
    <w:uiPriority w:val="39"/>
    <w:unhideWhenUsed/>
    <w:rsid w:val="00D20297"/>
    <w:pPr>
      <w:spacing w:after="100"/>
    </w:pPr>
  </w:style>
  <w:style w:type="character" w:styleId="Hyperlink">
    <w:name w:val="Hyperlink"/>
    <w:basedOn w:val="DefaultParagraphFont"/>
    <w:uiPriority w:val="99"/>
    <w:unhideWhenUsed/>
    <w:rsid w:val="00D20297"/>
    <w:rPr>
      <w:color w:val="0000FF" w:themeColor="hyperlink"/>
      <w:u w:val="single"/>
    </w:rPr>
  </w:style>
  <w:style w:type="paragraph" w:styleId="BalloonText">
    <w:name w:val="Balloon Text"/>
    <w:basedOn w:val="Normal"/>
    <w:link w:val="BalloonTextChar"/>
    <w:uiPriority w:val="99"/>
    <w:semiHidden/>
    <w:unhideWhenUsed/>
    <w:rsid w:val="00D202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297"/>
    <w:rPr>
      <w:rFonts w:ascii="Tahoma" w:hAnsi="Tahoma" w:cs="Tahoma"/>
      <w:sz w:val="16"/>
      <w:szCs w:val="16"/>
    </w:rPr>
  </w:style>
  <w:style w:type="paragraph" w:styleId="Header">
    <w:name w:val="header"/>
    <w:basedOn w:val="Normal"/>
    <w:link w:val="HeaderChar"/>
    <w:uiPriority w:val="99"/>
    <w:semiHidden/>
    <w:unhideWhenUsed/>
    <w:rsid w:val="00D2029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20297"/>
  </w:style>
  <w:style w:type="paragraph" w:styleId="Footer">
    <w:name w:val="footer"/>
    <w:basedOn w:val="Normal"/>
    <w:link w:val="FooterChar"/>
    <w:uiPriority w:val="99"/>
    <w:unhideWhenUsed/>
    <w:rsid w:val="00D202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0297"/>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3AD7D8-AB93-415F-B84E-15302FBF8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7</Pages>
  <Words>1301</Words>
  <Characters>7417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Suvo</dc:creator>
  <cp:lastModifiedBy>Suvo</cp:lastModifiedBy>
  <cp:revision>2</cp:revision>
  <dcterms:created xsi:type="dcterms:W3CDTF">2023-01-05T12:28:00Z</dcterms:created>
  <dcterms:modified xsi:type="dcterms:W3CDTF">2023-01-05T16:16:00Z</dcterms:modified>
</cp:coreProperties>
</file>