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040457" w14:textId="15846305" w:rsidR="001B37B2" w:rsidRDefault="000001AC" w:rsidP="001B37B2">
      <w:pPr>
        <w:jc w:val="center"/>
        <w:rPr>
          <w:b/>
          <w:bCs/>
          <w:sz w:val="44"/>
          <w:szCs w:val="40"/>
        </w:rPr>
      </w:pPr>
      <w:r>
        <w:rPr>
          <w:b/>
          <w:bCs/>
          <w:noProof/>
          <w:sz w:val="44"/>
          <w:szCs w:val="40"/>
        </w:rPr>
        <w:drawing>
          <wp:inline distT="0" distB="0" distL="0" distR="0" wp14:anchorId="12D77E00" wp14:editId="29E08645">
            <wp:extent cx="2242334" cy="1121167"/>
            <wp:effectExtent l="0" t="0" r="5715" b="0"/>
            <wp:docPr id="884550455" name="Picture 1" descr="A logo for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550455" name="Picture 1" descr="A logo for a university&#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29044" cy="1164522"/>
                    </a:xfrm>
                    <a:prstGeom prst="rect">
                      <a:avLst/>
                    </a:prstGeom>
                  </pic:spPr>
                </pic:pic>
              </a:graphicData>
            </a:graphic>
          </wp:inline>
        </w:drawing>
      </w:r>
    </w:p>
    <w:p w14:paraId="66285A33" w14:textId="78710EF9" w:rsidR="00E648F1" w:rsidRDefault="001B37B2" w:rsidP="000001AC">
      <w:pPr>
        <w:ind w:firstLine="720"/>
        <w:rPr>
          <w:b/>
          <w:bCs/>
          <w:sz w:val="44"/>
          <w:szCs w:val="40"/>
        </w:rPr>
      </w:pPr>
      <w:r w:rsidRPr="001B37B2">
        <w:rPr>
          <w:b/>
          <w:bCs/>
          <w:sz w:val="44"/>
          <w:szCs w:val="40"/>
        </w:rPr>
        <w:t>International Financial Management</w:t>
      </w:r>
    </w:p>
    <w:p w14:paraId="70F9A2CB" w14:textId="2377C604" w:rsidR="000001AC" w:rsidRDefault="000001AC" w:rsidP="000001AC">
      <w:pPr>
        <w:ind w:firstLine="720"/>
        <w:rPr>
          <w:b/>
          <w:bCs/>
          <w:sz w:val="36"/>
          <w:szCs w:val="36"/>
        </w:rPr>
      </w:pPr>
      <w:r w:rsidRPr="000001AC">
        <w:rPr>
          <w:b/>
          <w:bCs/>
          <w:sz w:val="36"/>
          <w:szCs w:val="36"/>
        </w:rPr>
        <w:t xml:space="preserve">Student </w:t>
      </w:r>
      <w:proofErr w:type="gramStart"/>
      <w:r w:rsidRPr="000001AC">
        <w:rPr>
          <w:b/>
          <w:bCs/>
          <w:sz w:val="36"/>
          <w:szCs w:val="36"/>
        </w:rPr>
        <w:t>name :</w:t>
      </w:r>
      <w:proofErr w:type="gramEnd"/>
      <w:r w:rsidRPr="000001AC">
        <w:rPr>
          <w:b/>
          <w:bCs/>
          <w:sz w:val="36"/>
          <w:szCs w:val="36"/>
        </w:rPr>
        <w:t xml:space="preserve"> </w:t>
      </w:r>
      <w:proofErr w:type="spellStart"/>
      <w:r w:rsidRPr="000001AC">
        <w:rPr>
          <w:b/>
          <w:bCs/>
          <w:sz w:val="36"/>
          <w:szCs w:val="36"/>
        </w:rPr>
        <w:t>Tinca</w:t>
      </w:r>
      <w:proofErr w:type="spellEnd"/>
      <w:r w:rsidRPr="000001AC">
        <w:rPr>
          <w:b/>
          <w:bCs/>
          <w:sz w:val="36"/>
          <w:szCs w:val="36"/>
        </w:rPr>
        <w:t xml:space="preserve"> Alexandra Alina </w:t>
      </w:r>
    </w:p>
    <w:p w14:paraId="153164FA" w14:textId="0A80E244" w:rsidR="000001AC" w:rsidRDefault="000001AC" w:rsidP="000001AC">
      <w:pPr>
        <w:ind w:firstLine="720"/>
        <w:rPr>
          <w:b/>
          <w:bCs/>
          <w:sz w:val="36"/>
          <w:szCs w:val="36"/>
        </w:rPr>
      </w:pPr>
      <w:r>
        <w:rPr>
          <w:b/>
          <w:bCs/>
          <w:sz w:val="36"/>
          <w:szCs w:val="36"/>
        </w:rPr>
        <w:t xml:space="preserve">ID </w:t>
      </w:r>
      <w:proofErr w:type="gramStart"/>
      <w:r>
        <w:rPr>
          <w:b/>
          <w:bCs/>
          <w:sz w:val="36"/>
          <w:szCs w:val="36"/>
        </w:rPr>
        <w:t>NR :</w:t>
      </w:r>
      <w:proofErr w:type="gramEnd"/>
      <w:r>
        <w:rPr>
          <w:b/>
          <w:bCs/>
          <w:sz w:val="36"/>
          <w:szCs w:val="36"/>
        </w:rPr>
        <w:t xml:space="preserve"> 2028610</w:t>
      </w:r>
    </w:p>
    <w:p w14:paraId="5EAF20B5" w14:textId="3667A63F" w:rsidR="000001AC" w:rsidRPr="000001AC" w:rsidRDefault="000001AC" w:rsidP="000001AC">
      <w:pPr>
        <w:ind w:firstLine="720"/>
        <w:rPr>
          <w:b/>
          <w:bCs/>
          <w:sz w:val="36"/>
          <w:szCs w:val="36"/>
        </w:rPr>
      </w:pPr>
      <w:r>
        <w:rPr>
          <w:b/>
          <w:bCs/>
          <w:sz w:val="36"/>
          <w:szCs w:val="36"/>
        </w:rPr>
        <w:t xml:space="preserve">Module </w:t>
      </w:r>
      <w:proofErr w:type="gramStart"/>
      <w:r>
        <w:rPr>
          <w:b/>
          <w:bCs/>
          <w:sz w:val="36"/>
          <w:szCs w:val="36"/>
        </w:rPr>
        <w:t>nr :LCBB</w:t>
      </w:r>
      <w:proofErr w:type="gramEnd"/>
      <w:r>
        <w:rPr>
          <w:b/>
          <w:bCs/>
          <w:sz w:val="36"/>
          <w:szCs w:val="36"/>
        </w:rPr>
        <w:t xml:space="preserve">6002 </w:t>
      </w:r>
    </w:p>
    <w:p w14:paraId="6AD8935C" w14:textId="77777777" w:rsidR="000001AC" w:rsidRDefault="000001AC" w:rsidP="000001AC">
      <w:pPr>
        <w:ind w:firstLine="720"/>
        <w:rPr>
          <w:b/>
          <w:bCs/>
          <w:sz w:val="44"/>
          <w:szCs w:val="40"/>
        </w:rPr>
      </w:pPr>
    </w:p>
    <w:p w14:paraId="24585EDE" w14:textId="2AA76F78" w:rsidR="00E648F1" w:rsidRDefault="00E648F1">
      <w:pPr>
        <w:spacing w:line="259" w:lineRule="auto"/>
        <w:jc w:val="left"/>
        <w:rPr>
          <w:b/>
          <w:bCs/>
          <w:sz w:val="44"/>
          <w:szCs w:val="40"/>
        </w:rPr>
      </w:pPr>
      <w:r>
        <w:rPr>
          <w:b/>
          <w:bCs/>
          <w:sz w:val="44"/>
          <w:szCs w:val="40"/>
        </w:rPr>
        <w:br w:type="page"/>
      </w:r>
    </w:p>
    <w:p w14:paraId="7C30D53A" w14:textId="493DDA23" w:rsidR="00E648F1" w:rsidRDefault="00E648F1" w:rsidP="00E648F1">
      <w:pPr>
        <w:jc w:val="center"/>
        <w:rPr>
          <w:b/>
          <w:bCs/>
          <w:szCs w:val="24"/>
        </w:rPr>
      </w:pPr>
      <w:r w:rsidRPr="00E648F1">
        <w:rPr>
          <w:b/>
          <w:bCs/>
          <w:szCs w:val="24"/>
        </w:rPr>
        <w:t>Executive Summary</w:t>
      </w:r>
    </w:p>
    <w:p w14:paraId="72343657" w14:textId="76FDA566" w:rsidR="00E648F1" w:rsidRPr="00E648F1" w:rsidRDefault="00E648F1" w:rsidP="00E648F1">
      <w:pPr>
        <w:rPr>
          <w:szCs w:val="24"/>
        </w:rPr>
      </w:pPr>
      <w:r>
        <w:rPr>
          <w:szCs w:val="24"/>
        </w:rPr>
        <w:t xml:space="preserve">International Financial Management is crucial for Marks &amp; Spencer and plays a significant role in the company’s sustainability. The company implements a strong and effective dividend policy, in order to ensure shareholder satisfaction and long-term sustainability. The company introduced a dividend reinvestment plan for the shareholders and declares surprise dividend distributions, referred to as special dividends. Marks &amp; Spencer uses project appraisal techniques such as NPV, IRR, ARR, and Payback Period, in order to select feasible and profitable projects. </w:t>
      </w:r>
    </w:p>
    <w:p w14:paraId="5533AAA4" w14:textId="5DBA6D47" w:rsidR="00E648F1" w:rsidRPr="00E648F1" w:rsidRDefault="00E648F1" w:rsidP="00E648F1">
      <w:pPr>
        <w:spacing w:line="259" w:lineRule="auto"/>
        <w:jc w:val="left"/>
        <w:rPr>
          <w:b/>
          <w:bCs/>
          <w:sz w:val="44"/>
          <w:szCs w:val="40"/>
        </w:rPr>
      </w:pPr>
      <w:r>
        <w:rPr>
          <w:b/>
          <w:bCs/>
          <w:sz w:val="44"/>
          <w:szCs w:val="40"/>
        </w:rPr>
        <w:br w:type="page"/>
      </w:r>
    </w:p>
    <w:sdt>
      <w:sdtPr>
        <w:rPr>
          <w:rFonts w:ascii="Times New Roman" w:eastAsiaTheme="minorHAnsi" w:hAnsi="Times New Roman" w:cstheme="minorBidi"/>
          <w:color w:val="auto"/>
          <w:sz w:val="24"/>
          <w:szCs w:val="22"/>
          <w:lang w:val="en-GB"/>
          <w14:ligatures w14:val="standardContextual"/>
        </w:rPr>
        <w:id w:val="-273087092"/>
        <w:docPartObj>
          <w:docPartGallery w:val="Table of Contents"/>
          <w:docPartUnique/>
        </w:docPartObj>
      </w:sdtPr>
      <w:sdtEndPr>
        <w:rPr>
          <w:b/>
          <w:bCs/>
          <w:noProof/>
        </w:rPr>
      </w:sdtEndPr>
      <w:sdtContent>
        <w:p w14:paraId="426C5B98" w14:textId="0A72F994" w:rsidR="0079248E" w:rsidRDefault="0079248E">
          <w:pPr>
            <w:pStyle w:val="TOCHeading"/>
          </w:pPr>
          <w:r>
            <w:t>Table of Contents</w:t>
          </w:r>
        </w:p>
        <w:p w14:paraId="5B29F939" w14:textId="27132D0A" w:rsidR="0079248E" w:rsidRDefault="0079248E">
          <w:pPr>
            <w:pStyle w:val="TOC1"/>
            <w:tabs>
              <w:tab w:val="right" w:leader="dot" w:pos="9016"/>
            </w:tabs>
            <w:rPr>
              <w:rFonts w:asciiTheme="minorHAnsi" w:eastAsiaTheme="minorEastAsia" w:hAnsiTheme="minorHAnsi"/>
              <w:noProof/>
              <w:kern w:val="2"/>
              <w:sz w:val="22"/>
              <w:lang w:val="en-IN" w:eastAsia="en-IN"/>
            </w:rPr>
          </w:pPr>
          <w:r>
            <w:fldChar w:fldCharType="begin"/>
          </w:r>
          <w:r>
            <w:instrText xml:space="preserve"> TOC \o "1-3" \h \z \u </w:instrText>
          </w:r>
          <w:r>
            <w:fldChar w:fldCharType="separate"/>
          </w:r>
          <w:hyperlink w:anchor="_Toc143092776" w:history="1">
            <w:r w:rsidRPr="003E2A5A">
              <w:rPr>
                <w:rStyle w:val="Hyperlink"/>
                <w:noProof/>
              </w:rPr>
              <w:t>Introduction</w:t>
            </w:r>
            <w:r>
              <w:rPr>
                <w:noProof/>
                <w:webHidden/>
              </w:rPr>
              <w:tab/>
            </w:r>
            <w:r>
              <w:rPr>
                <w:noProof/>
                <w:webHidden/>
              </w:rPr>
              <w:fldChar w:fldCharType="begin"/>
            </w:r>
            <w:r>
              <w:rPr>
                <w:noProof/>
                <w:webHidden/>
              </w:rPr>
              <w:instrText xml:space="preserve"> PAGEREF _Toc143092776 \h </w:instrText>
            </w:r>
            <w:r>
              <w:rPr>
                <w:noProof/>
                <w:webHidden/>
              </w:rPr>
            </w:r>
            <w:r>
              <w:rPr>
                <w:noProof/>
                <w:webHidden/>
              </w:rPr>
              <w:fldChar w:fldCharType="separate"/>
            </w:r>
            <w:r>
              <w:rPr>
                <w:noProof/>
                <w:webHidden/>
              </w:rPr>
              <w:t>4</w:t>
            </w:r>
            <w:r>
              <w:rPr>
                <w:noProof/>
                <w:webHidden/>
              </w:rPr>
              <w:fldChar w:fldCharType="end"/>
            </w:r>
          </w:hyperlink>
        </w:p>
        <w:p w14:paraId="744AD905" w14:textId="49F7A709" w:rsidR="0079248E" w:rsidRDefault="007A2E48">
          <w:pPr>
            <w:pStyle w:val="TOC1"/>
            <w:tabs>
              <w:tab w:val="right" w:leader="dot" w:pos="9016"/>
            </w:tabs>
            <w:rPr>
              <w:rFonts w:asciiTheme="minorHAnsi" w:eastAsiaTheme="minorEastAsia" w:hAnsiTheme="minorHAnsi"/>
              <w:noProof/>
              <w:kern w:val="2"/>
              <w:sz w:val="22"/>
              <w:lang w:val="en-IN" w:eastAsia="en-IN"/>
            </w:rPr>
          </w:pPr>
          <w:hyperlink w:anchor="_Toc143092777" w:history="1">
            <w:r w:rsidR="0079248E" w:rsidRPr="003E2A5A">
              <w:rPr>
                <w:rStyle w:val="Hyperlink"/>
                <w:noProof/>
                <w:lang w:val="en-US"/>
              </w:rPr>
              <w:t>Importance of International Financial Management at Marks &amp; Spencer</w:t>
            </w:r>
            <w:r w:rsidR="0079248E">
              <w:rPr>
                <w:noProof/>
                <w:webHidden/>
              </w:rPr>
              <w:tab/>
            </w:r>
            <w:r w:rsidR="0079248E">
              <w:rPr>
                <w:noProof/>
                <w:webHidden/>
              </w:rPr>
              <w:fldChar w:fldCharType="begin"/>
            </w:r>
            <w:r w:rsidR="0079248E">
              <w:rPr>
                <w:noProof/>
                <w:webHidden/>
              </w:rPr>
              <w:instrText xml:space="preserve"> PAGEREF _Toc143092777 \h </w:instrText>
            </w:r>
            <w:r w:rsidR="0079248E">
              <w:rPr>
                <w:noProof/>
                <w:webHidden/>
              </w:rPr>
            </w:r>
            <w:r w:rsidR="0079248E">
              <w:rPr>
                <w:noProof/>
                <w:webHidden/>
              </w:rPr>
              <w:fldChar w:fldCharType="separate"/>
            </w:r>
            <w:r w:rsidR="0079248E">
              <w:rPr>
                <w:noProof/>
                <w:webHidden/>
              </w:rPr>
              <w:t>5</w:t>
            </w:r>
            <w:r w:rsidR="0079248E">
              <w:rPr>
                <w:noProof/>
                <w:webHidden/>
              </w:rPr>
              <w:fldChar w:fldCharType="end"/>
            </w:r>
          </w:hyperlink>
        </w:p>
        <w:p w14:paraId="7674826F" w14:textId="0F9DD4AE" w:rsidR="0079248E" w:rsidRDefault="007A2E48">
          <w:pPr>
            <w:pStyle w:val="TOC1"/>
            <w:tabs>
              <w:tab w:val="right" w:leader="dot" w:pos="9016"/>
            </w:tabs>
            <w:rPr>
              <w:rFonts w:asciiTheme="minorHAnsi" w:eastAsiaTheme="minorEastAsia" w:hAnsiTheme="minorHAnsi"/>
              <w:noProof/>
              <w:kern w:val="2"/>
              <w:sz w:val="22"/>
              <w:lang w:val="en-IN" w:eastAsia="en-IN"/>
            </w:rPr>
          </w:pPr>
          <w:hyperlink w:anchor="_Toc143092778" w:history="1">
            <w:r w:rsidR="0079248E" w:rsidRPr="003E2A5A">
              <w:rPr>
                <w:rStyle w:val="Hyperlink"/>
                <w:noProof/>
                <w:lang w:val="en-US"/>
              </w:rPr>
              <w:t>Dividend distribution policy at Marks &amp; Spencer</w:t>
            </w:r>
            <w:r w:rsidR="0079248E">
              <w:rPr>
                <w:noProof/>
                <w:webHidden/>
              </w:rPr>
              <w:tab/>
            </w:r>
            <w:r w:rsidR="0079248E">
              <w:rPr>
                <w:noProof/>
                <w:webHidden/>
              </w:rPr>
              <w:fldChar w:fldCharType="begin"/>
            </w:r>
            <w:r w:rsidR="0079248E">
              <w:rPr>
                <w:noProof/>
                <w:webHidden/>
              </w:rPr>
              <w:instrText xml:space="preserve"> PAGEREF _Toc143092778 \h </w:instrText>
            </w:r>
            <w:r w:rsidR="0079248E">
              <w:rPr>
                <w:noProof/>
                <w:webHidden/>
              </w:rPr>
            </w:r>
            <w:r w:rsidR="0079248E">
              <w:rPr>
                <w:noProof/>
                <w:webHidden/>
              </w:rPr>
              <w:fldChar w:fldCharType="separate"/>
            </w:r>
            <w:r w:rsidR="0079248E">
              <w:rPr>
                <w:noProof/>
                <w:webHidden/>
              </w:rPr>
              <w:t>6</w:t>
            </w:r>
            <w:r w:rsidR="0079248E">
              <w:rPr>
                <w:noProof/>
                <w:webHidden/>
              </w:rPr>
              <w:fldChar w:fldCharType="end"/>
            </w:r>
          </w:hyperlink>
        </w:p>
        <w:p w14:paraId="6EBCD2A2" w14:textId="3F0FD315" w:rsidR="0079248E" w:rsidRDefault="007A2E48">
          <w:pPr>
            <w:pStyle w:val="TOC1"/>
            <w:tabs>
              <w:tab w:val="right" w:leader="dot" w:pos="9016"/>
            </w:tabs>
            <w:rPr>
              <w:rFonts w:asciiTheme="minorHAnsi" w:eastAsiaTheme="minorEastAsia" w:hAnsiTheme="minorHAnsi"/>
              <w:noProof/>
              <w:kern w:val="2"/>
              <w:sz w:val="22"/>
              <w:lang w:val="en-IN" w:eastAsia="en-IN"/>
            </w:rPr>
          </w:pPr>
          <w:hyperlink w:anchor="_Toc143092779" w:history="1">
            <w:r w:rsidR="0079248E" w:rsidRPr="003E2A5A">
              <w:rPr>
                <w:rStyle w:val="Hyperlink"/>
                <w:noProof/>
              </w:rPr>
              <w:t>Portraying some challenges encountered by the aforementioned enterprise in various global markets</w:t>
            </w:r>
            <w:r w:rsidR="0079248E">
              <w:rPr>
                <w:noProof/>
                <w:webHidden/>
              </w:rPr>
              <w:tab/>
            </w:r>
            <w:r w:rsidR="0079248E">
              <w:rPr>
                <w:noProof/>
                <w:webHidden/>
              </w:rPr>
              <w:fldChar w:fldCharType="begin"/>
            </w:r>
            <w:r w:rsidR="0079248E">
              <w:rPr>
                <w:noProof/>
                <w:webHidden/>
              </w:rPr>
              <w:instrText xml:space="preserve"> PAGEREF _Toc143092779 \h </w:instrText>
            </w:r>
            <w:r w:rsidR="0079248E">
              <w:rPr>
                <w:noProof/>
                <w:webHidden/>
              </w:rPr>
            </w:r>
            <w:r w:rsidR="0079248E">
              <w:rPr>
                <w:noProof/>
                <w:webHidden/>
              </w:rPr>
              <w:fldChar w:fldCharType="separate"/>
            </w:r>
            <w:r w:rsidR="0079248E">
              <w:rPr>
                <w:noProof/>
                <w:webHidden/>
              </w:rPr>
              <w:t>7</w:t>
            </w:r>
            <w:r w:rsidR="0079248E">
              <w:rPr>
                <w:noProof/>
                <w:webHidden/>
              </w:rPr>
              <w:fldChar w:fldCharType="end"/>
            </w:r>
          </w:hyperlink>
        </w:p>
        <w:p w14:paraId="5CE989DC" w14:textId="419DEE1D" w:rsidR="0079248E" w:rsidRDefault="007A2E48">
          <w:pPr>
            <w:pStyle w:val="TOC1"/>
            <w:tabs>
              <w:tab w:val="right" w:leader="dot" w:pos="9016"/>
            </w:tabs>
            <w:rPr>
              <w:rFonts w:asciiTheme="minorHAnsi" w:eastAsiaTheme="minorEastAsia" w:hAnsiTheme="minorHAnsi"/>
              <w:noProof/>
              <w:kern w:val="2"/>
              <w:sz w:val="22"/>
              <w:lang w:val="en-IN" w:eastAsia="en-IN"/>
            </w:rPr>
          </w:pPr>
          <w:hyperlink w:anchor="_Toc143092780" w:history="1">
            <w:r w:rsidR="0079248E" w:rsidRPr="003E2A5A">
              <w:rPr>
                <w:rStyle w:val="Hyperlink"/>
                <w:noProof/>
              </w:rPr>
              <w:t>Assessing the theory of market hypothesis in the context of Marks &amp; Spencer</w:t>
            </w:r>
            <w:r w:rsidR="0079248E">
              <w:rPr>
                <w:noProof/>
                <w:webHidden/>
              </w:rPr>
              <w:tab/>
            </w:r>
            <w:r w:rsidR="0079248E">
              <w:rPr>
                <w:noProof/>
                <w:webHidden/>
              </w:rPr>
              <w:fldChar w:fldCharType="begin"/>
            </w:r>
            <w:r w:rsidR="0079248E">
              <w:rPr>
                <w:noProof/>
                <w:webHidden/>
              </w:rPr>
              <w:instrText xml:space="preserve"> PAGEREF _Toc143092780 \h </w:instrText>
            </w:r>
            <w:r w:rsidR="0079248E">
              <w:rPr>
                <w:noProof/>
                <w:webHidden/>
              </w:rPr>
            </w:r>
            <w:r w:rsidR="0079248E">
              <w:rPr>
                <w:noProof/>
                <w:webHidden/>
              </w:rPr>
              <w:fldChar w:fldCharType="separate"/>
            </w:r>
            <w:r w:rsidR="0079248E">
              <w:rPr>
                <w:noProof/>
                <w:webHidden/>
              </w:rPr>
              <w:t>8</w:t>
            </w:r>
            <w:r w:rsidR="0079248E">
              <w:rPr>
                <w:noProof/>
                <w:webHidden/>
              </w:rPr>
              <w:fldChar w:fldCharType="end"/>
            </w:r>
          </w:hyperlink>
        </w:p>
        <w:p w14:paraId="065AA440" w14:textId="6EF6AE3E" w:rsidR="0079248E" w:rsidRDefault="007A2E48">
          <w:pPr>
            <w:pStyle w:val="TOC1"/>
            <w:tabs>
              <w:tab w:val="right" w:leader="dot" w:pos="9016"/>
            </w:tabs>
            <w:rPr>
              <w:rFonts w:asciiTheme="minorHAnsi" w:eastAsiaTheme="minorEastAsia" w:hAnsiTheme="minorHAnsi"/>
              <w:noProof/>
              <w:kern w:val="2"/>
              <w:sz w:val="22"/>
              <w:lang w:val="en-IN" w:eastAsia="en-IN"/>
            </w:rPr>
          </w:pPr>
          <w:hyperlink w:anchor="_Toc143092781" w:history="1">
            <w:r w:rsidR="0079248E" w:rsidRPr="003E2A5A">
              <w:rPr>
                <w:rStyle w:val="Hyperlink"/>
                <w:noProof/>
                <w:lang w:val="en-US"/>
              </w:rPr>
              <w:t>Project Appraisal Methods at Marks &amp; Spencer</w:t>
            </w:r>
            <w:r w:rsidR="0079248E">
              <w:rPr>
                <w:noProof/>
                <w:webHidden/>
              </w:rPr>
              <w:tab/>
            </w:r>
            <w:r w:rsidR="0079248E">
              <w:rPr>
                <w:noProof/>
                <w:webHidden/>
              </w:rPr>
              <w:fldChar w:fldCharType="begin"/>
            </w:r>
            <w:r w:rsidR="0079248E">
              <w:rPr>
                <w:noProof/>
                <w:webHidden/>
              </w:rPr>
              <w:instrText xml:space="preserve"> PAGEREF _Toc143092781 \h </w:instrText>
            </w:r>
            <w:r w:rsidR="0079248E">
              <w:rPr>
                <w:noProof/>
                <w:webHidden/>
              </w:rPr>
            </w:r>
            <w:r w:rsidR="0079248E">
              <w:rPr>
                <w:noProof/>
                <w:webHidden/>
              </w:rPr>
              <w:fldChar w:fldCharType="separate"/>
            </w:r>
            <w:r w:rsidR="0079248E">
              <w:rPr>
                <w:noProof/>
                <w:webHidden/>
              </w:rPr>
              <w:t>10</w:t>
            </w:r>
            <w:r w:rsidR="0079248E">
              <w:rPr>
                <w:noProof/>
                <w:webHidden/>
              </w:rPr>
              <w:fldChar w:fldCharType="end"/>
            </w:r>
          </w:hyperlink>
        </w:p>
        <w:p w14:paraId="5E5BF13B" w14:textId="5730E1DB" w:rsidR="0079248E" w:rsidRDefault="007A2E48">
          <w:pPr>
            <w:pStyle w:val="TOC1"/>
            <w:tabs>
              <w:tab w:val="right" w:leader="dot" w:pos="9016"/>
            </w:tabs>
            <w:rPr>
              <w:rFonts w:asciiTheme="minorHAnsi" w:eastAsiaTheme="minorEastAsia" w:hAnsiTheme="minorHAnsi"/>
              <w:noProof/>
              <w:kern w:val="2"/>
              <w:sz w:val="22"/>
              <w:lang w:val="en-IN" w:eastAsia="en-IN"/>
            </w:rPr>
          </w:pPr>
          <w:hyperlink w:anchor="_Toc143092782" w:history="1">
            <w:r w:rsidR="0079248E" w:rsidRPr="003E2A5A">
              <w:rPr>
                <w:rStyle w:val="Hyperlink"/>
                <w:noProof/>
              </w:rPr>
              <w:t>Conclusion</w:t>
            </w:r>
            <w:r w:rsidR="0079248E">
              <w:rPr>
                <w:noProof/>
                <w:webHidden/>
              </w:rPr>
              <w:tab/>
            </w:r>
            <w:r w:rsidR="0079248E">
              <w:rPr>
                <w:noProof/>
                <w:webHidden/>
              </w:rPr>
              <w:fldChar w:fldCharType="begin"/>
            </w:r>
            <w:r w:rsidR="0079248E">
              <w:rPr>
                <w:noProof/>
                <w:webHidden/>
              </w:rPr>
              <w:instrText xml:space="preserve"> PAGEREF _Toc143092782 \h </w:instrText>
            </w:r>
            <w:r w:rsidR="0079248E">
              <w:rPr>
                <w:noProof/>
                <w:webHidden/>
              </w:rPr>
            </w:r>
            <w:r w:rsidR="0079248E">
              <w:rPr>
                <w:noProof/>
                <w:webHidden/>
              </w:rPr>
              <w:fldChar w:fldCharType="separate"/>
            </w:r>
            <w:r w:rsidR="0079248E">
              <w:rPr>
                <w:noProof/>
                <w:webHidden/>
              </w:rPr>
              <w:t>13</w:t>
            </w:r>
            <w:r w:rsidR="0079248E">
              <w:rPr>
                <w:noProof/>
                <w:webHidden/>
              </w:rPr>
              <w:fldChar w:fldCharType="end"/>
            </w:r>
          </w:hyperlink>
        </w:p>
        <w:p w14:paraId="0842574D" w14:textId="74B6C2AD" w:rsidR="0079248E" w:rsidRDefault="007A2E48">
          <w:pPr>
            <w:pStyle w:val="TOC1"/>
            <w:tabs>
              <w:tab w:val="right" w:leader="dot" w:pos="9016"/>
            </w:tabs>
            <w:rPr>
              <w:rFonts w:asciiTheme="minorHAnsi" w:eastAsiaTheme="minorEastAsia" w:hAnsiTheme="minorHAnsi"/>
              <w:noProof/>
              <w:kern w:val="2"/>
              <w:sz w:val="22"/>
              <w:lang w:val="en-IN" w:eastAsia="en-IN"/>
            </w:rPr>
          </w:pPr>
          <w:hyperlink w:anchor="_Toc143092783" w:history="1">
            <w:r w:rsidR="0079248E" w:rsidRPr="003E2A5A">
              <w:rPr>
                <w:rStyle w:val="Hyperlink"/>
                <w:noProof/>
              </w:rPr>
              <w:t>References</w:t>
            </w:r>
            <w:r w:rsidR="0079248E">
              <w:rPr>
                <w:noProof/>
                <w:webHidden/>
              </w:rPr>
              <w:tab/>
            </w:r>
            <w:r w:rsidR="0079248E">
              <w:rPr>
                <w:noProof/>
                <w:webHidden/>
              </w:rPr>
              <w:fldChar w:fldCharType="begin"/>
            </w:r>
            <w:r w:rsidR="0079248E">
              <w:rPr>
                <w:noProof/>
                <w:webHidden/>
              </w:rPr>
              <w:instrText xml:space="preserve"> PAGEREF _Toc143092783 \h </w:instrText>
            </w:r>
            <w:r w:rsidR="0079248E">
              <w:rPr>
                <w:noProof/>
                <w:webHidden/>
              </w:rPr>
            </w:r>
            <w:r w:rsidR="0079248E">
              <w:rPr>
                <w:noProof/>
                <w:webHidden/>
              </w:rPr>
              <w:fldChar w:fldCharType="separate"/>
            </w:r>
            <w:r w:rsidR="0079248E">
              <w:rPr>
                <w:noProof/>
                <w:webHidden/>
              </w:rPr>
              <w:t>14</w:t>
            </w:r>
            <w:r w:rsidR="0079248E">
              <w:rPr>
                <w:noProof/>
                <w:webHidden/>
              </w:rPr>
              <w:fldChar w:fldCharType="end"/>
            </w:r>
          </w:hyperlink>
        </w:p>
        <w:p w14:paraId="52029BFA" w14:textId="22574EB3" w:rsidR="0079248E" w:rsidRDefault="0079248E">
          <w:r>
            <w:rPr>
              <w:b/>
              <w:bCs/>
              <w:noProof/>
            </w:rPr>
            <w:fldChar w:fldCharType="end"/>
          </w:r>
        </w:p>
      </w:sdtContent>
    </w:sdt>
    <w:p w14:paraId="043CC727" w14:textId="1237F9EB" w:rsidR="00E648F1" w:rsidRDefault="00E648F1" w:rsidP="0079248E"/>
    <w:p w14:paraId="7896B5E9" w14:textId="77777777" w:rsidR="00E648F1" w:rsidRDefault="00E648F1">
      <w:pPr>
        <w:spacing w:line="259" w:lineRule="auto"/>
        <w:jc w:val="left"/>
        <w:rPr>
          <w:rFonts w:eastAsiaTheme="majorEastAsia" w:cs="Arial"/>
          <w:b/>
          <w:bCs/>
          <w:color w:val="000000"/>
          <w:sz w:val="28"/>
          <w:szCs w:val="56"/>
        </w:rPr>
      </w:pPr>
      <w:r>
        <w:br w:type="page"/>
      </w:r>
    </w:p>
    <w:p w14:paraId="69EE9949" w14:textId="51B06EC7" w:rsidR="001B4E8C" w:rsidRDefault="00451687" w:rsidP="00451687">
      <w:pPr>
        <w:pStyle w:val="Heading1"/>
      </w:pPr>
      <w:bookmarkStart w:id="0" w:name="_Toc143091807"/>
      <w:bookmarkStart w:id="1" w:name="_Toc143092776"/>
      <w:r>
        <w:t>Introduction</w:t>
      </w:r>
      <w:bookmarkEnd w:id="0"/>
      <w:bookmarkEnd w:id="1"/>
    </w:p>
    <w:p w14:paraId="017B7B9C" w14:textId="77777777" w:rsidR="00071AC2" w:rsidRDefault="0073574B" w:rsidP="00451687">
      <w:r>
        <w:t xml:space="preserve">The </w:t>
      </w:r>
      <w:r w:rsidR="00BF634A">
        <w:t xml:space="preserve">contribution </w:t>
      </w:r>
      <w:r>
        <w:t xml:space="preserve">of </w:t>
      </w:r>
      <w:r w:rsidR="008D2D39">
        <w:t xml:space="preserve">financial management is indispensable </w:t>
      </w:r>
      <w:r w:rsidR="00BF634A">
        <w:t>to the success of business organisations</w:t>
      </w:r>
      <w:r w:rsidR="00EF6C4E">
        <w:t>. Business individuals need to</w:t>
      </w:r>
      <w:r w:rsidR="00977621">
        <w:t xml:space="preserve"> properly</w:t>
      </w:r>
      <w:r w:rsidR="00EF6C4E">
        <w:t xml:space="preserve"> </w:t>
      </w:r>
      <w:r w:rsidR="00977621">
        <w:t xml:space="preserve">understand the system of financial management </w:t>
      </w:r>
      <w:r w:rsidR="00894AD8">
        <w:t xml:space="preserve">to run their business successfully in the competitive global market. </w:t>
      </w:r>
      <w:r w:rsidR="006237DB">
        <w:t xml:space="preserve">Strategic planning, controlling, directing </w:t>
      </w:r>
      <w:r w:rsidR="00786FE1">
        <w:t>and as well</w:t>
      </w:r>
      <w:r w:rsidR="006237DB">
        <w:t xml:space="preserve"> organising are the main components of financial management. </w:t>
      </w:r>
      <w:r w:rsidR="0005700D">
        <w:t xml:space="preserve">Here, the international finance management system will be discussed in the context of a renowned multinational </w:t>
      </w:r>
      <w:r w:rsidR="00FF4DE3">
        <w:t xml:space="preserve">retail </w:t>
      </w:r>
      <w:r w:rsidR="0005700D">
        <w:t>company, named Marks &amp; Spence</w:t>
      </w:r>
      <w:r w:rsidR="00FF4DE3">
        <w:t>r and its headquarters is situated in Paddington, London</w:t>
      </w:r>
      <w:r w:rsidR="001E149A">
        <w:t xml:space="preserve"> </w:t>
      </w:r>
      <w:sdt>
        <w:sdtPr>
          <w:id w:val="-1892955308"/>
          <w:citation/>
        </w:sdtPr>
        <w:sdtEndPr/>
        <w:sdtContent>
          <w:r w:rsidR="001E149A">
            <w:fldChar w:fldCharType="begin"/>
          </w:r>
          <w:r w:rsidR="001E149A">
            <w:instrText xml:space="preserve"> CITATION mar237 \l 2057 </w:instrText>
          </w:r>
          <w:r w:rsidR="001E149A">
            <w:fldChar w:fldCharType="separate"/>
          </w:r>
          <w:r w:rsidR="001E149A" w:rsidRPr="001E149A">
            <w:rPr>
              <w:noProof/>
            </w:rPr>
            <w:t>(marksandspencer, 2023)</w:t>
          </w:r>
          <w:r w:rsidR="001E149A">
            <w:fldChar w:fldCharType="end"/>
          </w:r>
        </w:sdtContent>
      </w:sdt>
      <w:r w:rsidR="0005700D">
        <w:t xml:space="preserve">. </w:t>
      </w:r>
      <w:r w:rsidR="00D406AD">
        <w:t xml:space="preserve">International financial management entails overseeing various types of financial operations like risk management, financing, investing and others. </w:t>
      </w:r>
      <w:r w:rsidR="00D821D4">
        <w:t xml:space="preserve">Organisations like Marks &amp; Spencer </w:t>
      </w:r>
      <w:r w:rsidR="00A17EA5">
        <w:t>should also navigate complex systems of financial management which is different in each country, for instance</w:t>
      </w:r>
      <w:r w:rsidR="00F3682F">
        <w:t>,</w:t>
      </w:r>
      <w:r w:rsidR="00A17EA5">
        <w:t xml:space="preserve"> tax laws, currency exchange rates and others. </w:t>
      </w:r>
      <w:r w:rsidR="00F3682F">
        <w:t xml:space="preserve">Anyhow, </w:t>
      </w:r>
      <w:r w:rsidR="00822C9B">
        <w:t>the</w:t>
      </w:r>
      <w:r w:rsidR="00A6301E">
        <w:t xml:space="preserve"> following context will evaluate the dividend distribution system along with the importance </w:t>
      </w:r>
      <w:r w:rsidR="00514BA8">
        <w:t xml:space="preserve">of international financial management in the context of Marks &amp; Spencer. </w:t>
      </w:r>
      <w:r w:rsidR="005D3EA1">
        <w:t xml:space="preserve">Some challenges faced by organisations like Marks &amp; Spencer in international markets will also be portrayed in the study. </w:t>
      </w:r>
      <w:r w:rsidR="006450D7">
        <w:t xml:space="preserve">Also, </w:t>
      </w:r>
      <w:r w:rsidR="00F53FD5">
        <w:t xml:space="preserve">the </w:t>
      </w:r>
      <w:r w:rsidR="006450D7">
        <w:t xml:space="preserve">market hypothesis theory </w:t>
      </w:r>
      <w:r w:rsidR="00F53FD5">
        <w:t xml:space="preserve">and certain techniques of appraising projects will be assessed in the context of Marks &amp; Spencer. </w:t>
      </w:r>
    </w:p>
    <w:p w14:paraId="17410FB4" w14:textId="3012D3FE" w:rsidR="00E648F1" w:rsidRPr="00E648F1" w:rsidRDefault="00071AC2" w:rsidP="00E648F1">
      <w:pPr>
        <w:pStyle w:val="Heading1"/>
      </w:pPr>
      <w:r>
        <w:br w:type="page"/>
      </w:r>
      <w:bookmarkStart w:id="2" w:name="_Toc143091808"/>
      <w:bookmarkStart w:id="3" w:name="_Toc143092777"/>
      <w:r w:rsidR="00E648F1">
        <w:rPr>
          <w:lang w:val="en-US"/>
        </w:rPr>
        <w:t>Importance of International Financial Management at Marks &amp; Spencer</w:t>
      </w:r>
      <w:bookmarkEnd w:id="2"/>
      <w:bookmarkEnd w:id="3"/>
    </w:p>
    <w:p w14:paraId="36041BAC" w14:textId="77777777" w:rsidR="00E648F1" w:rsidRDefault="00E648F1" w:rsidP="00E648F1">
      <w:pPr>
        <w:rPr>
          <w:lang w:val="en-US"/>
        </w:rPr>
      </w:pPr>
      <w:r>
        <w:rPr>
          <w:lang w:val="en-US"/>
        </w:rPr>
        <w:t xml:space="preserve">Financial management in global business settings is referred to as International Financial Management (IMF). The financial activities beyond the country's borders are managed strategically. These activities are mainly classified into financing, risk management, and investment. It is mainly concerned with transactions among countries regarding FDIs, exchange rates, inflation, and others. The importance of IMF at Marks &amp; Spencer is as follows: </w:t>
      </w:r>
    </w:p>
    <w:p w14:paraId="56A66090" w14:textId="77777777" w:rsidR="00E648F1" w:rsidRDefault="00E648F1" w:rsidP="00E648F1">
      <w:pPr>
        <w:rPr>
          <w:lang w:val="en-US"/>
        </w:rPr>
      </w:pPr>
      <w:r>
        <w:rPr>
          <w:lang w:val="en-US"/>
        </w:rPr>
        <w:t xml:space="preserve">1. IMF provides companies like Marks &amp; Spencer with a varied range of alternatives and choices in global finance and trade, in order to manage and raise capital. </w:t>
      </w:r>
    </w:p>
    <w:p w14:paraId="47D34E4D" w14:textId="77777777" w:rsidR="00E648F1" w:rsidRDefault="00E648F1" w:rsidP="00E648F1">
      <w:pPr>
        <w:rPr>
          <w:lang w:val="en-US"/>
        </w:rPr>
      </w:pPr>
      <w:r>
        <w:rPr>
          <w:lang w:val="en-US"/>
        </w:rPr>
        <w:t xml:space="preserve">2. IMF enables Marks &amp; Spencer with the opportunity to grow and focus on objectives of global finance, and success chances are higher than the companies without IMF </w:t>
      </w:r>
      <w:r>
        <w:t xml:space="preserve">(Shapiro and </w:t>
      </w:r>
      <w:proofErr w:type="spellStart"/>
      <w:r>
        <w:t>Hanouna</w:t>
      </w:r>
      <w:proofErr w:type="spellEnd"/>
      <w:r>
        <w:t>, 2019)</w:t>
      </w:r>
      <w:r>
        <w:rPr>
          <w:lang w:val="en-US"/>
        </w:rPr>
        <w:t>.</w:t>
      </w:r>
    </w:p>
    <w:p w14:paraId="106FBF96" w14:textId="77777777" w:rsidR="00E648F1" w:rsidRDefault="00E648F1" w:rsidP="00E648F1">
      <w:pPr>
        <w:rPr>
          <w:lang w:val="en-US"/>
        </w:rPr>
      </w:pPr>
      <w:r>
        <w:rPr>
          <w:lang w:val="en-US"/>
        </w:rPr>
        <w:t>3. Due to IMF, Marks &amp; Spencer has access to diversified currencies and better scope to oversee the involved capital, thus improving financial performance.</w:t>
      </w:r>
    </w:p>
    <w:p w14:paraId="2A158847" w14:textId="77777777" w:rsidR="00E648F1" w:rsidRDefault="00E648F1" w:rsidP="00E648F1">
      <w:pPr>
        <w:rPr>
          <w:lang w:val="en-US"/>
        </w:rPr>
      </w:pPr>
      <w:r>
        <w:rPr>
          <w:lang w:val="en-US"/>
        </w:rPr>
        <w:t xml:space="preserve">4. Global trade enables Marks &amp; Spencer to be more competitive, in order to sustain. Thus, the company had to improve its service and goods quality.  </w:t>
      </w:r>
    </w:p>
    <w:p w14:paraId="1719DAC5" w14:textId="77777777" w:rsidR="00E648F1" w:rsidRDefault="00E648F1" w:rsidP="00E648F1">
      <w:pPr>
        <w:rPr>
          <w:lang w:val="en-US"/>
        </w:rPr>
      </w:pPr>
      <w:r>
        <w:rPr>
          <w:lang w:val="en-US"/>
        </w:rPr>
        <w:t>5. The revenue generated from global trade protects Marks &amp; Spencer and the company does not have to always be worried about domestic sales, since they operate overseas as well.</w:t>
      </w:r>
    </w:p>
    <w:p w14:paraId="55EA7C46" w14:textId="77777777" w:rsidR="00E648F1" w:rsidRPr="00516184" w:rsidRDefault="00E648F1" w:rsidP="00E648F1">
      <w:pPr>
        <w:rPr>
          <w:lang w:val="en-US"/>
        </w:rPr>
      </w:pPr>
      <w:r>
        <w:rPr>
          <w:lang w:val="en-US"/>
        </w:rPr>
        <w:t xml:space="preserve">6. Due to its global presence, Marks &amp; Spencer can operate in multiple countries and can be swift during global emergencies and also conduct BCP </w:t>
      </w:r>
      <w:r>
        <w:t>(Madura, 2020)</w:t>
      </w:r>
      <w:r>
        <w:rPr>
          <w:lang w:val="en-US"/>
        </w:rPr>
        <w:t xml:space="preserve">. </w:t>
      </w:r>
    </w:p>
    <w:p w14:paraId="098206F5" w14:textId="77777777" w:rsidR="00E648F1" w:rsidRDefault="00E648F1">
      <w:pPr>
        <w:spacing w:line="259" w:lineRule="auto"/>
        <w:jc w:val="left"/>
        <w:rPr>
          <w:rFonts w:eastAsiaTheme="majorEastAsia" w:cs="Arial"/>
          <w:b/>
          <w:bCs/>
          <w:color w:val="000000"/>
          <w:sz w:val="28"/>
          <w:szCs w:val="56"/>
          <w:lang w:val="en-US"/>
        </w:rPr>
      </w:pPr>
      <w:r>
        <w:rPr>
          <w:lang w:val="en-US"/>
        </w:rPr>
        <w:br w:type="page"/>
      </w:r>
    </w:p>
    <w:p w14:paraId="1FAE78ED" w14:textId="5D330635" w:rsidR="00E648F1" w:rsidRDefault="00E648F1" w:rsidP="00E648F1">
      <w:pPr>
        <w:pStyle w:val="Heading1"/>
        <w:rPr>
          <w:lang w:val="en-US"/>
        </w:rPr>
      </w:pPr>
      <w:bookmarkStart w:id="4" w:name="_Toc143091809"/>
      <w:bookmarkStart w:id="5" w:name="_Toc143092778"/>
      <w:r>
        <w:rPr>
          <w:lang w:val="en-US"/>
        </w:rPr>
        <w:t>Dividend distribution policy at Marks &amp; Spencer</w:t>
      </w:r>
      <w:bookmarkEnd w:id="4"/>
      <w:bookmarkEnd w:id="5"/>
    </w:p>
    <w:p w14:paraId="044C2062" w14:textId="5C51A777" w:rsidR="00961DE5" w:rsidRPr="00E648F1" w:rsidRDefault="00E648F1" w:rsidP="00E648F1">
      <w:pPr>
        <w:rPr>
          <w:lang w:val="en-US"/>
        </w:rPr>
      </w:pPr>
      <w:r>
        <w:rPr>
          <w:lang w:val="en-US"/>
        </w:rPr>
        <w:t xml:space="preserve">Marks &amp; Spencer aims to be sustainable, and more profitable and in order to achieve that, they have strengthened their dividend policy. Since the business has improved its operational performance, and a strong balance sheet with accuracy and consistency in investment grade has been witnessed, the Board restored a yearly dividend for its shareholders and began a dividend distribution with November results. The financial returns from investment in the company to the shareholders are referred to as dividends. After earning profits, Marks &amp; Spencer uses it for reinvestment or retention of earnings, or to pay dividends to the shareholders. The company retains a share of the profits and distributes the remaining among the shareholders, in the form of dividends. Since the company is publicly listed, it pays dividends in a defined routine, however, sudden declarations regarding dividends are done, in the name of a special dividend, in order to distinguish it from the normal one. Marks &amp; Spencer pays dividends in the form of shares and cash. The company offers a reinvestment plan for dividends, that automatically </w:t>
      </w:r>
      <w:proofErr w:type="spellStart"/>
      <w:r>
        <w:rPr>
          <w:lang w:val="en-US"/>
        </w:rPr>
        <w:t>utilises</w:t>
      </w:r>
      <w:proofErr w:type="spellEnd"/>
      <w:r>
        <w:rPr>
          <w:lang w:val="en-US"/>
        </w:rPr>
        <w:t xml:space="preserve"> the dividends that are in the form of cash, to buy new shares </w:t>
      </w:r>
      <w:r>
        <w:t xml:space="preserve">(Pinto </w:t>
      </w:r>
      <w:r>
        <w:rPr>
          <w:i/>
          <w:iCs/>
        </w:rPr>
        <w:t xml:space="preserve">et al., </w:t>
      </w:r>
      <w:r>
        <w:t>2020)</w:t>
      </w:r>
      <w:r>
        <w:rPr>
          <w:lang w:val="en-US"/>
        </w:rPr>
        <w:t>.</w:t>
      </w:r>
    </w:p>
    <w:p w14:paraId="613FCE94" w14:textId="77777777" w:rsidR="00E648F1" w:rsidRDefault="00E648F1">
      <w:pPr>
        <w:spacing w:line="259" w:lineRule="auto"/>
        <w:jc w:val="left"/>
        <w:rPr>
          <w:rFonts w:eastAsiaTheme="majorEastAsia" w:cs="Arial"/>
          <w:b/>
          <w:bCs/>
          <w:color w:val="000000"/>
          <w:sz w:val="28"/>
          <w:szCs w:val="56"/>
        </w:rPr>
      </w:pPr>
      <w:r>
        <w:br w:type="page"/>
      </w:r>
    </w:p>
    <w:p w14:paraId="77830313" w14:textId="43925E7E" w:rsidR="00451687" w:rsidRDefault="00961DE5" w:rsidP="00961DE5">
      <w:pPr>
        <w:pStyle w:val="Heading1"/>
      </w:pPr>
      <w:bookmarkStart w:id="6" w:name="_Toc143091810"/>
      <w:bookmarkStart w:id="7" w:name="_Toc143092779"/>
      <w:r>
        <w:t xml:space="preserve">Portraying some challenges encountered by </w:t>
      </w:r>
      <w:r w:rsidR="00071AC2">
        <w:t xml:space="preserve">the </w:t>
      </w:r>
      <w:r>
        <w:t>aforementioned enterprise in various global markets</w:t>
      </w:r>
      <w:bookmarkEnd w:id="6"/>
      <w:bookmarkEnd w:id="7"/>
    </w:p>
    <w:p w14:paraId="7819E7EF" w14:textId="77777777" w:rsidR="00C40A1A" w:rsidRPr="00C40A1A" w:rsidRDefault="0037360C" w:rsidP="00C40A1A">
      <w:r>
        <w:t xml:space="preserve">International financial management leads multinational companies like M&amp;S to deal with various </w:t>
      </w:r>
      <w:r w:rsidR="007C79B5">
        <w:t>types</w:t>
      </w:r>
      <w:r>
        <w:t xml:space="preserve"> of problems which emerge from conducting business </w:t>
      </w:r>
      <w:r w:rsidR="007C79B5">
        <w:t>in</w:t>
      </w:r>
      <w:r>
        <w:t xml:space="preserve"> an international context. </w:t>
      </w:r>
    </w:p>
    <w:p w14:paraId="14E3BBBB" w14:textId="77777777" w:rsidR="00961DE5" w:rsidRDefault="00C40A1A" w:rsidP="00071AC2">
      <w:r>
        <w:rPr>
          <w:b/>
          <w:bCs/>
          <w:i/>
          <w:iCs/>
        </w:rPr>
        <w:t>Foreign exchange rates:</w:t>
      </w:r>
      <w:r w:rsidR="00161A5C">
        <w:t xml:space="preserve"> </w:t>
      </w:r>
      <w:r w:rsidR="009B522B">
        <w:t xml:space="preserve">Sometimes this company </w:t>
      </w:r>
      <w:r w:rsidR="00CF4F5F">
        <w:t xml:space="preserve">encounter </w:t>
      </w:r>
      <w:r w:rsidR="00CC4472">
        <w:t xml:space="preserve">monetary perils like liquidity, funding, exchange rates as well as cashflow problems. </w:t>
      </w:r>
      <w:r w:rsidR="00582E64">
        <w:t>This kind of challenge emerges from the</w:t>
      </w:r>
      <w:r w:rsidR="00D560A3">
        <w:t xml:space="preserve"> changeable currency values in the international markets</w:t>
      </w:r>
      <w:r w:rsidR="00BA7A42">
        <w:t>, for example, when this company exports some products from the US, it carries the risk of currency exchange rates</w:t>
      </w:r>
      <w:r w:rsidR="008E5366">
        <w:t xml:space="preserve">. This company is vulnerable to forex regarding UK pounds against </w:t>
      </w:r>
      <w:r w:rsidR="00056E49">
        <w:t>unpredictable</w:t>
      </w:r>
      <w:r w:rsidR="008E5366">
        <w:t xml:space="preserve"> US dollars and </w:t>
      </w:r>
      <w:r w:rsidR="00056E49">
        <w:t>euros</w:t>
      </w:r>
      <w:r w:rsidR="00823F34">
        <w:t xml:space="preserve"> </w:t>
      </w:r>
      <w:sdt>
        <w:sdtPr>
          <w:id w:val="-270396391"/>
          <w:citation/>
        </w:sdtPr>
        <w:sdtEndPr/>
        <w:sdtContent>
          <w:r w:rsidR="00823F34">
            <w:fldChar w:fldCharType="begin"/>
          </w:r>
          <w:r w:rsidR="00823F34">
            <w:instrText xml:space="preserve"> CITATION Jef237 \l 2057 </w:instrText>
          </w:r>
          <w:r w:rsidR="00823F34">
            <w:fldChar w:fldCharType="separate"/>
          </w:r>
          <w:r w:rsidR="00823F34" w:rsidRPr="00823F34">
            <w:rPr>
              <w:noProof/>
            </w:rPr>
            <w:t>(Madura, 2023)</w:t>
          </w:r>
          <w:r w:rsidR="00823F34">
            <w:fldChar w:fldCharType="end"/>
          </w:r>
        </w:sdtContent>
      </w:sdt>
      <w:r w:rsidR="008E5366">
        <w:t xml:space="preserve">. </w:t>
      </w:r>
    </w:p>
    <w:p w14:paraId="7FA5AACE" w14:textId="77777777" w:rsidR="00020DEF" w:rsidRDefault="00020DEF" w:rsidP="00071AC2">
      <w:r>
        <w:rPr>
          <w:b/>
          <w:bCs/>
          <w:i/>
          <w:iCs/>
        </w:rPr>
        <w:t>International financial regulation:</w:t>
      </w:r>
      <w:r w:rsidR="005A25B7">
        <w:t xml:space="preserve"> </w:t>
      </w:r>
      <w:r w:rsidR="000C7291">
        <w:t>While doing business in different countries like USA, China and others, this company needs to track and follow different financial rules and regulations</w:t>
      </w:r>
      <w:r w:rsidR="00D73BFF">
        <w:t xml:space="preserve">. This company also sometimes hire professionals who ensure compliance to legally represent the business on the global platform. </w:t>
      </w:r>
    </w:p>
    <w:p w14:paraId="119691AE" w14:textId="77777777" w:rsidR="007B5902" w:rsidRDefault="00CE39A4" w:rsidP="00071AC2">
      <w:r>
        <w:t>Apart from these challenges, Marks &amp; Spencer also faces issues like economic insecurity, political risk and others</w:t>
      </w:r>
      <w:r w:rsidR="00E9295E">
        <w:t xml:space="preserve"> in different financial markets. </w:t>
      </w:r>
    </w:p>
    <w:p w14:paraId="585F88F7" w14:textId="77777777" w:rsidR="007B5902" w:rsidRDefault="007B5902">
      <w:pPr>
        <w:spacing w:line="259" w:lineRule="auto"/>
        <w:jc w:val="left"/>
      </w:pPr>
      <w:r>
        <w:br w:type="page"/>
      </w:r>
    </w:p>
    <w:p w14:paraId="641653E1" w14:textId="2BEAE71D" w:rsidR="00CE39A4" w:rsidRDefault="007B5902" w:rsidP="007B5902">
      <w:pPr>
        <w:pStyle w:val="Heading1"/>
      </w:pPr>
      <w:bookmarkStart w:id="8" w:name="_Toc143091811"/>
      <w:bookmarkStart w:id="9" w:name="_Toc143092780"/>
      <w:r>
        <w:t xml:space="preserve">Assessing the theory of </w:t>
      </w:r>
      <w:r w:rsidR="00E8034A">
        <w:t xml:space="preserve">efficient </w:t>
      </w:r>
      <w:r>
        <w:t>market hypothesis in the context of Marks &amp; Spencer</w:t>
      </w:r>
      <w:bookmarkEnd w:id="8"/>
      <w:bookmarkEnd w:id="9"/>
    </w:p>
    <w:p w14:paraId="479CCB02" w14:textId="77777777" w:rsidR="007B5902" w:rsidRDefault="00AE3FCF" w:rsidP="007B5902">
      <w:r>
        <w:t>The e</w:t>
      </w:r>
      <w:r w:rsidR="00D53F1D">
        <w:t>fficient market hyp</w:t>
      </w:r>
      <w:r w:rsidR="001A11FB">
        <w:t xml:space="preserve">othesis implies when some new data commences within the market, </w:t>
      </w:r>
      <w:r>
        <w:t xml:space="preserve">this is inevitably reflected in financial instruments like stock prices. </w:t>
      </w:r>
    </w:p>
    <w:p w14:paraId="6524F79F" w14:textId="77777777" w:rsidR="00F76049" w:rsidRDefault="00F76049" w:rsidP="00F76049">
      <w:pPr>
        <w:jc w:val="center"/>
      </w:pPr>
      <w:r w:rsidRPr="00F76049">
        <w:rPr>
          <w:noProof/>
        </w:rPr>
        <w:drawing>
          <wp:inline distT="0" distB="0" distL="0" distR="0" wp14:anchorId="1B371144" wp14:editId="2A9E30E0">
            <wp:extent cx="5731510" cy="2992120"/>
            <wp:effectExtent l="0" t="0" r="2540" b="0"/>
            <wp:docPr id="709969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969021" name=""/>
                    <pic:cNvPicPr/>
                  </pic:nvPicPr>
                  <pic:blipFill>
                    <a:blip r:embed="rId8"/>
                    <a:stretch>
                      <a:fillRect/>
                    </a:stretch>
                  </pic:blipFill>
                  <pic:spPr>
                    <a:xfrm>
                      <a:off x="0" y="0"/>
                      <a:ext cx="5731510" cy="2992120"/>
                    </a:xfrm>
                    <a:prstGeom prst="rect">
                      <a:avLst/>
                    </a:prstGeom>
                  </pic:spPr>
                </pic:pic>
              </a:graphicData>
            </a:graphic>
          </wp:inline>
        </w:drawing>
      </w:r>
    </w:p>
    <w:p w14:paraId="563C7E2E" w14:textId="77777777" w:rsidR="00F76049" w:rsidRDefault="00F76049" w:rsidP="00F76049">
      <w:pPr>
        <w:jc w:val="center"/>
        <w:rPr>
          <w:b/>
          <w:bCs/>
        </w:rPr>
      </w:pPr>
      <w:r>
        <w:rPr>
          <w:b/>
          <w:bCs/>
        </w:rPr>
        <w:t>(Figure: System of efficient market hypothesis)</w:t>
      </w:r>
    </w:p>
    <w:p w14:paraId="69C1885E" w14:textId="77777777" w:rsidR="00F76049" w:rsidRPr="00F76049" w:rsidRDefault="00F76049" w:rsidP="00F76049">
      <w:pPr>
        <w:jc w:val="center"/>
        <w:rPr>
          <w:b/>
          <w:bCs/>
        </w:rPr>
      </w:pPr>
      <w:r>
        <w:rPr>
          <w:b/>
          <w:bCs/>
        </w:rPr>
        <w:t xml:space="preserve">Source: </w:t>
      </w:r>
      <w:sdt>
        <w:sdtPr>
          <w:rPr>
            <w:b/>
            <w:bCs/>
          </w:rPr>
          <w:id w:val="1087660864"/>
          <w:citation/>
        </w:sdtPr>
        <w:sdtEndPr/>
        <w:sdtContent>
          <w:r w:rsidR="003D3CD6">
            <w:rPr>
              <w:b/>
              <w:bCs/>
            </w:rPr>
            <w:fldChar w:fldCharType="begin"/>
          </w:r>
          <w:r w:rsidR="003D3CD6">
            <w:rPr>
              <w:b/>
              <w:bCs/>
            </w:rPr>
            <w:instrText xml:space="preserve"> CITATION Reb229 \l 2057 </w:instrText>
          </w:r>
          <w:r w:rsidR="003D3CD6">
            <w:rPr>
              <w:b/>
              <w:bCs/>
            </w:rPr>
            <w:fldChar w:fldCharType="separate"/>
          </w:r>
          <w:r w:rsidR="003D3CD6" w:rsidRPr="003D3CD6">
            <w:rPr>
              <w:noProof/>
            </w:rPr>
            <w:t>(Baldridge, 2022)</w:t>
          </w:r>
          <w:r w:rsidR="003D3CD6">
            <w:rPr>
              <w:b/>
              <w:bCs/>
            </w:rPr>
            <w:fldChar w:fldCharType="end"/>
          </w:r>
        </w:sdtContent>
      </w:sdt>
    </w:p>
    <w:p w14:paraId="4099804D" w14:textId="77777777" w:rsidR="002655C2" w:rsidRDefault="002655C2" w:rsidP="007B5902">
      <w:pPr>
        <w:rPr>
          <w:b/>
          <w:bCs/>
          <w:u w:val="single"/>
        </w:rPr>
      </w:pPr>
      <w:r>
        <w:rPr>
          <w:b/>
          <w:bCs/>
          <w:u w:val="single"/>
        </w:rPr>
        <w:t>Assumptions</w:t>
      </w:r>
    </w:p>
    <w:p w14:paraId="5BDBD101" w14:textId="77777777" w:rsidR="002655C2" w:rsidRDefault="002655C2" w:rsidP="007B5902">
      <w:r>
        <w:t xml:space="preserve">1) </w:t>
      </w:r>
      <w:r w:rsidR="00973320">
        <w:t xml:space="preserve">This theory states that stock values </w:t>
      </w:r>
      <w:r w:rsidR="004636A4">
        <w:t xml:space="preserve">are the representation of all the valuable information. </w:t>
      </w:r>
    </w:p>
    <w:p w14:paraId="1AEDF4B3" w14:textId="77777777" w:rsidR="008C3EAA" w:rsidRDefault="00BA2C35" w:rsidP="007B5902">
      <w:r>
        <w:t xml:space="preserve">2) According to this theory, investors cannot outperform the market as they are bound to generate decisions </w:t>
      </w:r>
      <w:r w:rsidR="000B1923">
        <w:t xml:space="preserve">depending on the </w:t>
      </w:r>
      <w:r w:rsidR="008C3EAA">
        <w:t>previously</w:t>
      </w:r>
      <w:r w:rsidR="000B1923">
        <w:t xml:space="preserve"> available information. </w:t>
      </w:r>
    </w:p>
    <w:p w14:paraId="35D128A1" w14:textId="77777777" w:rsidR="00727161" w:rsidRDefault="00727161" w:rsidP="007B5902">
      <w:pPr>
        <w:rPr>
          <w:b/>
          <w:bCs/>
          <w:u w:val="single"/>
        </w:rPr>
      </w:pPr>
      <w:r>
        <w:rPr>
          <w:b/>
          <w:bCs/>
          <w:u w:val="single"/>
        </w:rPr>
        <w:t>Impact on M&amp;S</w:t>
      </w:r>
    </w:p>
    <w:p w14:paraId="34108BC5" w14:textId="77777777" w:rsidR="00727161" w:rsidRDefault="00E72206" w:rsidP="007B5902">
      <w:r>
        <w:t xml:space="preserve">As this theory is continuously becoming popular </w:t>
      </w:r>
      <w:r w:rsidR="00CA0259">
        <w:t xml:space="preserve">among traders, multinational companies like </w:t>
      </w:r>
      <w:r w:rsidR="00A554A2">
        <w:t>M&amp;S can focus on advocating this theory for investing in exchange-traded funds as well as in</w:t>
      </w:r>
      <w:r w:rsidR="003A20B8">
        <w:t>dex funds</w:t>
      </w:r>
      <w:r w:rsidR="00FF0513">
        <w:t xml:space="preserve">. </w:t>
      </w:r>
      <w:r w:rsidR="0059731C">
        <w:t xml:space="preserve">With the help of this theory, M&amp;S can also </w:t>
      </w:r>
      <w:r w:rsidR="00B03FDB">
        <w:t xml:space="preserve">acknowledge how the global market sets different </w:t>
      </w:r>
      <w:r w:rsidR="00D45E84">
        <w:t>values</w:t>
      </w:r>
      <w:r w:rsidR="00B03FDB">
        <w:t xml:space="preserve"> </w:t>
      </w:r>
      <w:r w:rsidR="00D45E84">
        <w:t>for</w:t>
      </w:r>
      <w:r w:rsidR="00B03FDB">
        <w:t xml:space="preserve"> various stocks. </w:t>
      </w:r>
    </w:p>
    <w:p w14:paraId="79CED1E4" w14:textId="77777777" w:rsidR="001C555B" w:rsidRPr="001C555B" w:rsidRDefault="001C555B" w:rsidP="007B5902">
      <w:pPr>
        <w:rPr>
          <w:b/>
          <w:bCs/>
          <w:u w:val="single"/>
        </w:rPr>
      </w:pPr>
      <w:r w:rsidRPr="001C555B">
        <w:rPr>
          <w:b/>
          <w:bCs/>
          <w:u w:val="single"/>
        </w:rPr>
        <w:t>Criticisms</w:t>
      </w:r>
    </w:p>
    <w:p w14:paraId="0E57030E" w14:textId="2F5EB82A" w:rsidR="00E648F1" w:rsidRDefault="0001369D" w:rsidP="00071AC2">
      <w:r>
        <w:t xml:space="preserve">There are multiple criticisms </w:t>
      </w:r>
      <w:r w:rsidR="005108C3">
        <w:t>revolving</w:t>
      </w:r>
      <w:r>
        <w:t xml:space="preserve"> around this theory, for instance, when the price of </w:t>
      </w:r>
      <w:r w:rsidR="000A1C46">
        <w:t xml:space="preserve">a </w:t>
      </w:r>
      <w:r>
        <w:t xml:space="preserve">stock elevates above its actual market value, it creates </w:t>
      </w:r>
      <w:r w:rsidR="005108C3">
        <w:t>speculative bubbles and ultimately market</w:t>
      </w:r>
      <w:r w:rsidR="000A1C46">
        <w:t xml:space="preserve"> crashes. Therefore, business professionals of the aforementioned company should implement</w:t>
      </w:r>
      <w:r w:rsidR="00D3414E">
        <w:t xml:space="preserve"> this theory after thoroughly conducting </w:t>
      </w:r>
      <w:r w:rsidR="00AE698B">
        <w:t xml:space="preserve">a </w:t>
      </w:r>
      <w:r w:rsidR="00D3414E">
        <w:t>proper risk analysis.</w:t>
      </w:r>
      <w:r w:rsidR="00DA7143">
        <w:t xml:space="preserve"> Moreover, this theory can also generate a situation of market anomalies since international financial markets inevitably </w:t>
      </w:r>
      <w:r w:rsidR="005F60B2">
        <w:t xml:space="preserve">fluctuate </w:t>
      </w:r>
      <w:r w:rsidR="00C156F6">
        <w:t>(</w:t>
      </w:r>
      <w:proofErr w:type="spellStart"/>
      <w:r w:rsidR="00C156F6" w:rsidRPr="00C156F6">
        <w:t>Leković</w:t>
      </w:r>
      <w:proofErr w:type="spellEnd"/>
      <w:r w:rsidR="00C156F6" w:rsidRPr="00C156F6">
        <w:t>,</w:t>
      </w:r>
      <w:r w:rsidR="00C156F6">
        <w:t xml:space="preserve"> </w:t>
      </w:r>
      <w:r w:rsidR="00C156F6" w:rsidRPr="00C156F6">
        <w:t>2018</w:t>
      </w:r>
      <w:r w:rsidR="00C156F6">
        <w:t>)</w:t>
      </w:r>
      <w:r w:rsidR="005F60B2">
        <w:t>.</w:t>
      </w:r>
      <w:r w:rsidR="00DA7143">
        <w:t xml:space="preserve"> </w:t>
      </w:r>
    </w:p>
    <w:p w14:paraId="5FCBFB26" w14:textId="77777777" w:rsidR="00E648F1" w:rsidRDefault="00E648F1">
      <w:pPr>
        <w:spacing w:line="259" w:lineRule="auto"/>
        <w:jc w:val="left"/>
      </w:pPr>
      <w:r>
        <w:br w:type="page"/>
      </w:r>
    </w:p>
    <w:p w14:paraId="2803917E" w14:textId="77777777" w:rsidR="00E648F1" w:rsidRDefault="00E648F1" w:rsidP="00E648F1">
      <w:pPr>
        <w:pStyle w:val="Heading1"/>
        <w:rPr>
          <w:lang w:val="en-US"/>
        </w:rPr>
      </w:pPr>
      <w:bookmarkStart w:id="10" w:name="_Toc143091812"/>
      <w:bookmarkStart w:id="11" w:name="_Toc143092781"/>
      <w:r>
        <w:rPr>
          <w:lang w:val="en-US"/>
        </w:rPr>
        <w:t>Project Appraisal Methods at Marks &amp; Spencer</w:t>
      </w:r>
      <w:bookmarkEnd w:id="10"/>
      <w:bookmarkEnd w:id="11"/>
    </w:p>
    <w:p w14:paraId="2BF1665E" w14:textId="77777777" w:rsidR="00E648F1" w:rsidRPr="00C55285" w:rsidRDefault="00E648F1" w:rsidP="00E648F1">
      <w:pPr>
        <w:rPr>
          <w:lang w:val="en-US"/>
        </w:rPr>
      </w:pPr>
      <w:r>
        <w:rPr>
          <w:lang w:val="en-US"/>
        </w:rPr>
        <w:t xml:space="preserve">Marks &amp; Spencer implements the following project appraisal methods, in order to select a project that is profitable: </w:t>
      </w:r>
    </w:p>
    <w:p w14:paraId="66F0E496" w14:textId="77777777" w:rsidR="00E648F1" w:rsidRPr="001D44F8" w:rsidRDefault="00E648F1" w:rsidP="00E648F1">
      <w:pPr>
        <w:rPr>
          <w:b/>
          <w:bCs/>
          <w:i/>
          <w:iCs/>
        </w:rPr>
      </w:pPr>
      <w:r>
        <w:rPr>
          <w:rStyle w:val="Strong"/>
          <w:i/>
          <w:iCs/>
        </w:rPr>
        <w:t xml:space="preserve">1. </w:t>
      </w:r>
      <w:r w:rsidRPr="001D44F8">
        <w:rPr>
          <w:rStyle w:val="Strong"/>
          <w:i/>
          <w:iCs/>
        </w:rPr>
        <w:t xml:space="preserve">Payback Period </w:t>
      </w:r>
      <w:r>
        <w:rPr>
          <w:rStyle w:val="Strong"/>
          <w:i/>
          <w:iCs/>
        </w:rPr>
        <w:t xml:space="preserve">- </w:t>
      </w:r>
      <w:r>
        <w:t xml:space="preserve">The payback period is defined as the total time taken, in order to recover the initial investments that were made on the project. Put in other words, the payback period is the time taken by the investment to reach a certain breakeven point. The financial managers of Marks &amp; Spencer use this method of project appraisal to choose a lucrative project among the mutually exclusive projects. The company invests its wealth in order to get returns, hence it is important to determine the period of payback. Marks &amp; Spencer selects projects that have short payback periods, implying an attractive investment, whereas projects with long periods are not desirable for the company. The financial managers of the company determine the payback period with the help of the following formula - </w:t>
      </w:r>
    </w:p>
    <w:p w14:paraId="427E306C" w14:textId="77777777" w:rsidR="00E648F1" w:rsidRDefault="00E648F1" w:rsidP="00E648F1">
      <w:pPr>
        <w:jc w:val="center"/>
      </w:pPr>
      <w:r w:rsidRPr="004933DB">
        <w:rPr>
          <w:noProof/>
        </w:rPr>
        <w:drawing>
          <wp:inline distT="0" distB="0" distL="0" distR="0" wp14:anchorId="2534181F" wp14:editId="5A8E3407">
            <wp:extent cx="4480948" cy="845893"/>
            <wp:effectExtent l="0" t="0" r="0" b="0"/>
            <wp:docPr id="395481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481199" name=""/>
                    <pic:cNvPicPr/>
                  </pic:nvPicPr>
                  <pic:blipFill>
                    <a:blip r:embed="rId9"/>
                    <a:stretch>
                      <a:fillRect/>
                    </a:stretch>
                  </pic:blipFill>
                  <pic:spPr>
                    <a:xfrm>
                      <a:off x="0" y="0"/>
                      <a:ext cx="4480948" cy="845893"/>
                    </a:xfrm>
                    <a:prstGeom prst="rect">
                      <a:avLst/>
                    </a:prstGeom>
                  </pic:spPr>
                </pic:pic>
              </a:graphicData>
            </a:graphic>
          </wp:inline>
        </w:drawing>
      </w:r>
    </w:p>
    <w:p w14:paraId="7E148895" w14:textId="77777777" w:rsidR="00E648F1" w:rsidRDefault="00E648F1" w:rsidP="00E648F1">
      <w:pPr>
        <w:jc w:val="center"/>
        <w:rPr>
          <w:b/>
          <w:bCs/>
        </w:rPr>
      </w:pPr>
      <w:r>
        <w:rPr>
          <w:b/>
          <w:bCs/>
        </w:rPr>
        <w:t>(Figure: Formula for Payback Period)</w:t>
      </w:r>
    </w:p>
    <w:p w14:paraId="74C8A4CD" w14:textId="77777777" w:rsidR="00E648F1" w:rsidRPr="007C0942" w:rsidRDefault="00E648F1" w:rsidP="00E648F1">
      <w:pPr>
        <w:jc w:val="center"/>
        <w:rPr>
          <w:b/>
          <w:bCs/>
        </w:rPr>
      </w:pPr>
      <w:r>
        <w:rPr>
          <w:b/>
          <w:bCs/>
        </w:rPr>
        <w:t xml:space="preserve">Source: </w:t>
      </w:r>
      <w:r>
        <w:t>(Setiawan and Rosa, 2023)</w:t>
      </w:r>
    </w:p>
    <w:p w14:paraId="5067433C" w14:textId="77777777" w:rsidR="00E648F1" w:rsidRDefault="00E648F1" w:rsidP="00E648F1">
      <w:pPr>
        <w:rPr>
          <w:rStyle w:val="Strong"/>
          <w:b w:val="0"/>
          <w:bCs w:val="0"/>
        </w:rPr>
      </w:pPr>
      <w:r>
        <w:rPr>
          <w:rStyle w:val="Strong"/>
          <w:i/>
          <w:iCs/>
        </w:rPr>
        <w:t xml:space="preserve">2. </w:t>
      </w:r>
      <w:r w:rsidRPr="001D44F8">
        <w:rPr>
          <w:rStyle w:val="Strong"/>
          <w:i/>
          <w:iCs/>
        </w:rPr>
        <w:t>Accounting Rate of Return (ARR)</w:t>
      </w:r>
      <w:r>
        <w:rPr>
          <w:rStyle w:val="Strong"/>
          <w:i/>
          <w:iCs/>
        </w:rPr>
        <w:t xml:space="preserve"> </w:t>
      </w:r>
      <w:r w:rsidRPr="00E107C8">
        <w:rPr>
          <w:rStyle w:val="Strong"/>
          <w:i/>
          <w:iCs/>
        </w:rPr>
        <w:t>–</w:t>
      </w:r>
      <w:r>
        <w:rPr>
          <w:rStyle w:val="Strong"/>
          <w:i/>
          <w:iCs/>
        </w:rPr>
        <w:t xml:space="preserve"> </w:t>
      </w:r>
      <w:r>
        <w:rPr>
          <w:rStyle w:val="Strong"/>
          <w:b w:val="0"/>
          <w:bCs w:val="0"/>
        </w:rPr>
        <w:t xml:space="preserve">ARR is defined as the percentage of return that can be expected from an asset or investment, in contrast with the cost of initial investment. Marks &amp; Spencer derives this return percentage by the division of the average revenue of the asset with the initial investment. The financial managers of the company find it useful in the selection of the most profitable projects. It helps the company determine the yearly rate of return that can be expected from a project. The formula of ARR is - </w:t>
      </w:r>
    </w:p>
    <w:p w14:paraId="248B2AE4" w14:textId="77777777" w:rsidR="00E648F1" w:rsidRDefault="00E648F1" w:rsidP="00E648F1">
      <w:pPr>
        <w:jc w:val="center"/>
        <w:rPr>
          <w:rStyle w:val="Strong"/>
          <w:b w:val="0"/>
          <w:bCs w:val="0"/>
        </w:rPr>
      </w:pPr>
      <w:r w:rsidRPr="00AB49B2">
        <w:rPr>
          <w:rStyle w:val="Strong"/>
          <w:b w:val="0"/>
          <w:bCs w:val="0"/>
          <w:noProof/>
        </w:rPr>
        <w:drawing>
          <wp:inline distT="0" distB="0" distL="0" distR="0" wp14:anchorId="1C6ED76C" wp14:editId="634B0CC5">
            <wp:extent cx="3672353" cy="716280"/>
            <wp:effectExtent l="0" t="0" r="4445" b="7620"/>
            <wp:docPr id="956541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541920" name=""/>
                    <pic:cNvPicPr/>
                  </pic:nvPicPr>
                  <pic:blipFill>
                    <a:blip r:embed="rId10"/>
                    <a:stretch>
                      <a:fillRect/>
                    </a:stretch>
                  </pic:blipFill>
                  <pic:spPr>
                    <a:xfrm>
                      <a:off x="0" y="0"/>
                      <a:ext cx="3706449" cy="722930"/>
                    </a:xfrm>
                    <a:prstGeom prst="rect">
                      <a:avLst/>
                    </a:prstGeom>
                  </pic:spPr>
                </pic:pic>
              </a:graphicData>
            </a:graphic>
          </wp:inline>
        </w:drawing>
      </w:r>
    </w:p>
    <w:p w14:paraId="09F93B5B" w14:textId="77777777" w:rsidR="00E648F1" w:rsidRDefault="00E648F1" w:rsidP="00E648F1">
      <w:pPr>
        <w:jc w:val="center"/>
        <w:rPr>
          <w:b/>
          <w:bCs/>
        </w:rPr>
      </w:pPr>
      <w:r>
        <w:rPr>
          <w:b/>
          <w:bCs/>
        </w:rPr>
        <w:t>(Figure: Formula for Average Annual Profit)</w:t>
      </w:r>
    </w:p>
    <w:p w14:paraId="3966D352" w14:textId="447AE18A" w:rsidR="00E648F1" w:rsidRPr="007C0942" w:rsidRDefault="00E648F1" w:rsidP="00E648F1">
      <w:pPr>
        <w:jc w:val="center"/>
        <w:rPr>
          <w:rStyle w:val="Strong"/>
        </w:rPr>
      </w:pPr>
      <w:r>
        <w:rPr>
          <w:b/>
          <w:bCs/>
        </w:rPr>
        <w:t xml:space="preserve">Source: </w:t>
      </w:r>
      <w:r>
        <w:t>(Setiawan and Rosa, 2023)</w:t>
      </w:r>
    </w:p>
    <w:p w14:paraId="38C5D2A5" w14:textId="77777777" w:rsidR="00E648F1" w:rsidRDefault="00E648F1" w:rsidP="00E648F1">
      <w:r>
        <w:rPr>
          <w:rStyle w:val="Strong"/>
          <w:i/>
          <w:iCs/>
        </w:rPr>
        <w:t xml:space="preserve">3. </w:t>
      </w:r>
      <w:r w:rsidRPr="001D44F8">
        <w:rPr>
          <w:rStyle w:val="Strong"/>
          <w:i/>
          <w:iCs/>
        </w:rPr>
        <w:t>Net</w:t>
      </w:r>
      <w:r w:rsidRPr="001D44F8">
        <w:rPr>
          <w:i/>
          <w:iCs/>
        </w:rPr>
        <w:t> </w:t>
      </w:r>
      <w:r w:rsidRPr="001D44F8">
        <w:rPr>
          <w:rStyle w:val="Strong"/>
          <w:i/>
          <w:iCs/>
        </w:rPr>
        <w:t>Present</w:t>
      </w:r>
      <w:r w:rsidRPr="001D44F8">
        <w:rPr>
          <w:i/>
          <w:iCs/>
        </w:rPr>
        <w:t> </w:t>
      </w:r>
      <w:r w:rsidRPr="001D44F8">
        <w:rPr>
          <w:rStyle w:val="Strong"/>
          <w:i/>
          <w:iCs/>
        </w:rPr>
        <w:t>Value</w:t>
      </w:r>
      <w:r w:rsidRPr="001D44F8">
        <w:rPr>
          <w:i/>
          <w:iCs/>
        </w:rPr>
        <w:t> (</w:t>
      </w:r>
      <w:r w:rsidRPr="001D44F8">
        <w:rPr>
          <w:rStyle w:val="Strong"/>
          <w:i/>
          <w:iCs/>
        </w:rPr>
        <w:t>NPV</w:t>
      </w:r>
      <w:r w:rsidRPr="001D44F8">
        <w:rPr>
          <w:i/>
          <w:iCs/>
        </w:rPr>
        <w:t xml:space="preserve">) </w:t>
      </w:r>
      <w:r>
        <w:rPr>
          <w:b/>
          <w:bCs/>
          <w:i/>
          <w:iCs/>
        </w:rPr>
        <w:t>–</w:t>
      </w:r>
      <w:r w:rsidRPr="001D44F8">
        <w:rPr>
          <w:i/>
          <w:iCs/>
        </w:rPr>
        <w:t xml:space="preserve"> </w:t>
      </w:r>
      <w:r>
        <w:t xml:space="preserve">NPV is referred to as the difference present between the cash inflows’ present value and cash outflows’ present value over a certain time period. It is widely implemented in the techniques of capital budgeting and planning of investment, in order to evaluate and determine the investment or project’s profitability. NPV is useful in determining the present value of future payments, that are yet to come, with the help of a discount rate. Marks &amp; Spencer considers projects that have positive NPVs and reject those with negative NPVs. Following is the formula for NPV – </w:t>
      </w:r>
    </w:p>
    <w:p w14:paraId="182EE653" w14:textId="77777777" w:rsidR="00E648F1" w:rsidRDefault="00E648F1" w:rsidP="00E648F1">
      <w:pPr>
        <w:jc w:val="center"/>
      </w:pPr>
      <w:r w:rsidRPr="00D738D4">
        <w:rPr>
          <w:noProof/>
        </w:rPr>
        <w:drawing>
          <wp:inline distT="0" distB="0" distL="0" distR="0" wp14:anchorId="5135C6CB" wp14:editId="171842CC">
            <wp:extent cx="3360420" cy="659177"/>
            <wp:effectExtent l="0" t="0" r="0" b="7620"/>
            <wp:docPr id="1231309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309448" name=""/>
                    <pic:cNvPicPr/>
                  </pic:nvPicPr>
                  <pic:blipFill>
                    <a:blip r:embed="rId11"/>
                    <a:stretch>
                      <a:fillRect/>
                    </a:stretch>
                  </pic:blipFill>
                  <pic:spPr>
                    <a:xfrm>
                      <a:off x="0" y="0"/>
                      <a:ext cx="3529076" cy="692260"/>
                    </a:xfrm>
                    <a:prstGeom prst="rect">
                      <a:avLst/>
                    </a:prstGeom>
                  </pic:spPr>
                </pic:pic>
              </a:graphicData>
            </a:graphic>
          </wp:inline>
        </w:drawing>
      </w:r>
    </w:p>
    <w:p w14:paraId="5A46C495" w14:textId="77777777" w:rsidR="00E648F1" w:rsidRDefault="00E648F1" w:rsidP="00E648F1">
      <w:pPr>
        <w:jc w:val="center"/>
        <w:rPr>
          <w:b/>
          <w:bCs/>
        </w:rPr>
      </w:pPr>
      <w:r>
        <w:rPr>
          <w:b/>
          <w:bCs/>
        </w:rPr>
        <w:t>(Figure: Formula for Net Present Value)</w:t>
      </w:r>
    </w:p>
    <w:p w14:paraId="67F07E70" w14:textId="77777777" w:rsidR="00E648F1" w:rsidRPr="00E107C8" w:rsidRDefault="00E648F1" w:rsidP="00E648F1">
      <w:pPr>
        <w:jc w:val="center"/>
      </w:pPr>
      <w:r>
        <w:rPr>
          <w:b/>
          <w:bCs/>
        </w:rPr>
        <w:t xml:space="preserve">Source: </w:t>
      </w:r>
      <w:r>
        <w:t xml:space="preserve">(Kasprowicz </w:t>
      </w:r>
      <w:r>
        <w:rPr>
          <w:i/>
          <w:iCs/>
        </w:rPr>
        <w:t xml:space="preserve">et al., </w:t>
      </w:r>
      <w:r>
        <w:t>2023)</w:t>
      </w:r>
    </w:p>
    <w:p w14:paraId="102F87A0" w14:textId="290BBA48" w:rsidR="00E648F1" w:rsidRDefault="00E648F1" w:rsidP="00E648F1">
      <w:pPr>
        <w:rPr>
          <w:rStyle w:val="Strong"/>
          <w:b w:val="0"/>
          <w:bCs w:val="0"/>
        </w:rPr>
      </w:pPr>
      <w:r>
        <w:rPr>
          <w:rStyle w:val="Strong"/>
          <w:i/>
          <w:iCs/>
        </w:rPr>
        <w:t xml:space="preserve">4. </w:t>
      </w:r>
      <w:r w:rsidRPr="001D44F8">
        <w:rPr>
          <w:rStyle w:val="Strong"/>
          <w:i/>
          <w:iCs/>
        </w:rPr>
        <w:t>Internal Rate of Return (IRR)</w:t>
      </w:r>
      <w:r>
        <w:rPr>
          <w:rStyle w:val="Strong"/>
          <w:i/>
          <w:iCs/>
        </w:rPr>
        <w:t xml:space="preserve"> – </w:t>
      </w:r>
      <w:r>
        <w:rPr>
          <w:rStyle w:val="Strong"/>
          <w:b w:val="0"/>
          <w:bCs w:val="0"/>
        </w:rPr>
        <w:t xml:space="preserve">IRR is a financial metric implemented in analysis, in order to estimate and evaluate an investment’s profitability. All the cash flows’ NPV becomes zero at a certain discount rate, and that discount rate is the IRR. The formula of IRR is the same as that of NPV. The calculations of IRR are dependent upon the calculations of IRR. Marks &amp; Spencer selects projects and investments that have a higher IRR. The company uses this appraisal technique to rank mutually exclusive investments. Investments and projects with high IRR have the probability to be highly </w:t>
      </w:r>
      <w:r w:rsidR="00466851">
        <w:rPr>
          <w:rStyle w:val="Strong"/>
          <w:b w:val="0"/>
          <w:bCs w:val="0"/>
        </w:rPr>
        <w:t xml:space="preserve">profitable </w:t>
      </w:r>
      <w:r w:rsidR="00466851">
        <w:t>(</w:t>
      </w:r>
      <w:r>
        <w:t>Hazen and Magni, 2021)</w:t>
      </w:r>
      <w:r>
        <w:rPr>
          <w:rStyle w:val="Strong"/>
          <w:b w:val="0"/>
          <w:bCs w:val="0"/>
        </w:rPr>
        <w:t>.</w:t>
      </w:r>
    </w:p>
    <w:p w14:paraId="0A72BF0C" w14:textId="77777777" w:rsidR="00E648F1" w:rsidRDefault="00E648F1" w:rsidP="00E648F1">
      <w:pPr>
        <w:rPr>
          <w:rStyle w:val="Strong"/>
          <w:b w:val="0"/>
          <w:bCs w:val="0"/>
        </w:rPr>
      </w:pPr>
      <w:r>
        <w:rPr>
          <w:rStyle w:val="Strong"/>
          <w:b w:val="0"/>
          <w:bCs w:val="0"/>
        </w:rPr>
        <w:t xml:space="preserve">Marks &amp; Spencer uses these techniques for selecting a project or before making an investment. For instance, the company decided to invest 480 million British pounds in a rotation project for stores. The company might have used these appraisal methods, before making the decision. </w:t>
      </w:r>
    </w:p>
    <w:p w14:paraId="13B0ECE2" w14:textId="77777777" w:rsidR="00E648F1" w:rsidRDefault="00E648F1">
      <w:pPr>
        <w:spacing w:line="259" w:lineRule="auto"/>
        <w:jc w:val="left"/>
        <w:rPr>
          <w:rStyle w:val="Strong"/>
          <w:rFonts w:eastAsiaTheme="majorEastAsia" w:cs="Arial"/>
          <w:color w:val="000000"/>
          <w:sz w:val="28"/>
          <w:szCs w:val="56"/>
        </w:rPr>
      </w:pPr>
      <w:r>
        <w:rPr>
          <w:rStyle w:val="Strong"/>
          <w:b w:val="0"/>
          <w:bCs w:val="0"/>
        </w:rPr>
        <w:br w:type="page"/>
      </w:r>
    </w:p>
    <w:p w14:paraId="6F17F27E" w14:textId="47228E11" w:rsidR="00E648F1" w:rsidRDefault="00E648F1" w:rsidP="00E648F1">
      <w:pPr>
        <w:pStyle w:val="Heading1"/>
        <w:rPr>
          <w:rStyle w:val="Strong"/>
          <w:b/>
          <w:bCs/>
        </w:rPr>
      </w:pPr>
      <w:bookmarkStart w:id="12" w:name="_Toc143091813"/>
      <w:bookmarkStart w:id="13" w:name="_Toc143092782"/>
      <w:r>
        <w:rPr>
          <w:rStyle w:val="Strong"/>
          <w:b/>
          <w:bCs/>
        </w:rPr>
        <w:t>Conclusion</w:t>
      </w:r>
      <w:bookmarkEnd w:id="12"/>
      <w:bookmarkEnd w:id="13"/>
    </w:p>
    <w:p w14:paraId="55D389EA" w14:textId="5C1906B1" w:rsidR="00C156F6" w:rsidRDefault="00E648F1" w:rsidP="00071AC2">
      <w:r>
        <w:t xml:space="preserve">The report has discussed the significance of International Financial Management in Marks &amp; Spencer, a British multinational retail company. The dividend distribution policies, for the company’s shareholders have been identified and discussed in detail. In addition to this, the problems and challenges faced by the multinational retailer are also identified and addressed. The theory of market hypothesis has also been discussed, in the context of Marks &amp; Spencer. Lastly, the methods of project appraisal in the company are understood and discussed. </w:t>
      </w:r>
    </w:p>
    <w:p w14:paraId="3B1CE0DD" w14:textId="77777777" w:rsidR="00C156F6" w:rsidRDefault="00C156F6">
      <w:pPr>
        <w:spacing w:line="259" w:lineRule="auto"/>
        <w:jc w:val="left"/>
      </w:pPr>
      <w:r>
        <w:br w:type="page"/>
      </w:r>
    </w:p>
    <w:p w14:paraId="5DEB61A3" w14:textId="77777777" w:rsidR="00CE39A4" w:rsidRDefault="00C156F6" w:rsidP="00C156F6">
      <w:pPr>
        <w:pStyle w:val="Heading1"/>
      </w:pPr>
      <w:bookmarkStart w:id="14" w:name="_Toc143091814"/>
      <w:bookmarkStart w:id="15" w:name="_Toc143092783"/>
      <w:r>
        <w:t>References</w:t>
      </w:r>
      <w:bookmarkEnd w:id="14"/>
      <w:bookmarkEnd w:id="15"/>
    </w:p>
    <w:p w14:paraId="5A3819FD" w14:textId="77777777" w:rsidR="005578A1" w:rsidRDefault="005578A1" w:rsidP="007339CB">
      <w:r>
        <w:t xml:space="preserve">Baldridge, R., (2022). What Is the Efficient Market </w:t>
      </w:r>
      <w:proofErr w:type="gramStart"/>
      <w:r>
        <w:t>Hypothesis?.</w:t>
      </w:r>
      <w:proofErr w:type="gramEnd"/>
      <w:r>
        <w:t xml:space="preserve"> [Online] Available at: </w:t>
      </w:r>
      <w:r w:rsidRPr="007339CB">
        <w:t>https://www.forbes.com/advisor/investing/efficient-market-hypothesis/</w:t>
      </w:r>
      <w:r>
        <w:t xml:space="preserve"> [Accessed 16 August 2023].</w:t>
      </w:r>
    </w:p>
    <w:p w14:paraId="3549D35B" w14:textId="77777777" w:rsidR="005578A1" w:rsidRDefault="005578A1" w:rsidP="00E648F1">
      <w:pPr>
        <w:rPr>
          <w:shd w:val="clear" w:color="auto" w:fill="FFFFFF"/>
        </w:rPr>
      </w:pPr>
      <w:r>
        <w:rPr>
          <w:shd w:val="clear" w:color="auto" w:fill="FFFFFF"/>
        </w:rPr>
        <w:t>Hazen, G. and Magni, C.A., (2021). Average internal rate of return for risky projects. </w:t>
      </w:r>
      <w:r>
        <w:rPr>
          <w:i/>
          <w:iCs/>
          <w:shd w:val="clear" w:color="auto" w:fill="FFFFFF"/>
        </w:rPr>
        <w:t>The Engineering Economist</w:t>
      </w:r>
      <w:r>
        <w:rPr>
          <w:shd w:val="clear" w:color="auto" w:fill="FFFFFF"/>
        </w:rPr>
        <w:t>, </w:t>
      </w:r>
      <w:r>
        <w:rPr>
          <w:i/>
          <w:iCs/>
          <w:shd w:val="clear" w:color="auto" w:fill="FFFFFF"/>
        </w:rPr>
        <w:t>66</w:t>
      </w:r>
      <w:r>
        <w:rPr>
          <w:shd w:val="clear" w:color="auto" w:fill="FFFFFF"/>
        </w:rPr>
        <w:t>(2).</w:t>
      </w:r>
    </w:p>
    <w:p w14:paraId="6C3E18BB" w14:textId="77777777" w:rsidR="005578A1" w:rsidRDefault="005578A1" w:rsidP="00E648F1">
      <w:pPr>
        <w:rPr>
          <w:shd w:val="clear" w:color="auto" w:fill="FFFFFF"/>
        </w:rPr>
      </w:pPr>
      <w:r>
        <w:rPr>
          <w:shd w:val="clear" w:color="auto" w:fill="FFFFFF"/>
        </w:rPr>
        <w:t xml:space="preserve">Kasprowicz, T., </w:t>
      </w:r>
      <w:proofErr w:type="spellStart"/>
      <w:r>
        <w:rPr>
          <w:shd w:val="clear" w:color="auto" w:fill="FFFFFF"/>
        </w:rPr>
        <w:t>Starczyk-Kołbyk</w:t>
      </w:r>
      <w:proofErr w:type="spellEnd"/>
      <w:r>
        <w:rPr>
          <w:shd w:val="clear" w:color="auto" w:fill="FFFFFF"/>
        </w:rPr>
        <w:t>, A. and Wójcik, R.R., (2023). The randomized method of estimating the net present value of construction projects efficiency. </w:t>
      </w:r>
      <w:r>
        <w:rPr>
          <w:i/>
          <w:iCs/>
          <w:shd w:val="clear" w:color="auto" w:fill="FFFFFF"/>
        </w:rPr>
        <w:t>International journal of construction management</w:t>
      </w:r>
      <w:r>
        <w:rPr>
          <w:shd w:val="clear" w:color="auto" w:fill="FFFFFF"/>
        </w:rPr>
        <w:t>, </w:t>
      </w:r>
      <w:r>
        <w:rPr>
          <w:i/>
          <w:iCs/>
          <w:shd w:val="clear" w:color="auto" w:fill="FFFFFF"/>
        </w:rPr>
        <w:t>23</w:t>
      </w:r>
      <w:r>
        <w:rPr>
          <w:shd w:val="clear" w:color="auto" w:fill="FFFFFF"/>
        </w:rPr>
        <w:t>(12).</w:t>
      </w:r>
    </w:p>
    <w:p w14:paraId="2547B37F" w14:textId="77777777" w:rsidR="005578A1" w:rsidRDefault="005578A1" w:rsidP="007339CB">
      <w:proofErr w:type="spellStart"/>
      <w:r w:rsidRPr="00C156F6">
        <w:t>Leković</w:t>
      </w:r>
      <w:proofErr w:type="spellEnd"/>
      <w:r w:rsidRPr="00C156F6">
        <w:t xml:space="preserve">, M., </w:t>
      </w:r>
      <w:r>
        <w:t>(</w:t>
      </w:r>
      <w:r w:rsidRPr="00C156F6">
        <w:t>2018</w:t>
      </w:r>
      <w:r>
        <w:t>)</w:t>
      </w:r>
      <w:r w:rsidRPr="00C156F6">
        <w:t>. Evidence for and against the validity of efficient market hypothesis. Economic themes.</w:t>
      </w:r>
    </w:p>
    <w:p w14:paraId="4ABDE8D3" w14:textId="77777777" w:rsidR="005578A1" w:rsidRDefault="005578A1" w:rsidP="00E648F1">
      <w:pPr>
        <w:rPr>
          <w:shd w:val="clear" w:color="auto" w:fill="FFFFFF"/>
        </w:rPr>
      </w:pPr>
      <w:r>
        <w:rPr>
          <w:shd w:val="clear" w:color="auto" w:fill="FFFFFF"/>
        </w:rPr>
        <w:t>Madura, J., (2020). </w:t>
      </w:r>
      <w:r>
        <w:rPr>
          <w:i/>
          <w:iCs/>
          <w:shd w:val="clear" w:color="auto" w:fill="FFFFFF"/>
        </w:rPr>
        <w:t>International financial management</w:t>
      </w:r>
      <w:r>
        <w:rPr>
          <w:shd w:val="clear" w:color="auto" w:fill="FFFFFF"/>
        </w:rPr>
        <w:t>. Cengage Learning.</w:t>
      </w:r>
    </w:p>
    <w:p w14:paraId="7299D0BF" w14:textId="77777777" w:rsidR="005578A1" w:rsidRDefault="005578A1" w:rsidP="007339CB">
      <w:r>
        <w:t xml:space="preserve">Madura, J., (2023). Marks &amp; Spencer Foreign Exchange Risk Exposure - Case Study Example. [Online] Available at: </w:t>
      </w:r>
      <w:r w:rsidRPr="007339CB">
        <w:t>https://studentshare.org/business/1737201-treasury</w:t>
      </w:r>
      <w:r>
        <w:t xml:space="preserve"> [Accessed 16 August 2023].</w:t>
      </w:r>
    </w:p>
    <w:p w14:paraId="11EA3762" w14:textId="77777777" w:rsidR="005578A1" w:rsidRDefault="005578A1" w:rsidP="00C156F6">
      <w:proofErr w:type="spellStart"/>
      <w:r>
        <w:t>marksandspencer</w:t>
      </w:r>
      <w:proofErr w:type="spellEnd"/>
      <w:r>
        <w:t xml:space="preserve">, (2023). M&amp;S. [Online] Available at: </w:t>
      </w:r>
      <w:r w:rsidRPr="00FE4246">
        <w:t>https://www.marksandspencer.com/</w:t>
      </w:r>
      <w:r>
        <w:t xml:space="preserve"> [Accessed 16 August 2023].</w:t>
      </w:r>
    </w:p>
    <w:p w14:paraId="615B7827" w14:textId="77777777" w:rsidR="005578A1" w:rsidRDefault="005578A1" w:rsidP="00E648F1">
      <w:pPr>
        <w:rPr>
          <w:shd w:val="clear" w:color="auto" w:fill="FFFFFF"/>
        </w:rPr>
      </w:pPr>
      <w:r>
        <w:rPr>
          <w:shd w:val="clear" w:color="auto" w:fill="FFFFFF"/>
        </w:rPr>
        <w:t>Pinto, G., Rastogi, S., Kadam, S. and Sharma, A., (2020). Bibliometric study on dividend policy. </w:t>
      </w:r>
      <w:r>
        <w:rPr>
          <w:i/>
          <w:iCs/>
          <w:shd w:val="clear" w:color="auto" w:fill="FFFFFF"/>
        </w:rPr>
        <w:t>Qualitative research in financial markets</w:t>
      </w:r>
      <w:r>
        <w:rPr>
          <w:shd w:val="clear" w:color="auto" w:fill="FFFFFF"/>
        </w:rPr>
        <w:t>, </w:t>
      </w:r>
      <w:r>
        <w:rPr>
          <w:i/>
          <w:iCs/>
          <w:shd w:val="clear" w:color="auto" w:fill="FFFFFF"/>
        </w:rPr>
        <w:t>12</w:t>
      </w:r>
      <w:r>
        <w:rPr>
          <w:shd w:val="clear" w:color="auto" w:fill="FFFFFF"/>
        </w:rPr>
        <w:t>(1).</w:t>
      </w:r>
    </w:p>
    <w:p w14:paraId="0D1D49EF" w14:textId="77777777" w:rsidR="005578A1" w:rsidRPr="00C156F6" w:rsidRDefault="005578A1" w:rsidP="00C156F6">
      <w:r>
        <w:rPr>
          <w:shd w:val="clear" w:color="auto" w:fill="FFFFFF"/>
        </w:rPr>
        <w:t>Setiawan, C.A. and Rosa, T., (2023). The Analysis of The Effect of Return of Investment (ROI) on Stock Price and Financial Performance of a Company. </w:t>
      </w:r>
      <w:r>
        <w:rPr>
          <w:i/>
          <w:iCs/>
          <w:shd w:val="clear" w:color="auto" w:fill="FFFFFF"/>
        </w:rPr>
        <w:t>Journal of Accounting, Management, Economics, and Business (ANALYSIS)</w:t>
      </w:r>
      <w:r>
        <w:rPr>
          <w:shd w:val="clear" w:color="auto" w:fill="FFFFFF"/>
        </w:rPr>
        <w:t>, </w:t>
      </w:r>
      <w:r>
        <w:rPr>
          <w:i/>
          <w:iCs/>
          <w:shd w:val="clear" w:color="auto" w:fill="FFFFFF"/>
        </w:rPr>
        <w:t>1</w:t>
      </w:r>
      <w:r>
        <w:rPr>
          <w:shd w:val="clear" w:color="auto" w:fill="FFFFFF"/>
        </w:rPr>
        <w:t>(1).</w:t>
      </w:r>
    </w:p>
    <w:p w14:paraId="37AA2087" w14:textId="77777777" w:rsidR="005578A1" w:rsidRDefault="005578A1" w:rsidP="00E648F1">
      <w:pPr>
        <w:rPr>
          <w:shd w:val="clear" w:color="auto" w:fill="FFFFFF"/>
        </w:rPr>
      </w:pPr>
      <w:r>
        <w:rPr>
          <w:shd w:val="clear" w:color="auto" w:fill="FFFFFF"/>
        </w:rPr>
        <w:t xml:space="preserve">Shapiro, A.C. and </w:t>
      </w:r>
      <w:proofErr w:type="spellStart"/>
      <w:r>
        <w:rPr>
          <w:shd w:val="clear" w:color="auto" w:fill="FFFFFF"/>
        </w:rPr>
        <w:t>Hanouna</w:t>
      </w:r>
      <w:proofErr w:type="spellEnd"/>
      <w:r>
        <w:rPr>
          <w:shd w:val="clear" w:color="auto" w:fill="FFFFFF"/>
        </w:rPr>
        <w:t>, P., (2019). </w:t>
      </w:r>
      <w:r>
        <w:rPr>
          <w:i/>
          <w:iCs/>
          <w:shd w:val="clear" w:color="auto" w:fill="FFFFFF"/>
        </w:rPr>
        <w:t>Multinational financial management</w:t>
      </w:r>
      <w:r>
        <w:rPr>
          <w:shd w:val="clear" w:color="auto" w:fill="FFFFFF"/>
        </w:rPr>
        <w:t>. John Wiley &amp; Sons.</w:t>
      </w:r>
    </w:p>
    <w:sectPr w:rsidR="005578A1" w:rsidSect="0079248E">
      <w:headerReference w:type="default"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AC298" w14:textId="77777777" w:rsidR="007A2E48" w:rsidRDefault="007A2E48" w:rsidP="001B37B2">
      <w:pPr>
        <w:spacing w:after="0" w:line="240" w:lineRule="auto"/>
      </w:pPr>
      <w:r>
        <w:separator/>
      </w:r>
    </w:p>
  </w:endnote>
  <w:endnote w:type="continuationSeparator" w:id="0">
    <w:p w14:paraId="2FBB9EF1" w14:textId="77777777" w:rsidR="007A2E48" w:rsidRDefault="007A2E48" w:rsidP="001B3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555053"/>
      <w:docPartObj>
        <w:docPartGallery w:val="Page Numbers (Bottom of Page)"/>
        <w:docPartUnique/>
      </w:docPartObj>
    </w:sdtPr>
    <w:sdtEndPr/>
    <w:sdtContent>
      <w:sdt>
        <w:sdtPr>
          <w:id w:val="-1769616900"/>
          <w:docPartObj>
            <w:docPartGallery w:val="Page Numbers (Top of Page)"/>
            <w:docPartUnique/>
          </w:docPartObj>
        </w:sdtPr>
        <w:sdtEndPr/>
        <w:sdtContent>
          <w:p w14:paraId="5D9A3404" w14:textId="121337F2" w:rsidR="0079248E" w:rsidRDefault="0079248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0EA36EA" w14:textId="77777777" w:rsidR="00633125" w:rsidRDefault="006331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A39A97" w14:textId="77777777" w:rsidR="007A2E48" w:rsidRDefault="007A2E48" w:rsidP="001B37B2">
      <w:pPr>
        <w:spacing w:after="0" w:line="240" w:lineRule="auto"/>
      </w:pPr>
      <w:r>
        <w:separator/>
      </w:r>
    </w:p>
  </w:footnote>
  <w:footnote w:type="continuationSeparator" w:id="0">
    <w:p w14:paraId="2B9A2B56" w14:textId="77777777" w:rsidR="007A2E48" w:rsidRDefault="007A2E48" w:rsidP="001B37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F372A" w14:textId="0630B9EC" w:rsidR="0079248E" w:rsidRDefault="0079248E" w:rsidP="0079248E">
    <w:pPr>
      <w:pStyle w:val="Header"/>
      <w:jc w:val="right"/>
    </w:pPr>
    <w:r>
      <w:t>International Financial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7B2"/>
    <w:rsid w:val="000001AC"/>
    <w:rsid w:val="0001369D"/>
    <w:rsid w:val="00020DEF"/>
    <w:rsid w:val="00056E49"/>
    <w:rsid w:val="0005700D"/>
    <w:rsid w:val="00071AC2"/>
    <w:rsid w:val="000A1C46"/>
    <w:rsid w:val="000B1923"/>
    <w:rsid w:val="000C7291"/>
    <w:rsid w:val="000D167D"/>
    <w:rsid w:val="000D75CA"/>
    <w:rsid w:val="000F7C75"/>
    <w:rsid w:val="00107377"/>
    <w:rsid w:val="00113FA6"/>
    <w:rsid w:val="001161B1"/>
    <w:rsid w:val="00161A5C"/>
    <w:rsid w:val="001A11FB"/>
    <w:rsid w:val="001B37B2"/>
    <w:rsid w:val="001B4E8C"/>
    <w:rsid w:val="001C555B"/>
    <w:rsid w:val="001D227D"/>
    <w:rsid w:val="001D5A93"/>
    <w:rsid w:val="001E149A"/>
    <w:rsid w:val="00257AB9"/>
    <w:rsid w:val="002655C2"/>
    <w:rsid w:val="00295835"/>
    <w:rsid w:val="002D6790"/>
    <w:rsid w:val="00310CFA"/>
    <w:rsid w:val="00320E04"/>
    <w:rsid w:val="003542D3"/>
    <w:rsid w:val="00356D9C"/>
    <w:rsid w:val="0037360C"/>
    <w:rsid w:val="00373FDE"/>
    <w:rsid w:val="003A20B8"/>
    <w:rsid w:val="003D1E5A"/>
    <w:rsid w:val="003D3CD6"/>
    <w:rsid w:val="00450DB4"/>
    <w:rsid w:val="00451687"/>
    <w:rsid w:val="004636A4"/>
    <w:rsid w:val="00466851"/>
    <w:rsid w:val="004A2912"/>
    <w:rsid w:val="004D0EAC"/>
    <w:rsid w:val="004D747E"/>
    <w:rsid w:val="004D7A74"/>
    <w:rsid w:val="00503089"/>
    <w:rsid w:val="005108C3"/>
    <w:rsid w:val="00514BA8"/>
    <w:rsid w:val="005578A1"/>
    <w:rsid w:val="00582E64"/>
    <w:rsid w:val="0059731C"/>
    <w:rsid w:val="005A25B7"/>
    <w:rsid w:val="005D3EA1"/>
    <w:rsid w:val="005D4FAF"/>
    <w:rsid w:val="005F60B2"/>
    <w:rsid w:val="006237DB"/>
    <w:rsid w:val="00633125"/>
    <w:rsid w:val="006450D7"/>
    <w:rsid w:val="00647CB7"/>
    <w:rsid w:val="00663C49"/>
    <w:rsid w:val="006C68AF"/>
    <w:rsid w:val="006D5262"/>
    <w:rsid w:val="00727161"/>
    <w:rsid w:val="007339CB"/>
    <w:rsid w:val="0073574B"/>
    <w:rsid w:val="00742F48"/>
    <w:rsid w:val="00755772"/>
    <w:rsid w:val="00786FE1"/>
    <w:rsid w:val="0079248E"/>
    <w:rsid w:val="007A2E48"/>
    <w:rsid w:val="007B5902"/>
    <w:rsid w:val="007C79B5"/>
    <w:rsid w:val="0080066F"/>
    <w:rsid w:val="00822C9B"/>
    <w:rsid w:val="00823F34"/>
    <w:rsid w:val="00894AD8"/>
    <w:rsid w:val="008C2429"/>
    <w:rsid w:val="008C3EAA"/>
    <w:rsid w:val="008D2D39"/>
    <w:rsid w:val="008E15E6"/>
    <w:rsid w:val="008E5366"/>
    <w:rsid w:val="00942198"/>
    <w:rsid w:val="00961DE5"/>
    <w:rsid w:val="00973320"/>
    <w:rsid w:val="00977621"/>
    <w:rsid w:val="009B522B"/>
    <w:rsid w:val="00A07FA9"/>
    <w:rsid w:val="00A17EA5"/>
    <w:rsid w:val="00A50262"/>
    <w:rsid w:val="00A5202D"/>
    <w:rsid w:val="00A54B66"/>
    <w:rsid w:val="00A554A2"/>
    <w:rsid w:val="00A6301E"/>
    <w:rsid w:val="00A6387E"/>
    <w:rsid w:val="00AA6ABF"/>
    <w:rsid w:val="00AE3FCF"/>
    <w:rsid w:val="00AE698B"/>
    <w:rsid w:val="00B03FDB"/>
    <w:rsid w:val="00B7496D"/>
    <w:rsid w:val="00BA2C35"/>
    <w:rsid w:val="00BA7A42"/>
    <w:rsid w:val="00BC301E"/>
    <w:rsid w:val="00BD0B0B"/>
    <w:rsid w:val="00BD4410"/>
    <w:rsid w:val="00BE7771"/>
    <w:rsid w:val="00BF634A"/>
    <w:rsid w:val="00BF7BA6"/>
    <w:rsid w:val="00C05071"/>
    <w:rsid w:val="00C156F6"/>
    <w:rsid w:val="00C23DD5"/>
    <w:rsid w:val="00C2693F"/>
    <w:rsid w:val="00C3051C"/>
    <w:rsid w:val="00C372D0"/>
    <w:rsid w:val="00C40A1A"/>
    <w:rsid w:val="00C4697E"/>
    <w:rsid w:val="00CA0259"/>
    <w:rsid w:val="00CC4472"/>
    <w:rsid w:val="00CE39A4"/>
    <w:rsid w:val="00CF4F5F"/>
    <w:rsid w:val="00D3414E"/>
    <w:rsid w:val="00D406AD"/>
    <w:rsid w:val="00D45E84"/>
    <w:rsid w:val="00D53F1D"/>
    <w:rsid w:val="00D560A3"/>
    <w:rsid w:val="00D73BFF"/>
    <w:rsid w:val="00D821D4"/>
    <w:rsid w:val="00DA7143"/>
    <w:rsid w:val="00DD6BFE"/>
    <w:rsid w:val="00DE480F"/>
    <w:rsid w:val="00DF5D2E"/>
    <w:rsid w:val="00E1190C"/>
    <w:rsid w:val="00E648F1"/>
    <w:rsid w:val="00E72206"/>
    <w:rsid w:val="00E8034A"/>
    <w:rsid w:val="00E9295E"/>
    <w:rsid w:val="00EA13EF"/>
    <w:rsid w:val="00EC4696"/>
    <w:rsid w:val="00EF6C4E"/>
    <w:rsid w:val="00F2796D"/>
    <w:rsid w:val="00F3682F"/>
    <w:rsid w:val="00F53FD5"/>
    <w:rsid w:val="00F61EAA"/>
    <w:rsid w:val="00F76049"/>
    <w:rsid w:val="00F7621E"/>
    <w:rsid w:val="00FB4BBC"/>
    <w:rsid w:val="00FE4246"/>
    <w:rsid w:val="00FF0513"/>
    <w:rsid w:val="00FF4DE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BFB97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FDE"/>
    <w:pPr>
      <w:spacing w:line="480" w:lineRule="auto"/>
      <w:jc w:val="both"/>
    </w:pPr>
    <w:rPr>
      <w:rFonts w:ascii="Times New Roman" w:hAnsi="Times New Roman"/>
      <w:kern w:val="0"/>
      <w:sz w:val="24"/>
      <w:lang w:val="en-GB"/>
    </w:rPr>
  </w:style>
  <w:style w:type="paragraph" w:styleId="Heading1">
    <w:name w:val="heading 1"/>
    <w:basedOn w:val="Normal"/>
    <w:next w:val="Normal"/>
    <w:link w:val="Heading1Char"/>
    <w:autoRedefine/>
    <w:uiPriority w:val="9"/>
    <w:qFormat/>
    <w:rsid w:val="00A50262"/>
    <w:pPr>
      <w:keepNext/>
      <w:keepLines/>
      <w:spacing w:before="480"/>
      <w:outlineLvl w:val="0"/>
    </w:pPr>
    <w:rPr>
      <w:rFonts w:eastAsiaTheme="majorEastAsia" w:cs="Arial"/>
      <w:b/>
      <w:bCs/>
      <w:color w:val="000000"/>
      <w:sz w:val="28"/>
      <w:szCs w:val="56"/>
    </w:rPr>
  </w:style>
  <w:style w:type="paragraph" w:styleId="Heading2">
    <w:name w:val="heading 2"/>
    <w:basedOn w:val="Normal"/>
    <w:next w:val="Normal"/>
    <w:link w:val="Heading2Char"/>
    <w:autoRedefine/>
    <w:uiPriority w:val="9"/>
    <w:unhideWhenUsed/>
    <w:qFormat/>
    <w:rsid w:val="001D5A93"/>
    <w:pPr>
      <w:keepNext/>
      <w:keepLines/>
      <w:spacing w:before="40"/>
      <w:outlineLvl w:val="1"/>
    </w:pPr>
    <w:rPr>
      <w:rFonts w:eastAsiaTheme="majorEastAsia" w:cstheme="majorBidi"/>
      <w:b/>
      <w:sz w:val="26"/>
      <w:szCs w:val="26"/>
      <w:shd w:val="clear" w:color="auto" w:fill="FFFFFF"/>
      <w:lang w:val="en-IN"/>
    </w:rPr>
  </w:style>
  <w:style w:type="paragraph" w:styleId="Heading3">
    <w:name w:val="heading 3"/>
    <w:basedOn w:val="Normal"/>
    <w:next w:val="Normal"/>
    <w:link w:val="Heading3Char"/>
    <w:autoRedefine/>
    <w:uiPriority w:val="9"/>
    <w:unhideWhenUsed/>
    <w:qFormat/>
    <w:rsid w:val="00BD0B0B"/>
    <w:pPr>
      <w:keepNext/>
      <w:keepLines/>
      <w:spacing w:before="40"/>
      <w:outlineLvl w:val="2"/>
    </w:pPr>
    <w:rPr>
      <w:rFonts w:eastAsiaTheme="majorEastAsia" w:cstheme="majorBidi"/>
      <w:bCs/>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262"/>
    <w:rPr>
      <w:rFonts w:ascii="Times New Roman" w:eastAsiaTheme="majorEastAsia" w:hAnsi="Times New Roman" w:cs="Arial"/>
      <w:b/>
      <w:bCs/>
      <w:color w:val="000000"/>
      <w:kern w:val="0"/>
      <w:sz w:val="28"/>
      <w:szCs w:val="56"/>
      <w:lang w:val="en-GB"/>
    </w:rPr>
  </w:style>
  <w:style w:type="character" w:customStyle="1" w:styleId="Heading2Char">
    <w:name w:val="Heading 2 Char"/>
    <w:basedOn w:val="DefaultParagraphFont"/>
    <w:link w:val="Heading2"/>
    <w:uiPriority w:val="9"/>
    <w:rsid w:val="001D5A93"/>
    <w:rPr>
      <w:rFonts w:ascii="Times New Roman" w:eastAsiaTheme="majorEastAsia" w:hAnsi="Times New Roman" w:cstheme="majorBidi"/>
      <w:b/>
      <w:sz w:val="26"/>
      <w:szCs w:val="26"/>
    </w:rPr>
  </w:style>
  <w:style w:type="paragraph" w:styleId="Title">
    <w:name w:val="Title"/>
    <w:basedOn w:val="Normal"/>
    <w:next w:val="Normal"/>
    <w:link w:val="TitleChar"/>
    <w:autoRedefine/>
    <w:uiPriority w:val="10"/>
    <w:qFormat/>
    <w:rsid w:val="00DD6BFE"/>
    <w:pPr>
      <w:spacing w:line="240" w:lineRule="auto"/>
      <w:contextualSpacing/>
    </w:pPr>
    <w:rPr>
      <w:rFonts w:asciiTheme="majorHAnsi" w:eastAsiaTheme="majorEastAsia" w:hAnsiTheme="majorHAnsi" w:cstheme="majorBidi"/>
      <w:color w:val="FFFFFF" w:themeColor="background1"/>
      <w:spacing w:val="-10"/>
      <w:kern w:val="28"/>
      <w:sz w:val="28"/>
      <w:szCs w:val="56"/>
    </w:rPr>
  </w:style>
  <w:style w:type="character" w:customStyle="1" w:styleId="TitleChar">
    <w:name w:val="Title Char"/>
    <w:basedOn w:val="DefaultParagraphFont"/>
    <w:link w:val="Title"/>
    <w:uiPriority w:val="10"/>
    <w:rsid w:val="00DD6BFE"/>
    <w:rPr>
      <w:rFonts w:asciiTheme="majorHAnsi" w:eastAsiaTheme="majorEastAsia" w:hAnsiTheme="majorHAnsi" w:cstheme="majorBidi"/>
      <w:color w:val="FFFFFF" w:themeColor="background1"/>
      <w:spacing w:val="-10"/>
      <w:kern w:val="28"/>
      <w:sz w:val="28"/>
      <w:szCs w:val="56"/>
    </w:rPr>
  </w:style>
  <w:style w:type="character" w:customStyle="1" w:styleId="Heading3Char">
    <w:name w:val="Heading 3 Char"/>
    <w:basedOn w:val="DefaultParagraphFont"/>
    <w:link w:val="Heading3"/>
    <w:uiPriority w:val="9"/>
    <w:rsid w:val="00BD0B0B"/>
    <w:rPr>
      <w:rFonts w:ascii="Times New Roman" w:eastAsiaTheme="majorEastAsia" w:hAnsi="Times New Roman" w:cstheme="majorBidi"/>
      <w:bCs/>
      <w:i/>
      <w:sz w:val="24"/>
      <w:szCs w:val="24"/>
      <w:u w:val="single"/>
      <w:lang w:val="en-GB"/>
    </w:rPr>
  </w:style>
  <w:style w:type="paragraph" w:styleId="NoSpacing">
    <w:name w:val="No Spacing"/>
    <w:autoRedefine/>
    <w:uiPriority w:val="1"/>
    <w:qFormat/>
    <w:rsid w:val="00DE480F"/>
    <w:pPr>
      <w:spacing w:after="0" w:line="240" w:lineRule="auto"/>
      <w:jc w:val="both"/>
    </w:pPr>
    <w:rPr>
      <w:rFonts w:ascii="Times New Roman" w:hAnsi="Times New Roman"/>
      <w:sz w:val="24"/>
      <w:lang w:val="en-GB"/>
    </w:rPr>
  </w:style>
  <w:style w:type="paragraph" w:styleId="Header">
    <w:name w:val="header"/>
    <w:basedOn w:val="Normal"/>
    <w:link w:val="HeaderChar"/>
    <w:uiPriority w:val="99"/>
    <w:unhideWhenUsed/>
    <w:rsid w:val="001B3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37B2"/>
    <w:rPr>
      <w:rFonts w:ascii="Times New Roman" w:hAnsi="Times New Roman"/>
      <w:kern w:val="0"/>
      <w:sz w:val="24"/>
      <w:lang w:val="en-GB"/>
    </w:rPr>
  </w:style>
  <w:style w:type="paragraph" w:styleId="Footer">
    <w:name w:val="footer"/>
    <w:basedOn w:val="Normal"/>
    <w:link w:val="FooterChar"/>
    <w:uiPriority w:val="99"/>
    <w:unhideWhenUsed/>
    <w:rsid w:val="001B3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37B2"/>
    <w:rPr>
      <w:rFonts w:ascii="Times New Roman" w:hAnsi="Times New Roman"/>
      <w:kern w:val="0"/>
      <w:sz w:val="24"/>
      <w:lang w:val="en-GB"/>
    </w:rPr>
  </w:style>
  <w:style w:type="paragraph" w:styleId="Bibliography">
    <w:name w:val="Bibliography"/>
    <w:basedOn w:val="Normal"/>
    <w:next w:val="Normal"/>
    <w:uiPriority w:val="37"/>
    <w:unhideWhenUsed/>
    <w:rsid w:val="007339CB"/>
  </w:style>
  <w:style w:type="character" w:styleId="Hyperlink">
    <w:name w:val="Hyperlink"/>
    <w:basedOn w:val="DefaultParagraphFont"/>
    <w:uiPriority w:val="99"/>
    <w:unhideWhenUsed/>
    <w:rsid w:val="007339CB"/>
    <w:rPr>
      <w:color w:val="0563C1" w:themeColor="hyperlink"/>
      <w:u w:val="single"/>
    </w:rPr>
  </w:style>
  <w:style w:type="character" w:styleId="UnresolvedMention">
    <w:name w:val="Unresolved Mention"/>
    <w:basedOn w:val="DefaultParagraphFont"/>
    <w:uiPriority w:val="99"/>
    <w:semiHidden/>
    <w:unhideWhenUsed/>
    <w:rsid w:val="007339CB"/>
    <w:rPr>
      <w:color w:val="605E5C"/>
      <w:shd w:val="clear" w:color="auto" w:fill="E1DFDD"/>
    </w:rPr>
  </w:style>
  <w:style w:type="character" w:styleId="Strong">
    <w:name w:val="Strong"/>
    <w:basedOn w:val="DefaultParagraphFont"/>
    <w:uiPriority w:val="22"/>
    <w:qFormat/>
    <w:rsid w:val="00E648F1"/>
    <w:rPr>
      <w:b/>
      <w:bCs/>
    </w:rPr>
  </w:style>
  <w:style w:type="paragraph" w:styleId="TOCHeading">
    <w:name w:val="TOC Heading"/>
    <w:basedOn w:val="Heading1"/>
    <w:next w:val="Normal"/>
    <w:uiPriority w:val="39"/>
    <w:unhideWhenUsed/>
    <w:qFormat/>
    <w:rsid w:val="00E648F1"/>
    <w:pPr>
      <w:spacing w:before="240" w:after="0" w:line="259" w:lineRule="auto"/>
      <w:jc w:val="left"/>
      <w:outlineLvl w:val="9"/>
    </w:pPr>
    <w:rPr>
      <w:rFonts w:asciiTheme="majorHAnsi" w:hAnsiTheme="majorHAnsi" w:cstheme="majorBidi"/>
      <w:b w:val="0"/>
      <w:bCs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E648F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824788">
      <w:bodyDiv w:val="1"/>
      <w:marLeft w:val="0"/>
      <w:marRight w:val="0"/>
      <w:marTop w:val="0"/>
      <w:marBottom w:val="0"/>
      <w:divBdr>
        <w:top w:val="none" w:sz="0" w:space="0" w:color="auto"/>
        <w:left w:val="none" w:sz="0" w:space="0" w:color="auto"/>
        <w:bottom w:val="none" w:sz="0" w:space="0" w:color="auto"/>
        <w:right w:val="none" w:sz="0" w:space="0" w:color="auto"/>
      </w:divBdr>
    </w:div>
    <w:div w:id="754666000">
      <w:bodyDiv w:val="1"/>
      <w:marLeft w:val="0"/>
      <w:marRight w:val="0"/>
      <w:marTop w:val="0"/>
      <w:marBottom w:val="0"/>
      <w:divBdr>
        <w:top w:val="none" w:sz="0" w:space="0" w:color="auto"/>
        <w:left w:val="none" w:sz="0" w:space="0" w:color="auto"/>
        <w:bottom w:val="none" w:sz="0" w:space="0" w:color="auto"/>
        <w:right w:val="none" w:sz="0" w:space="0" w:color="auto"/>
      </w:divBdr>
    </w:div>
    <w:div w:id="1695306742">
      <w:bodyDiv w:val="1"/>
      <w:marLeft w:val="0"/>
      <w:marRight w:val="0"/>
      <w:marTop w:val="0"/>
      <w:marBottom w:val="0"/>
      <w:divBdr>
        <w:top w:val="none" w:sz="0" w:space="0" w:color="auto"/>
        <w:left w:val="none" w:sz="0" w:space="0" w:color="auto"/>
        <w:bottom w:val="none" w:sz="0" w:space="0" w:color="auto"/>
        <w:right w:val="none" w:sz="0" w:space="0" w:color="auto"/>
      </w:divBdr>
    </w:div>
    <w:div w:id="2090807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mar237</b:Tag>
    <b:SourceType>InternetSite</b:SourceType>
    <b:Guid>{1FA1BB60-A09B-4BF2-982D-4083B51782F5}</b:Guid>
    <b:Author>
      <b:Author>
        <b:Corporate>marksandspencer</b:Corporate>
      </b:Author>
    </b:Author>
    <b:Title>M&amp;S</b:Title>
    <b:Year>2023</b:Year>
    <b:YearAccessed>2023</b:YearAccessed>
    <b:MonthAccessed>August</b:MonthAccessed>
    <b:DayAccessed>16</b:DayAccessed>
    <b:URL>https://www.marksandspencer.com/</b:URL>
    <b:RefOrder>1</b:RefOrder>
  </b:Source>
  <b:Source>
    <b:Tag>Jef237</b:Tag>
    <b:SourceType>InternetSite</b:SourceType>
    <b:Guid>{53F2D216-962E-4BC6-964B-296932AC42F0}</b:Guid>
    <b:Author>
      <b:Author>
        <b:NameList>
          <b:Person>
            <b:Last>Madura</b:Last>
            <b:First>Jeff</b:First>
          </b:Person>
        </b:NameList>
      </b:Author>
    </b:Author>
    <b:Title>Marks &amp; Spencer Foreign Exchange Risk Exposure - Case Study Example</b:Title>
    <b:Year>2023</b:Year>
    <b:YearAccessed>2023</b:YearAccessed>
    <b:MonthAccessed>August</b:MonthAccessed>
    <b:DayAccessed>16</b:DayAccessed>
    <b:URL>https://studentshare.org/business/1737201-treasury</b:URL>
    <b:RefOrder>2</b:RefOrder>
  </b:Source>
  <b:Source>
    <b:Tag>Reb229</b:Tag>
    <b:SourceType>InternetSite</b:SourceType>
    <b:Guid>{A1EAC641-A88C-4630-9B21-F593613D179E}</b:Guid>
    <b:Author>
      <b:Author>
        <b:NameList>
          <b:Person>
            <b:Last>Baldridge</b:Last>
            <b:First>Rebecca</b:First>
          </b:Person>
        </b:NameList>
      </b:Author>
    </b:Author>
    <b:Title>What Is the Efficient Market Hypothesis?</b:Title>
    <b:Year>2022</b:Year>
    <b:YearAccessed>2023</b:YearAccessed>
    <b:MonthAccessed>August</b:MonthAccessed>
    <b:DayAccessed>16</b:DayAccessed>
    <b:URL>https://www.forbes.com/advisor/investing/efficient-market-hypothesis/</b:URL>
    <b:RefOrder>3</b:RefOrder>
  </b:Source>
</b:Sources>
</file>

<file path=customXml/itemProps1.xml><?xml version="1.0" encoding="utf-8"?>
<ds:datastoreItem xmlns:ds="http://schemas.openxmlformats.org/officeDocument/2006/customXml" ds:itemID="{745C1CD3-FFEB-4577-9114-F8CFDA1FE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2063</Words>
  <Characters>11764</Characters>
  <Application>Microsoft Office Word</Application>
  <DocSecurity>0</DocSecurity>
  <Lines>98</Lines>
  <Paragraphs>27</Paragraphs>
  <ScaleCrop>false</ScaleCrop>
  <Company/>
  <LinksUpToDate>false</LinksUpToDate>
  <CharactersWithSpaces>13800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2023-08-25T00:41:00Z</dcterms:created>
  <dcterms:modified xsi:type="dcterms:W3CDTF">2023-08-25T00:42:00Z</dcterms:modified>
</cp:coreProperties>
</file>