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C8C6C" w14:textId="77777777" w:rsidR="00B71AB7" w:rsidRDefault="00B71AB7" w:rsidP="00B71AB7">
      <w:pPr>
        <w:spacing w:after="0" w:line="480" w:lineRule="auto"/>
        <w:rPr>
          <w:rFonts w:ascii="Arial" w:eastAsia="Times New Roman" w:hAnsi="Arial" w:cs="Arial"/>
          <w:kern w:val="0"/>
          <w:sz w:val="24"/>
          <w:szCs w:val="24"/>
          <w:lang w:val="en-GB"/>
          <w14:ligatures w14:val="none"/>
        </w:rPr>
      </w:pPr>
    </w:p>
    <w:p w14:paraId="4CC089EA" w14:textId="77777777" w:rsidR="00B71AB7" w:rsidRDefault="00B71AB7" w:rsidP="00B71AB7">
      <w:pPr>
        <w:spacing w:after="0" w:line="480" w:lineRule="auto"/>
        <w:rPr>
          <w:rFonts w:ascii="Arial" w:eastAsia="Times New Roman" w:hAnsi="Arial" w:cs="Arial"/>
          <w:kern w:val="0"/>
          <w:sz w:val="24"/>
          <w:szCs w:val="24"/>
          <w:lang w:val="en-GB"/>
          <w14:ligatures w14:val="none"/>
        </w:rPr>
      </w:pPr>
    </w:p>
    <w:p w14:paraId="393CF703" w14:textId="77777777" w:rsidR="00B71AB7" w:rsidRDefault="00B71AB7" w:rsidP="00B71AB7">
      <w:pPr>
        <w:spacing w:after="0" w:line="480" w:lineRule="auto"/>
        <w:rPr>
          <w:rFonts w:ascii="Arial" w:eastAsia="Times New Roman" w:hAnsi="Arial" w:cs="Arial"/>
          <w:kern w:val="0"/>
          <w:sz w:val="24"/>
          <w:szCs w:val="24"/>
          <w:lang w:val="en-GB"/>
          <w14:ligatures w14:val="none"/>
        </w:rPr>
      </w:pPr>
    </w:p>
    <w:p w14:paraId="2260FFD6" w14:textId="77777777" w:rsidR="00B71AB7" w:rsidRDefault="00B71AB7" w:rsidP="00B71AB7">
      <w:pPr>
        <w:spacing w:after="0" w:line="480" w:lineRule="auto"/>
        <w:rPr>
          <w:rFonts w:ascii="Arial" w:eastAsia="Times New Roman" w:hAnsi="Arial" w:cs="Arial"/>
          <w:kern w:val="0"/>
          <w:sz w:val="24"/>
          <w:szCs w:val="24"/>
          <w:lang w:val="en-GB"/>
          <w14:ligatures w14:val="none"/>
        </w:rPr>
      </w:pPr>
    </w:p>
    <w:p w14:paraId="7DED5C63" w14:textId="77777777" w:rsidR="00B71AB7" w:rsidRDefault="00B71AB7" w:rsidP="00B71AB7">
      <w:pPr>
        <w:spacing w:after="0" w:line="480" w:lineRule="auto"/>
        <w:rPr>
          <w:rFonts w:ascii="Arial" w:eastAsia="Times New Roman" w:hAnsi="Arial" w:cs="Arial"/>
          <w:kern w:val="0"/>
          <w:sz w:val="24"/>
          <w:szCs w:val="24"/>
          <w:lang w:val="en-GB"/>
          <w14:ligatures w14:val="none"/>
        </w:rPr>
      </w:pPr>
    </w:p>
    <w:p w14:paraId="4C23D97C" w14:textId="7E437BB2" w:rsidR="00B71AB7" w:rsidRDefault="00B71AB7" w:rsidP="00B71AB7">
      <w:pPr>
        <w:spacing w:after="0" w:line="480" w:lineRule="auto"/>
        <w:rPr>
          <w:rFonts w:ascii="Times New Roman" w:eastAsia="Times New Roman" w:hAnsi="Times New Roman" w:cs="Times New Roman"/>
          <w:kern w:val="0"/>
          <w:sz w:val="24"/>
          <w:szCs w:val="24"/>
          <w:lang w:val="en-GB"/>
          <w14:ligatures w14:val="none"/>
        </w:rPr>
      </w:pPr>
      <w:r w:rsidRPr="00B71AB7">
        <w:rPr>
          <w:rFonts w:ascii="Arial" w:eastAsia="Times New Roman" w:hAnsi="Arial" w:cs="Arial"/>
          <w:kern w:val="0"/>
          <w:sz w:val="24"/>
          <w:szCs w:val="24"/>
          <w:lang/>
          <w14:ligatures w14:val="none"/>
        </w:rPr>
        <w:t>Student Name:</w:t>
      </w:r>
      <w:r w:rsidRPr="00B71AB7">
        <w:rPr>
          <w:rFonts w:ascii="Arial" w:eastAsia="Times New Roman" w:hAnsi="Arial" w:cs="Arial"/>
          <w:kern w:val="0"/>
          <w:sz w:val="28"/>
          <w:szCs w:val="28"/>
          <w:lang/>
          <w14:ligatures w14:val="none"/>
        </w:rPr>
        <w:t xml:space="preserve"> </w:t>
      </w:r>
      <w:r>
        <w:rPr>
          <w:rFonts w:ascii="Arial" w:eastAsia="Times New Roman" w:hAnsi="Arial" w:cs="Arial"/>
          <w:kern w:val="0"/>
          <w:sz w:val="28"/>
          <w:szCs w:val="28"/>
          <w:lang w:val="en-GB"/>
          <w14:ligatures w14:val="none"/>
        </w:rPr>
        <w:t>S</w:t>
      </w:r>
      <w:r w:rsidRPr="00B71AB7">
        <w:rPr>
          <w:rFonts w:ascii="Arial" w:eastAsia="Times New Roman" w:hAnsi="Arial" w:cs="Arial"/>
          <w:kern w:val="0"/>
          <w:sz w:val="28"/>
          <w:szCs w:val="28"/>
          <w:lang w:val="en-GB"/>
          <w14:ligatures w14:val="none"/>
        </w:rPr>
        <w:t xml:space="preserve">ara </w:t>
      </w:r>
      <w:r>
        <w:rPr>
          <w:rFonts w:ascii="Arial" w:eastAsia="Times New Roman" w:hAnsi="Arial" w:cs="Arial"/>
          <w:kern w:val="0"/>
          <w:sz w:val="28"/>
          <w:szCs w:val="28"/>
          <w:lang w:val="en-GB"/>
          <w14:ligatures w14:val="none"/>
        </w:rPr>
        <w:t>B</w:t>
      </w:r>
      <w:r w:rsidRPr="00B71AB7">
        <w:rPr>
          <w:rFonts w:ascii="Arial" w:eastAsia="Times New Roman" w:hAnsi="Arial" w:cs="Arial"/>
          <w:kern w:val="0"/>
          <w:sz w:val="28"/>
          <w:szCs w:val="28"/>
          <w:lang w:val="en-GB"/>
          <w14:ligatures w14:val="none"/>
        </w:rPr>
        <w:t>otfield</w:t>
      </w:r>
      <w:r w:rsidRPr="00B71AB7">
        <w:rPr>
          <w:rFonts w:ascii="Arial" w:eastAsia="Times New Roman" w:hAnsi="Arial" w:cs="Arial"/>
          <w:kern w:val="0"/>
          <w:sz w:val="24"/>
          <w:szCs w:val="24"/>
          <w:lang/>
          <w14:ligatures w14:val="none"/>
        </w:rPr>
        <w:br/>
        <w:t xml:space="preserve">Student Number: </w:t>
      </w:r>
      <w:r w:rsidRPr="00B71AB7">
        <w:rPr>
          <w:rFonts w:ascii="Arial" w:eastAsia="Times New Roman" w:hAnsi="Arial" w:cs="Arial"/>
          <w:kern w:val="0"/>
          <w:sz w:val="24"/>
          <w:szCs w:val="24"/>
          <w:lang w:val="en-GB"/>
          <w14:ligatures w14:val="none"/>
        </w:rPr>
        <w:t>2116845</w:t>
      </w:r>
    </w:p>
    <w:p w14:paraId="422CD77C" w14:textId="77777777" w:rsidR="00B71AB7" w:rsidRDefault="00DB1B47" w:rsidP="00B71AB7">
      <w:pPr>
        <w:spacing w:after="0" w:line="480" w:lineRule="auto"/>
        <w:rPr>
          <w:rFonts w:ascii="Times New Roman" w:eastAsia="Times New Roman" w:hAnsi="Times New Roman" w:cs="Times New Roman"/>
          <w:kern w:val="0"/>
          <w:sz w:val="24"/>
          <w:szCs w:val="24"/>
          <w:lang w:val="en-GB"/>
          <w14:ligatures w14:val="none"/>
        </w:rPr>
      </w:pPr>
      <w:r w:rsidRPr="00B71AB7">
        <w:rPr>
          <w:rFonts w:ascii="Arial" w:eastAsia="Times New Roman" w:hAnsi="Arial" w:cs="Arial"/>
          <w:kern w:val="0"/>
          <w:sz w:val="24"/>
          <w:szCs w:val="24"/>
          <w:lang/>
          <w14:ligatures w14:val="none"/>
        </w:rPr>
        <w:t>BMHP6029 – Psychological Classifications and Provision</w:t>
      </w:r>
    </w:p>
    <w:p w14:paraId="402581ED" w14:textId="77777777" w:rsidR="00B71AB7" w:rsidRDefault="00DB1B47" w:rsidP="00B71AB7">
      <w:pPr>
        <w:spacing w:after="0" w:line="480" w:lineRule="auto"/>
        <w:rPr>
          <w:rFonts w:ascii="Times New Roman" w:eastAsia="Times New Roman" w:hAnsi="Times New Roman" w:cs="Times New Roman"/>
          <w:kern w:val="0"/>
          <w:sz w:val="24"/>
          <w:szCs w:val="24"/>
          <w:lang w:val="en-GB"/>
          <w14:ligatures w14:val="none"/>
        </w:rPr>
      </w:pPr>
      <w:r w:rsidRPr="00B71AB7">
        <w:rPr>
          <w:rFonts w:ascii="Arial" w:eastAsia="Times New Roman" w:hAnsi="Arial" w:cs="Arial"/>
          <w:kern w:val="0"/>
          <w:sz w:val="24"/>
          <w:szCs w:val="24"/>
          <w:lang/>
          <w14:ligatures w14:val="none"/>
        </w:rPr>
        <w:t>Component 2: Written Assignment (Report)</w:t>
      </w:r>
    </w:p>
    <w:p w14:paraId="28DBEABB" w14:textId="73433D42" w:rsidR="00B71AB7" w:rsidRPr="00B71AB7" w:rsidRDefault="00B71AB7" w:rsidP="00B71AB7">
      <w:pPr>
        <w:spacing w:after="0" w:line="480" w:lineRule="auto"/>
        <w:rPr>
          <w:rFonts w:ascii="Times New Roman" w:eastAsia="Times New Roman" w:hAnsi="Times New Roman" w:cs="Times New Roman"/>
          <w:kern w:val="0"/>
          <w:sz w:val="24"/>
          <w:szCs w:val="24"/>
          <w:lang w:val="en-GB"/>
          <w14:ligatures w14:val="none"/>
        </w:rPr>
      </w:pPr>
      <w:r>
        <w:rPr>
          <w:rFonts w:ascii="Arial" w:eastAsia="Times New Roman" w:hAnsi="Arial" w:cs="Arial"/>
          <w:kern w:val="0"/>
          <w:sz w:val="24"/>
          <w:szCs w:val="24"/>
          <w:lang w:val="en-GB"/>
          <w14:ligatures w14:val="none"/>
        </w:rPr>
        <w:t xml:space="preserve">Lecture Chloe Harries </w:t>
      </w:r>
    </w:p>
    <w:p w14:paraId="0B2678AE"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6C97F323"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62F8EE4A"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14F8FB74"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79C5AC87"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43EA0B58"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204C3C3B"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0ECB019E"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1C7ACCE2"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1E2C71D8" w14:textId="77777777" w:rsidR="00B71AB7" w:rsidRDefault="00B71AB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val="en-GB"/>
          <w14:ligatures w14:val="none"/>
        </w:rPr>
      </w:pPr>
    </w:p>
    <w:p w14:paraId="427FD7CD" w14:textId="2E12B166" w:rsidR="00DB1B47" w:rsidRPr="00DC0DC5" w:rsidRDefault="00DB1B47" w:rsidP="00DC0DC5">
      <w:pPr>
        <w:spacing w:before="100" w:beforeAutospacing="1" w:after="100" w:afterAutospacing="1" w:line="480" w:lineRule="auto"/>
        <w:outlineLvl w:val="1"/>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lastRenderedPageBreak/>
        <w:t>Table of Contents</w:t>
      </w:r>
    </w:p>
    <w:p w14:paraId="3D869CE7" w14:textId="77777777" w:rsidR="00DB1B47" w:rsidRPr="00DC0DC5" w:rsidRDefault="00DB1B47" w:rsidP="00DC0DC5">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Introduction</w:t>
      </w:r>
      <w:r w:rsidRPr="00DC0DC5">
        <w:rPr>
          <w:rFonts w:ascii="Times New Roman" w:eastAsia="Times New Roman" w:hAnsi="Times New Roman" w:cs="Times New Roman"/>
          <w:kern w:val="0"/>
          <w:sz w:val="24"/>
          <w:szCs w:val="24"/>
          <w:lang/>
          <w14:ligatures w14:val="none"/>
        </w:rPr>
        <w:t xml:space="preserve"> .................................................................................................................. 1</w:t>
      </w:r>
    </w:p>
    <w:p w14:paraId="703E240E" w14:textId="77777777" w:rsidR="00DB1B47" w:rsidRPr="00DC0DC5" w:rsidRDefault="00DB1B47" w:rsidP="00DC0DC5">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Classification and Diagnosis</w:t>
      </w:r>
      <w:r w:rsidRPr="00DC0DC5">
        <w:rPr>
          <w:rFonts w:ascii="Times New Roman" w:eastAsia="Times New Roman" w:hAnsi="Times New Roman" w:cs="Times New Roman"/>
          <w:kern w:val="0"/>
          <w:sz w:val="24"/>
          <w:szCs w:val="24"/>
          <w:lang/>
          <w14:ligatures w14:val="none"/>
        </w:rPr>
        <w:t xml:space="preserve"> ................................................................................. 2</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2.1 ICD-11 Classification ................................................................................................. 2</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2.2 Diagnostic Criteria ...................................................................................................... 3</w:t>
      </w:r>
    </w:p>
    <w:p w14:paraId="1AFA1AA2" w14:textId="77777777" w:rsidR="00DB1B47" w:rsidRPr="00DC0DC5" w:rsidRDefault="00DB1B47" w:rsidP="00DC0DC5">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Treatment and Rehabilitation</w:t>
      </w:r>
      <w:r w:rsidRPr="00DC0DC5">
        <w:rPr>
          <w:rFonts w:ascii="Times New Roman" w:eastAsia="Times New Roman" w:hAnsi="Times New Roman" w:cs="Times New Roman"/>
          <w:kern w:val="0"/>
          <w:sz w:val="24"/>
          <w:szCs w:val="24"/>
          <w:lang/>
          <w14:ligatures w14:val="none"/>
        </w:rPr>
        <w:t xml:space="preserve"> ............................................................................... 4</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3.1 Pharmacological Treatment .................................................................................... 4</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3.2 Psychosocial Interventions ...................................................................................... 5</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3.3 Rehabilitation Measures .......................................................................................... 5</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3.4 Effectiveness and Limitations ............................................................................... 6</w:t>
      </w:r>
    </w:p>
    <w:p w14:paraId="07DC81E9" w14:textId="77777777" w:rsidR="00DB1B47" w:rsidRPr="00DC0DC5" w:rsidRDefault="00DB1B47" w:rsidP="00DC0DC5">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Current Debates and Emerging Issues</w:t>
      </w:r>
      <w:r w:rsidRPr="00DC0DC5">
        <w:rPr>
          <w:rFonts w:ascii="Times New Roman" w:eastAsia="Times New Roman" w:hAnsi="Times New Roman" w:cs="Times New Roman"/>
          <w:kern w:val="0"/>
          <w:sz w:val="24"/>
          <w:szCs w:val="24"/>
          <w:lang/>
          <w14:ligatures w14:val="none"/>
        </w:rPr>
        <w:t xml:space="preserve"> ............................................................... 7</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4.1 Classification Debates .............................................................................................. 7</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4.2 Neurodivergence and Reclassification ................................................................. 8</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t> </w:t>
      </w:r>
      <w:r w:rsidRPr="00DC0DC5">
        <w:rPr>
          <w:rFonts w:ascii="Times New Roman" w:eastAsia="Times New Roman" w:hAnsi="Times New Roman" w:cs="Times New Roman"/>
          <w:kern w:val="0"/>
          <w:sz w:val="24"/>
          <w:szCs w:val="24"/>
          <w:lang/>
          <w14:ligatures w14:val="none"/>
        </w:rPr>
        <w:t>4.3 Treatment Challenges ............................................................................................... 8</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lastRenderedPageBreak/>
        <w:t> </w:t>
      </w:r>
      <w:r w:rsidRPr="00DC0DC5">
        <w:rPr>
          <w:rFonts w:ascii="Times New Roman" w:eastAsia="Times New Roman" w:hAnsi="Times New Roman" w:cs="Times New Roman"/>
          <w:kern w:val="0"/>
          <w:sz w:val="24"/>
          <w:szCs w:val="24"/>
          <w:lang/>
          <w14:ligatures w14:val="none"/>
        </w:rPr>
        <w:t>4.4 Policy and Practice Implications .......................................................................... 9</w:t>
      </w:r>
    </w:p>
    <w:p w14:paraId="31707EF1" w14:textId="77777777" w:rsidR="00DB1B47" w:rsidRPr="00DC0DC5" w:rsidRDefault="00DB1B47" w:rsidP="00DC0DC5">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Recommendations</w:t>
      </w:r>
      <w:r w:rsidRPr="00DC0DC5">
        <w:rPr>
          <w:rFonts w:ascii="Times New Roman" w:eastAsia="Times New Roman" w:hAnsi="Times New Roman" w:cs="Times New Roman"/>
          <w:kern w:val="0"/>
          <w:sz w:val="24"/>
          <w:szCs w:val="24"/>
          <w:lang/>
          <w14:ligatures w14:val="none"/>
        </w:rPr>
        <w:t xml:space="preserve"> ................................................................................................. 10</w:t>
      </w:r>
    </w:p>
    <w:p w14:paraId="43C2BF57" w14:textId="77777777" w:rsidR="00DB1B47" w:rsidRPr="00DC0DC5" w:rsidRDefault="00DB1B47" w:rsidP="00DC0DC5">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Conclusion</w:t>
      </w:r>
      <w:r w:rsidRPr="00DC0DC5">
        <w:rPr>
          <w:rFonts w:ascii="Times New Roman" w:eastAsia="Times New Roman" w:hAnsi="Times New Roman" w:cs="Times New Roman"/>
          <w:kern w:val="0"/>
          <w:sz w:val="24"/>
          <w:szCs w:val="24"/>
          <w:lang/>
          <w14:ligatures w14:val="none"/>
        </w:rPr>
        <w:t xml:space="preserve"> ................................................................................................................. 12</w:t>
      </w:r>
    </w:p>
    <w:p w14:paraId="213333A4" w14:textId="77777777" w:rsidR="00DB1B47" w:rsidRPr="00DC0DC5" w:rsidRDefault="00DB1B47" w:rsidP="00DC0DC5">
      <w:pPr>
        <w:numPr>
          <w:ilvl w:val="0"/>
          <w:numId w:val="3"/>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References</w:t>
      </w:r>
      <w:r w:rsidRPr="00DC0DC5">
        <w:rPr>
          <w:rFonts w:ascii="Times New Roman" w:eastAsia="Times New Roman" w:hAnsi="Times New Roman" w:cs="Times New Roman"/>
          <w:kern w:val="0"/>
          <w:sz w:val="24"/>
          <w:szCs w:val="24"/>
          <w:lang/>
          <w14:ligatures w14:val="none"/>
        </w:rPr>
        <w:t xml:space="preserve"> ................................................................................................................. 13</w:t>
      </w:r>
    </w:p>
    <w:p w14:paraId="375A08EF" w14:textId="1618C54F" w:rsidR="00DB1B47" w:rsidRPr="00DC0DC5" w:rsidRDefault="00DB1B47" w:rsidP="00DC0DC5">
      <w:pPr>
        <w:spacing w:after="0" w:line="480" w:lineRule="auto"/>
        <w:rPr>
          <w:rFonts w:ascii="Times New Roman" w:eastAsia="Times New Roman" w:hAnsi="Times New Roman" w:cs="Times New Roman"/>
          <w:kern w:val="0"/>
          <w:sz w:val="24"/>
          <w:szCs w:val="24"/>
          <w:lang/>
          <w14:ligatures w14:val="none"/>
        </w:rPr>
      </w:pPr>
    </w:p>
    <w:p w14:paraId="54783ACE" w14:textId="77777777" w:rsidR="00B71AB7" w:rsidRDefault="00B71AB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val="en-GB"/>
          <w14:ligatures w14:val="none"/>
        </w:rPr>
      </w:pPr>
    </w:p>
    <w:p w14:paraId="52A15FBE" w14:textId="77777777" w:rsidR="00B71AB7" w:rsidRDefault="00B71AB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val="en-GB"/>
          <w14:ligatures w14:val="none"/>
        </w:rPr>
      </w:pPr>
    </w:p>
    <w:p w14:paraId="022D3A33" w14:textId="77777777" w:rsidR="00B71AB7" w:rsidRDefault="00B71AB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val="en-GB"/>
          <w14:ligatures w14:val="none"/>
        </w:rPr>
      </w:pPr>
    </w:p>
    <w:p w14:paraId="564E349B" w14:textId="77777777" w:rsidR="00B71AB7" w:rsidRDefault="00B71AB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val="en-GB"/>
          <w14:ligatures w14:val="none"/>
        </w:rPr>
      </w:pPr>
    </w:p>
    <w:p w14:paraId="1E60B66F" w14:textId="77777777" w:rsidR="00B71AB7" w:rsidRDefault="00B71AB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val="en-GB"/>
          <w14:ligatures w14:val="none"/>
        </w:rPr>
      </w:pPr>
    </w:p>
    <w:p w14:paraId="5E55FC40" w14:textId="77777777" w:rsidR="00B71AB7" w:rsidRDefault="00B71AB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val="en-GB"/>
          <w14:ligatures w14:val="none"/>
        </w:rPr>
      </w:pPr>
    </w:p>
    <w:p w14:paraId="55FBA89D" w14:textId="7F439271" w:rsidR="00DB1B47" w:rsidRPr="00DC0DC5" w:rsidRDefault="00DB1B4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1. Introduction</w:t>
      </w:r>
    </w:p>
    <w:p w14:paraId="32806547" w14:textId="15644F55" w:rsidR="00DB1B47" w:rsidRPr="00DC0DC5" w:rsidRDefault="00B71AB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Pr>
          <w:rFonts w:ascii="Times New Roman" w:eastAsia="Times New Roman" w:hAnsi="Times New Roman" w:cs="Times New Roman"/>
          <w:kern w:val="0"/>
          <w:sz w:val="24"/>
          <w:szCs w:val="24"/>
          <w:lang w:val="en-GB"/>
          <w14:ligatures w14:val="none"/>
        </w:rPr>
        <w:t xml:space="preserve">In this report </w:t>
      </w:r>
      <w:r w:rsidRPr="00DC0DC5">
        <w:rPr>
          <w:rFonts w:ascii="Times New Roman" w:eastAsia="Times New Roman" w:hAnsi="Times New Roman" w:cs="Times New Roman"/>
          <w:kern w:val="0"/>
          <w:sz w:val="24"/>
          <w:szCs w:val="24"/>
          <w:lang/>
          <w14:ligatures w14:val="none"/>
        </w:rPr>
        <w:t>bipolar disorder</w:t>
      </w:r>
      <w:r w:rsidR="00DB1B47" w:rsidRPr="00DC0DC5">
        <w:rPr>
          <w:rFonts w:ascii="Times New Roman" w:eastAsia="Times New Roman" w:hAnsi="Times New Roman" w:cs="Times New Roman"/>
          <w:kern w:val="0"/>
          <w:sz w:val="24"/>
          <w:szCs w:val="24"/>
          <w:lang/>
          <w14:ligatures w14:val="none"/>
        </w:rPr>
        <w:t xml:space="preserve"> is a complex and chronic mental health condition characterised by cyclical episodes of </w:t>
      </w:r>
      <w:r w:rsidR="00DB1B47" w:rsidRPr="00DC0DC5">
        <w:rPr>
          <w:rFonts w:ascii="Times New Roman" w:eastAsia="Times New Roman" w:hAnsi="Times New Roman" w:cs="Times New Roman"/>
          <w:b/>
          <w:bCs/>
          <w:kern w:val="0"/>
          <w:sz w:val="24"/>
          <w:szCs w:val="24"/>
          <w:lang/>
          <w14:ligatures w14:val="none"/>
        </w:rPr>
        <w:t>mania</w:t>
      </w:r>
      <w:r w:rsidR="00DB1B47" w:rsidRPr="00DC0DC5">
        <w:rPr>
          <w:rFonts w:ascii="Times New Roman" w:eastAsia="Times New Roman" w:hAnsi="Times New Roman" w:cs="Times New Roman"/>
          <w:kern w:val="0"/>
          <w:sz w:val="24"/>
          <w:szCs w:val="24"/>
          <w:lang/>
          <w14:ligatures w14:val="none"/>
        </w:rPr>
        <w:t xml:space="preserve">, </w:t>
      </w:r>
      <w:r w:rsidR="00DB1B47" w:rsidRPr="00DC0DC5">
        <w:rPr>
          <w:rFonts w:ascii="Times New Roman" w:eastAsia="Times New Roman" w:hAnsi="Times New Roman" w:cs="Times New Roman"/>
          <w:b/>
          <w:bCs/>
          <w:kern w:val="0"/>
          <w:sz w:val="24"/>
          <w:szCs w:val="24"/>
          <w:lang/>
          <w14:ligatures w14:val="none"/>
        </w:rPr>
        <w:t>hypomania</w:t>
      </w:r>
      <w:r w:rsidR="00DB1B47" w:rsidRPr="00DC0DC5">
        <w:rPr>
          <w:rFonts w:ascii="Times New Roman" w:eastAsia="Times New Roman" w:hAnsi="Times New Roman" w:cs="Times New Roman"/>
          <w:kern w:val="0"/>
          <w:sz w:val="24"/>
          <w:szCs w:val="24"/>
          <w:lang/>
          <w14:ligatures w14:val="none"/>
        </w:rPr>
        <w:t xml:space="preserve">, and </w:t>
      </w:r>
      <w:r w:rsidR="00DB1B47" w:rsidRPr="00DC0DC5">
        <w:rPr>
          <w:rFonts w:ascii="Times New Roman" w:eastAsia="Times New Roman" w:hAnsi="Times New Roman" w:cs="Times New Roman"/>
          <w:b/>
          <w:bCs/>
          <w:kern w:val="0"/>
          <w:sz w:val="24"/>
          <w:szCs w:val="24"/>
          <w:lang/>
          <w14:ligatures w14:val="none"/>
        </w:rPr>
        <w:t>depression</w:t>
      </w:r>
      <w:r w:rsidR="00DB1B47" w:rsidRPr="00DC0DC5">
        <w:rPr>
          <w:rFonts w:ascii="Times New Roman" w:eastAsia="Times New Roman" w:hAnsi="Times New Roman" w:cs="Times New Roman"/>
          <w:kern w:val="0"/>
          <w:sz w:val="24"/>
          <w:szCs w:val="24"/>
          <w:lang/>
          <w14:ligatures w14:val="none"/>
        </w:rPr>
        <w:t xml:space="preserve">, which cause significant impairment in functioning, quality of life, and interpersonal relationships (Grande et al., 2016). It is classified within the </w:t>
      </w:r>
      <w:r w:rsidR="00DB1B47" w:rsidRPr="00DC0DC5">
        <w:rPr>
          <w:rFonts w:ascii="Times New Roman" w:eastAsia="Times New Roman" w:hAnsi="Times New Roman" w:cs="Times New Roman"/>
          <w:b/>
          <w:bCs/>
          <w:kern w:val="0"/>
          <w:sz w:val="24"/>
          <w:szCs w:val="24"/>
          <w:lang/>
          <w14:ligatures w14:val="none"/>
        </w:rPr>
        <w:t>International Classification of Diseases, 11th Revision (ICD-11)</w:t>
      </w:r>
      <w:r w:rsidR="00DB1B47" w:rsidRPr="00DC0DC5">
        <w:rPr>
          <w:rFonts w:ascii="Times New Roman" w:eastAsia="Times New Roman" w:hAnsi="Times New Roman" w:cs="Times New Roman"/>
          <w:kern w:val="0"/>
          <w:sz w:val="24"/>
          <w:szCs w:val="24"/>
          <w:lang/>
          <w14:ligatures w14:val="none"/>
        </w:rPr>
        <w:t xml:space="preserve"> under “Mental, behavioural or neurodevelopmental disorders” (WHO, 2019). Bipolar disorder affects approximately </w:t>
      </w:r>
      <w:r w:rsidR="00DB1B47" w:rsidRPr="00DC0DC5">
        <w:rPr>
          <w:rFonts w:ascii="Times New Roman" w:eastAsia="Times New Roman" w:hAnsi="Times New Roman" w:cs="Times New Roman"/>
          <w:b/>
          <w:bCs/>
          <w:kern w:val="0"/>
          <w:sz w:val="24"/>
          <w:szCs w:val="24"/>
          <w:lang/>
          <w14:ligatures w14:val="none"/>
        </w:rPr>
        <w:t>1–2%</w:t>
      </w:r>
      <w:r w:rsidR="00DB1B47" w:rsidRPr="00DC0DC5">
        <w:rPr>
          <w:rFonts w:ascii="Times New Roman" w:eastAsia="Times New Roman" w:hAnsi="Times New Roman" w:cs="Times New Roman"/>
          <w:kern w:val="0"/>
          <w:sz w:val="24"/>
          <w:szCs w:val="24"/>
          <w:lang/>
          <w14:ligatures w14:val="none"/>
        </w:rPr>
        <w:t xml:space="preserve"> of the global population and typically manifests during adolescence or early adulthood (Rowland &amp; Marwaha, 2018).</w:t>
      </w:r>
    </w:p>
    <w:p w14:paraId="3C0069FF" w14:textId="16B7E89C"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lastRenderedPageBreak/>
        <w:t xml:space="preserve">The disorder is associated with considerable personal, social, and economic burden, including elevated rates of unemployment, relationship difficulties, reduced productivity, and increased risk of suicide. Moreover, diagnostic complexity and heterogeneous symptom presentation often result in misdiagnosis or delays in treatment initiation. This report critically examines the </w:t>
      </w:r>
      <w:r w:rsidRPr="00DC0DC5">
        <w:rPr>
          <w:rFonts w:ascii="Times New Roman" w:eastAsia="Times New Roman" w:hAnsi="Times New Roman" w:cs="Times New Roman"/>
          <w:b/>
          <w:bCs/>
          <w:kern w:val="0"/>
          <w:sz w:val="24"/>
          <w:szCs w:val="24"/>
          <w:lang/>
          <w14:ligatures w14:val="none"/>
        </w:rPr>
        <w:t>classification</w:t>
      </w:r>
      <w:r w:rsidRPr="00DC0DC5">
        <w:rPr>
          <w:rFonts w:ascii="Times New Roman" w:eastAsia="Times New Roman" w:hAnsi="Times New Roman" w:cs="Times New Roman"/>
          <w:kern w:val="0"/>
          <w:sz w:val="24"/>
          <w:szCs w:val="24"/>
          <w:lang/>
          <w14:ligatures w14:val="none"/>
        </w:rPr>
        <w:t xml:space="preserve">, </w:t>
      </w:r>
      <w:r w:rsidRPr="00DC0DC5">
        <w:rPr>
          <w:rFonts w:ascii="Times New Roman" w:eastAsia="Times New Roman" w:hAnsi="Times New Roman" w:cs="Times New Roman"/>
          <w:b/>
          <w:bCs/>
          <w:kern w:val="0"/>
          <w:sz w:val="24"/>
          <w:szCs w:val="24"/>
          <w:lang/>
          <w14:ligatures w14:val="none"/>
        </w:rPr>
        <w:t>diagnosis</w:t>
      </w:r>
      <w:r w:rsidRPr="00DC0DC5">
        <w:rPr>
          <w:rFonts w:ascii="Times New Roman" w:eastAsia="Times New Roman" w:hAnsi="Times New Roman" w:cs="Times New Roman"/>
          <w:kern w:val="0"/>
          <w:sz w:val="24"/>
          <w:szCs w:val="24"/>
          <w:lang/>
          <w14:ligatures w14:val="none"/>
        </w:rPr>
        <w:t xml:space="preserve">, </w:t>
      </w:r>
      <w:r w:rsidRPr="00DC0DC5">
        <w:rPr>
          <w:rFonts w:ascii="Times New Roman" w:eastAsia="Times New Roman" w:hAnsi="Times New Roman" w:cs="Times New Roman"/>
          <w:b/>
          <w:bCs/>
          <w:kern w:val="0"/>
          <w:sz w:val="24"/>
          <w:szCs w:val="24"/>
          <w:lang/>
          <w14:ligatures w14:val="none"/>
        </w:rPr>
        <w:t>treatment</w:t>
      </w:r>
      <w:r w:rsidRPr="00DC0DC5">
        <w:rPr>
          <w:rFonts w:ascii="Times New Roman" w:eastAsia="Times New Roman" w:hAnsi="Times New Roman" w:cs="Times New Roman"/>
          <w:kern w:val="0"/>
          <w:sz w:val="24"/>
          <w:szCs w:val="24"/>
          <w:lang/>
          <w14:ligatures w14:val="none"/>
        </w:rPr>
        <w:t xml:space="preserve">, </w:t>
      </w:r>
      <w:r w:rsidRPr="00DC0DC5">
        <w:rPr>
          <w:rFonts w:ascii="Times New Roman" w:eastAsia="Times New Roman" w:hAnsi="Times New Roman" w:cs="Times New Roman"/>
          <w:b/>
          <w:bCs/>
          <w:kern w:val="0"/>
          <w:sz w:val="24"/>
          <w:szCs w:val="24"/>
          <w:lang/>
          <w14:ligatures w14:val="none"/>
        </w:rPr>
        <w:t>rehabilitation</w:t>
      </w:r>
      <w:r w:rsidRPr="00DC0DC5">
        <w:rPr>
          <w:rFonts w:ascii="Times New Roman" w:eastAsia="Times New Roman" w:hAnsi="Times New Roman" w:cs="Times New Roman"/>
          <w:kern w:val="0"/>
          <w:sz w:val="24"/>
          <w:szCs w:val="24"/>
          <w:lang/>
          <w14:ligatures w14:val="none"/>
        </w:rPr>
        <w:t xml:space="preserve">, and </w:t>
      </w:r>
      <w:r w:rsidRPr="00DC0DC5">
        <w:rPr>
          <w:rFonts w:ascii="Times New Roman" w:eastAsia="Times New Roman" w:hAnsi="Times New Roman" w:cs="Times New Roman"/>
          <w:b/>
          <w:bCs/>
          <w:kern w:val="0"/>
          <w:sz w:val="24"/>
          <w:szCs w:val="24"/>
          <w:lang/>
          <w14:ligatures w14:val="none"/>
        </w:rPr>
        <w:t>current debates</w:t>
      </w:r>
      <w:r w:rsidRPr="00DC0DC5">
        <w:rPr>
          <w:rFonts w:ascii="Times New Roman" w:eastAsia="Times New Roman" w:hAnsi="Times New Roman" w:cs="Times New Roman"/>
          <w:kern w:val="0"/>
          <w:sz w:val="24"/>
          <w:szCs w:val="24"/>
          <w:lang/>
          <w14:ligatures w14:val="none"/>
        </w:rPr>
        <w:t xml:space="preserve"> surrounding bipolar disorder, before providing recommendations for clinical practice and policy improvement</w:t>
      </w:r>
    </w:p>
    <w:p w14:paraId="08F516E9" w14:textId="77777777" w:rsidR="003A4A97" w:rsidRPr="00DC0DC5" w:rsidRDefault="003A4A9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p>
    <w:p w14:paraId="76EF3E3E" w14:textId="77777777" w:rsidR="00DB1B47" w:rsidRPr="00DC0DC5" w:rsidRDefault="00DB1B4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2. Classification and Diagnosis</w:t>
      </w:r>
    </w:p>
    <w:p w14:paraId="5333C2DD"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2.1 ICD-11 Classification</w:t>
      </w:r>
    </w:p>
    <w:p w14:paraId="3BE2DB98" w14:textId="77777777" w:rsidR="001F4792" w:rsidRDefault="001F4792" w:rsidP="001F4792">
      <w:pPr>
        <w:pStyle w:val="NormalWeb"/>
      </w:pPr>
      <w:r>
        <w:t xml:space="preserve">According to the </w:t>
      </w:r>
      <w:r>
        <w:rPr>
          <w:rStyle w:val="Strong"/>
        </w:rPr>
        <w:t>International Classification of Diseases, 11th Revision (ICD-11)</w:t>
      </w:r>
      <w:r>
        <w:t xml:space="preserve">, bipolar disorder is classified under </w:t>
      </w:r>
      <w:r>
        <w:rPr>
          <w:rStyle w:val="Emphasis"/>
        </w:rPr>
        <w:t>“6A60–6A6Z: Mood disorders”</w:t>
      </w:r>
      <w:r>
        <w:t xml:space="preserve"> (WHO, 2019). Within this framework, </w:t>
      </w:r>
      <w:r>
        <w:rPr>
          <w:rStyle w:val="Strong"/>
        </w:rPr>
        <w:t>Bipolar type I disorder (6A60)</w:t>
      </w:r>
      <w:r>
        <w:t xml:space="preserve"> is characterised by the presence of at least one manic episode, which may occur with or without depressive episodes. In contrast, </w:t>
      </w:r>
      <w:r>
        <w:rPr>
          <w:rStyle w:val="Strong"/>
        </w:rPr>
        <w:t>Bipolar type II disorder (6A61)</w:t>
      </w:r>
      <w:r>
        <w:t xml:space="preserve"> is defined by at least one hypomanic episode and one major depressive episode, but without any history of a full manic episode (Carvalho et al., 2020).</w:t>
      </w:r>
    </w:p>
    <w:p w14:paraId="090F2054" w14:textId="77777777" w:rsidR="001F4792" w:rsidRDefault="001F4792" w:rsidP="001F4792">
      <w:pPr>
        <w:pStyle w:val="NormalWeb"/>
      </w:pPr>
      <w:r>
        <w:t>This classification reflects the distinction between the severity and presentation of mood episodes across the bipolar spectrum, allowing clinicians to make more precise diagnoses and tailor treatment strategies accordingly. By adopting this categorisation, ICD-11 emphasises both clinical clarity and consistency in international diagnostic practice.</w:t>
      </w:r>
    </w:p>
    <w:p w14:paraId="2CF67D81" w14:textId="7469091B"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t>The ICD-11 framework emphasises the clinical severity and impairment associated with bipolar disorder. This categorical approach provides a structured framework for diagnosis but has been critiqued for oversimplifying the diverse presentations of the condition (Craddock &amp; Owen, 2010).</w:t>
      </w:r>
    </w:p>
    <w:p w14:paraId="073989B2"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2.2 Diagnostic Criteria</w:t>
      </w:r>
    </w:p>
    <w:p w14:paraId="45641E3F" w14:textId="77777777"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lastRenderedPageBreak/>
        <w:t xml:space="preserve">Diagnosis of bipolar disorder is clinical, based on </w:t>
      </w:r>
      <w:r w:rsidRPr="00DC0DC5">
        <w:rPr>
          <w:rFonts w:ascii="Times New Roman" w:eastAsia="Times New Roman" w:hAnsi="Times New Roman" w:cs="Times New Roman"/>
          <w:b/>
          <w:bCs/>
          <w:kern w:val="0"/>
          <w:sz w:val="24"/>
          <w:szCs w:val="24"/>
          <w:lang/>
          <w14:ligatures w14:val="none"/>
        </w:rPr>
        <w:t>structured psychiatric interviews</w:t>
      </w:r>
      <w:r w:rsidRPr="00DC0DC5">
        <w:rPr>
          <w:rFonts w:ascii="Times New Roman" w:eastAsia="Times New Roman" w:hAnsi="Times New Roman" w:cs="Times New Roman"/>
          <w:kern w:val="0"/>
          <w:sz w:val="24"/>
          <w:szCs w:val="24"/>
          <w:lang/>
          <w14:ligatures w14:val="none"/>
        </w:rPr>
        <w:t xml:space="preserve"> and </w:t>
      </w:r>
      <w:r w:rsidRPr="00DC0DC5">
        <w:rPr>
          <w:rFonts w:ascii="Times New Roman" w:eastAsia="Times New Roman" w:hAnsi="Times New Roman" w:cs="Times New Roman"/>
          <w:b/>
          <w:bCs/>
          <w:kern w:val="0"/>
          <w:sz w:val="24"/>
          <w:szCs w:val="24"/>
          <w:lang/>
          <w14:ligatures w14:val="none"/>
        </w:rPr>
        <w:t>longitudinal patient history</w:t>
      </w:r>
      <w:r w:rsidRPr="00DC0DC5">
        <w:rPr>
          <w:rFonts w:ascii="Times New Roman" w:eastAsia="Times New Roman" w:hAnsi="Times New Roman" w:cs="Times New Roman"/>
          <w:kern w:val="0"/>
          <w:sz w:val="24"/>
          <w:szCs w:val="24"/>
          <w:lang/>
          <w14:ligatures w14:val="none"/>
        </w:rPr>
        <w:t>. According to ICD-11 (WHO, 2019):</w:t>
      </w:r>
    </w:p>
    <w:p w14:paraId="2CE933A6" w14:textId="77777777" w:rsidR="00DB1B47" w:rsidRPr="00DC0DC5" w:rsidRDefault="00DB1B47" w:rsidP="00DC0DC5">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Manic episodes</w:t>
      </w:r>
      <w:r w:rsidRPr="00DC0DC5">
        <w:rPr>
          <w:rFonts w:ascii="Times New Roman" w:eastAsia="Times New Roman" w:hAnsi="Times New Roman" w:cs="Times New Roman"/>
          <w:kern w:val="0"/>
          <w:sz w:val="24"/>
          <w:szCs w:val="24"/>
          <w:lang/>
          <w14:ligatures w14:val="none"/>
        </w:rPr>
        <w:t xml:space="preserve"> involve abnormally elevated or irritable mood, increased activity or energy, lasting at least one week, and causing marked functional impairment.</w:t>
      </w:r>
    </w:p>
    <w:p w14:paraId="096F3C34" w14:textId="77777777" w:rsidR="00DB1B47" w:rsidRPr="00DC0DC5" w:rsidRDefault="00DB1B47" w:rsidP="00DC0DC5">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Hypomanic episodes</w:t>
      </w:r>
      <w:r w:rsidRPr="00DC0DC5">
        <w:rPr>
          <w:rFonts w:ascii="Times New Roman" w:eastAsia="Times New Roman" w:hAnsi="Times New Roman" w:cs="Times New Roman"/>
          <w:kern w:val="0"/>
          <w:sz w:val="24"/>
          <w:szCs w:val="24"/>
          <w:lang/>
          <w14:ligatures w14:val="none"/>
        </w:rPr>
        <w:t xml:space="preserve"> feature similar but less severe symptoms and a shorter duration.</w:t>
      </w:r>
    </w:p>
    <w:p w14:paraId="0B6542A7" w14:textId="77777777" w:rsidR="00DB1B47" w:rsidRPr="00DC0DC5" w:rsidRDefault="00DB1B47" w:rsidP="00DC0DC5">
      <w:pPr>
        <w:numPr>
          <w:ilvl w:val="0"/>
          <w:numId w:val="1"/>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Depressive episodes</w:t>
      </w:r>
      <w:r w:rsidRPr="00DC0DC5">
        <w:rPr>
          <w:rFonts w:ascii="Times New Roman" w:eastAsia="Times New Roman" w:hAnsi="Times New Roman" w:cs="Times New Roman"/>
          <w:kern w:val="0"/>
          <w:sz w:val="24"/>
          <w:szCs w:val="24"/>
          <w:lang/>
          <w14:ligatures w14:val="none"/>
        </w:rPr>
        <w:t xml:space="preserve"> are characterised by persistent low mood, loss of interest or pleasure (anhedonia), cognitive disturbances, and biological changes such as appetite and sleep alterations.</w:t>
      </w:r>
    </w:p>
    <w:p w14:paraId="0410BBF2" w14:textId="79EFF7DD"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t xml:space="preserve">Differential diagnosis is critical to distinguish bipolar disorder from unipolar depression, schizoaffective disorder, borderline personality disorder, and substance-induced mood disorders. Tools such as the </w:t>
      </w:r>
      <w:r w:rsidRPr="00DC0DC5">
        <w:rPr>
          <w:rFonts w:ascii="Times New Roman" w:eastAsia="Times New Roman" w:hAnsi="Times New Roman" w:cs="Times New Roman"/>
          <w:b/>
          <w:bCs/>
          <w:kern w:val="0"/>
          <w:sz w:val="24"/>
          <w:szCs w:val="24"/>
          <w:lang/>
          <w14:ligatures w14:val="none"/>
        </w:rPr>
        <w:t>Mood Disorder Questionnaire (MDQ)</w:t>
      </w:r>
      <w:r w:rsidRPr="00DC0DC5">
        <w:rPr>
          <w:rFonts w:ascii="Times New Roman" w:eastAsia="Times New Roman" w:hAnsi="Times New Roman" w:cs="Times New Roman"/>
          <w:kern w:val="0"/>
          <w:sz w:val="24"/>
          <w:szCs w:val="24"/>
          <w:lang/>
          <w14:ligatures w14:val="none"/>
        </w:rPr>
        <w:t xml:space="preserve"> support diagnostic accuracy (Hirschfeld, 2014).</w:t>
      </w:r>
    </w:p>
    <w:p w14:paraId="1106DA8E" w14:textId="77777777" w:rsidR="00DB1B47" w:rsidRPr="00DC0DC5" w:rsidRDefault="00DB1B4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3. Treatment and Rehabilitation</w:t>
      </w:r>
    </w:p>
    <w:p w14:paraId="4EFB306F"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3.1 Pharmacological Treatment</w:t>
      </w:r>
    </w:p>
    <w:p w14:paraId="157DEAAB" w14:textId="77777777"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Mood stabilisers</w:t>
      </w:r>
      <w:r w:rsidRPr="00DC0DC5">
        <w:rPr>
          <w:rFonts w:ascii="Times New Roman" w:eastAsia="Times New Roman" w:hAnsi="Times New Roman" w:cs="Times New Roman"/>
          <w:kern w:val="0"/>
          <w:sz w:val="24"/>
          <w:szCs w:val="24"/>
          <w:lang/>
          <w14:ligatures w14:val="none"/>
        </w:rPr>
        <w:t xml:space="preserve"> are the cornerstone of bipolar disorder management. </w:t>
      </w:r>
      <w:r w:rsidRPr="00DC0DC5">
        <w:rPr>
          <w:rFonts w:ascii="Times New Roman" w:eastAsia="Times New Roman" w:hAnsi="Times New Roman" w:cs="Times New Roman"/>
          <w:b/>
          <w:bCs/>
          <w:kern w:val="0"/>
          <w:sz w:val="24"/>
          <w:szCs w:val="24"/>
          <w:lang/>
          <w14:ligatures w14:val="none"/>
        </w:rPr>
        <w:t>Lithium</w:t>
      </w:r>
      <w:r w:rsidRPr="00DC0DC5">
        <w:rPr>
          <w:rFonts w:ascii="Times New Roman" w:eastAsia="Times New Roman" w:hAnsi="Times New Roman" w:cs="Times New Roman"/>
          <w:kern w:val="0"/>
          <w:sz w:val="24"/>
          <w:szCs w:val="24"/>
          <w:lang/>
          <w14:ligatures w14:val="none"/>
        </w:rPr>
        <w:t xml:space="preserve"> remains the gold standard for preventing both manic and depressive relapses and reducing suicide risk (Geddes &amp; Miklowitz, 2013). Other commonly used agents include </w:t>
      </w:r>
      <w:r w:rsidRPr="00DC0DC5">
        <w:rPr>
          <w:rFonts w:ascii="Times New Roman" w:eastAsia="Times New Roman" w:hAnsi="Times New Roman" w:cs="Times New Roman"/>
          <w:b/>
          <w:bCs/>
          <w:kern w:val="0"/>
          <w:sz w:val="24"/>
          <w:szCs w:val="24"/>
          <w:lang/>
          <w14:ligatures w14:val="none"/>
        </w:rPr>
        <w:t>valproate</w:t>
      </w:r>
      <w:r w:rsidRPr="00DC0DC5">
        <w:rPr>
          <w:rFonts w:ascii="Times New Roman" w:eastAsia="Times New Roman" w:hAnsi="Times New Roman" w:cs="Times New Roman"/>
          <w:kern w:val="0"/>
          <w:sz w:val="24"/>
          <w:szCs w:val="24"/>
          <w:lang/>
          <w14:ligatures w14:val="none"/>
        </w:rPr>
        <w:t xml:space="preserve">, </w:t>
      </w:r>
      <w:r w:rsidRPr="00DC0DC5">
        <w:rPr>
          <w:rFonts w:ascii="Times New Roman" w:eastAsia="Times New Roman" w:hAnsi="Times New Roman" w:cs="Times New Roman"/>
          <w:b/>
          <w:bCs/>
          <w:kern w:val="0"/>
          <w:sz w:val="24"/>
          <w:szCs w:val="24"/>
          <w:lang/>
          <w14:ligatures w14:val="none"/>
        </w:rPr>
        <w:t>carbamazepine</w:t>
      </w:r>
      <w:r w:rsidRPr="00DC0DC5">
        <w:rPr>
          <w:rFonts w:ascii="Times New Roman" w:eastAsia="Times New Roman" w:hAnsi="Times New Roman" w:cs="Times New Roman"/>
          <w:kern w:val="0"/>
          <w:sz w:val="24"/>
          <w:szCs w:val="24"/>
          <w:lang/>
          <w14:ligatures w14:val="none"/>
        </w:rPr>
        <w:t xml:space="preserve">, and </w:t>
      </w:r>
      <w:r w:rsidRPr="00DC0DC5">
        <w:rPr>
          <w:rFonts w:ascii="Times New Roman" w:eastAsia="Times New Roman" w:hAnsi="Times New Roman" w:cs="Times New Roman"/>
          <w:b/>
          <w:bCs/>
          <w:kern w:val="0"/>
          <w:sz w:val="24"/>
          <w:szCs w:val="24"/>
          <w:lang/>
          <w14:ligatures w14:val="none"/>
        </w:rPr>
        <w:t>lamotrigine</w:t>
      </w:r>
      <w:r w:rsidRPr="00DC0DC5">
        <w:rPr>
          <w:rFonts w:ascii="Times New Roman" w:eastAsia="Times New Roman" w:hAnsi="Times New Roman" w:cs="Times New Roman"/>
          <w:kern w:val="0"/>
          <w:sz w:val="24"/>
          <w:szCs w:val="24"/>
          <w:lang/>
          <w14:ligatures w14:val="none"/>
        </w:rPr>
        <w:t>.</w:t>
      </w:r>
    </w:p>
    <w:p w14:paraId="1AA05B85" w14:textId="77777777"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b/>
          <w:bCs/>
          <w:kern w:val="0"/>
          <w:sz w:val="24"/>
          <w:szCs w:val="24"/>
          <w:lang/>
          <w14:ligatures w14:val="none"/>
        </w:rPr>
        <w:t>Atypical antipsychotics</w:t>
      </w:r>
      <w:r w:rsidRPr="00DC0DC5">
        <w:rPr>
          <w:rFonts w:ascii="Times New Roman" w:eastAsia="Times New Roman" w:hAnsi="Times New Roman" w:cs="Times New Roman"/>
          <w:kern w:val="0"/>
          <w:sz w:val="24"/>
          <w:szCs w:val="24"/>
          <w:lang/>
          <w14:ligatures w14:val="none"/>
        </w:rPr>
        <w:t xml:space="preserve"> such as </w:t>
      </w:r>
      <w:r w:rsidRPr="00DC0DC5">
        <w:rPr>
          <w:rFonts w:ascii="Times New Roman" w:eastAsia="Times New Roman" w:hAnsi="Times New Roman" w:cs="Times New Roman"/>
          <w:b/>
          <w:bCs/>
          <w:kern w:val="0"/>
          <w:sz w:val="24"/>
          <w:szCs w:val="24"/>
          <w:lang/>
          <w14:ligatures w14:val="none"/>
        </w:rPr>
        <w:t>quetiapine</w:t>
      </w:r>
      <w:r w:rsidRPr="00DC0DC5">
        <w:rPr>
          <w:rFonts w:ascii="Times New Roman" w:eastAsia="Times New Roman" w:hAnsi="Times New Roman" w:cs="Times New Roman"/>
          <w:kern w:val="0"/>
          <w:sz w:val="24"/>
          <w:szCs w:val="24"/>
          <w:lang/>
          <w14:ligatures w14:val="none"/>
        </w:rPr>
        <w:t xml:space="preserve"> and </w:t>
      </w:r>
      <w:r w:rsidRPr="00DC0DC5">
        <w:rPr>
          <w:rFonts w:ascii="Times New Roman" w:eastAsia="Times New Roman" w:hAnsi="Times New Roman" w:cs="Times New Roman"/>
          <w:b/>
          <w:bCs/>
          <w:kern w:val="0"/>
          <w:sz w:val="24"/>
          <w:szCs w:val="24"/>
          <w:lang/>
          <w14:ligatures w14:val="none"/>
        </w:rPr>
        <w:t>olanzapine</w:t>
      </w:r>
      <w:r w:rsidRPr="00DC0DC5">
        <w:rPr>
          <w:rFonts w:ascii="Times New Roman" w:eastAsia="Times New Roman" w:hAnsi="Times New Roman" w:cs="Times New Roman"/>
          <w:kern w:val="0"/>
          <w:sz w:val="24"/>
          <w:szCs w:val="24"/>
          <w:lang/>
          <w14:ligatures w14:val="none"/>
        </w:rPr>
        <w:t xml:space="preserve"> are frequently prescribed for acute manic episodes and long-term maintenance (Yatham et al., 2018). Antidepressants may be cautiously added for bipolar depression but always in combination with mood stabilisers to reduce the risk of manic switching (Pacchiarotti et al., 2013).</w:t>
      </w:r>
    </w:p>
    <w:p w14:paraId="14E3B60A" w14:textId="7C8F3B5A" w:rsidR="00DB1B47" w:rsidRPr="00DC0DC5" w:rsidRDefault="00DB1B47" w:rsidP="00DC0DC5">
      <w:pPr>
        <w:spacing w:after="0" w:line="480" w:lineRule="auto"/>
        <w:rPr>
          <w:rFonts w:ascii="Times New Roman" w:eastAsia="Times New Roman" w:hAnsi="Times New Roman" w:cs="Times New Roman"/>
          <w:kern w:val="0"/>
          <w:sz w:val="24"/>
          <w:szCs w:val="24"/>
          <w:lang/>
          <w14:ligatures w14:val="none"/>
        </w:rPr>
      </w:pPr>
    </w:p>
    <w:p w14:paraId="7ECB645D"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3.2 Psychosocial Interventions</w:t>
      </w:r>
    </w:p>
    <w:p w14:paraId="42ED35D5" w14:textId="1DE4F74A"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t xml:space="preserve">Pharmacotherapy alone is often insufficient. Psychological therapies, particularly </w:t>
      </w:r>
      <w:r w:rsidRPr="00DC0DC5">
        <w:rPr>
          <w:rFonts w:ascii="Times New Roman" w:eastAsia="Times New Roman" w:hAnsi="Times New Roman" w:cs="Times New Roman"/>
          <w:b/>
          <w:bCs/>
          <w:kern w:val="0"/>
          <w:sz w:val="24"/>
          <w:szCs w:val="24"/>
          <w:lang/>
          <w14:ligatures w14:val="none"/>
        </w:rPr>
        <w:t>Cognitive Behavioural Therapy (CBT)</w:t>
      </w:r>
      <w:r w:rsidRPr="00DC0DC5">
        <w:rPr>
          <w:rFonts w:ascii="Times New Roman" w:eastAsia="Times New Roman" w:hAnsi="Times New Roman" w:cs="Times New Roman"/>
          <w:kern w:val="0"/>
          <w:sz w:val="24"/>
          <w:szCs w:val="24"/>
          <w:lang/>
          <w14:ligatures w14:val="none"/>
        </w:rPr>
        <w:t xml:space="preserve">, help patients develop coping strategies, identify early warning signs, and improve adherence (Bond &amp; Anderson, 2015). </w:t>
      </w:r>
      <w:r w:rsidRPr="00DC0DC5">
        <w:rPr>
          <w:rFonts w:ascii="Times New Roman" w:eastAsia="Times New Roman" w:hAnsi="Times New Roman" w:cs="Times New Roman"/>
          <w:b/>
          <w:bCs/>
          <w:kern w:val="0"/>
          <w:sz w:val="24"/>
          <w:szCs w:val="24"/>
          <w:lang/>
          <w14:ligatures w14:val="none"/>
        </w:rPr>
        <w:t>Psychoeducation</w:t>
      </w:r>
      <w:r w:rsidRPr="00DC0DC5">
        <w:rPr>
          <w:rFonts w:ascii="Times New Roman" w:eastAsia="Times New Roman" w:hAnsi="Times New Roman" w:cs="Times New Roman"/>
          <w:kern w:val="0"/>
          <w:sz w:val="24"/>
          <w:szCs w:val="24"/>
          <w:lang/>
          <w14:ligatures w14:val="none"/>
        </w:rPr>
        <w:t xml:space="preserve"> is effective in relapse prevention, while </w:t>
      </w:r>
      <w:r w:rsidRPr="00DC0DC5">
        <w:rPr>
          <w:rFonts w:ascii="Times New Roman" w:eastAsia="Times New Roman" w:hAnsi="Times New Roman" w:cs="Times New Roman"/>
          <w:b/>
          <w:bCs/>
          <w:kern w:val="0"/>
          <w:sz w:val="24"/>
          <w:szCs w:val="24"/>
          <w:lang/>
          <w14:ligatures w14:val="none"/>
        </w:rPr>
        <w:t>family-focused therapy</w:t>
      </w:r>
      <w:r w:rsidRPr="00DC0DC5">
        <w:rPr>
          <w:rFonts w:ascii="Times New Roman" w:eastAsia="Times New Roman" w:hAnsi="Times New Roman" w:cs="Times New Roman"/>
          <w:kern w:val="0"/>
          <w:sz w:val="24"/>
          <w:szCs w:val="24"/>
          <w:lang/>
          <w14:ligatures w14:val="none"/>
        </w:rPr>
        <w:t xml:space="preserve"> reduces relapse rates by addressing interpersonal stress and improving communication (Miklowitz et al., 2007).</w:t>
      </w:r>
    </w:p>
    <w:p w14:paraId="21371522"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3.3 Rehabilitation Measures</w:t>
      </w:r>
    </w:p>
    <w:p w14:paraId="7E241715" w14:textId="73EF94A4"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t xml:space="preserve">ICD-11 places strong emphasis on </w:t>
      </w:r>
      <w:r w:rsidRPr="00DC0DC5">
        <w:rPr>
          <w:rFonts w:ascii="Times New Roman" w:eastAsia="Times New Roman" w:hAnsi="Times New Roman" w:cs="Times New Roman"/>
          <w:b/>
          <w:bCs/>
          <w:kern w:val="0"/>
          <w:sz w:val="24"/>
          <w:szCs w:val="24"/>
          <w:lang/>
          <w14:ligatures w14:val="none"/>
        </w:rPr>
        <w:t>rehabilitation</w:t>
      </w:r>
      <w:r w:rsidRPr="00DC0DC5">
        <w:rPr>
          <w:rFonts w:ascii="Times New Roman" w:eastAsia="Times New Roman" w:hAnsi="Times New Roman" w:cs="Times New Roman"/>
          <w:kern w:val="0"/>
          <w:sz w:val="24"/>
          <w:szCs w:val="24"/>
          <w:lang/>
          <w14:ligatures w14:val="none"/>
        </w:rPr>
        <w:t xml:space="preserve"> to improve functional recovery. This includes </w:t>
      </w:r>
      <w:r w:rsidRPr="00DC0DC5">
        <w:rPr>
          <w:rFonts w:ascii="Times New Roman" w:eastAsia="Times New Roman" w:hAnsi="Times New Roman" w:cs="Times New Roman"/>
          <w:b/>
          <w:bCs/>
          <w:kern w:val="0"/>
          <w:sz w:val="24"/>
          <w:szCs w:val="24"/>
          <w:lang/>
          <w14:ligatures w14:val="none"/>
        </w:rPr>
        <w:t>vocational rehabilitation</w:t>
      </w:r>
      <w:r w:rsidRPr="00DC0DC5">
        <w:rPr>
          <w:rFonts w:ascii="Times New Roman" w:eastAsia="Times New Roman" w:hAnsi="Times New Roman" w:cs="Times New Roman"/>
          <w:kern w:val="0"/>
          <w:sz w:val="24"/>
          <w:szCs w:val="24"/>
          <w:lang/>
          <w14:ligatures w14:val="none"/>
        </w:rPr>
        <w:t xml:space="preserve">, </w:t>
      </w:r>
      <w:r w:rsidRPr="00DC0DC5">
        <w:rPr>
          <w:rFonts w:ascii="Times New Roman" w:eastAsia="Times New Roman" w:hAnsi="Times New Roman" w:cs="Times New Roman"/>
          <w:b/>
          <w:bCs/>
          <w:kern w:val="0"/>
          <w:sz w:val="24"/>
          <w:szCs w:val="24"/>
          <w:lang/>
          <w14:ligatures w14:val="none"/>
        </w:rPr>
        <w:t>social skills training</w:t>
      </w:r>
      <w:r w:rsidRPr="00DC0DC5">
        <w:rPr>
          <w:rFonts w:ascii="Times New Roman" w:eastAsia="Times New Roman" w:hAnsi="Times New Roman" w:cs="Times New Roman"/>
          <w:kern w:val="0"/>
          <w:sz w:val="24"/>
          <w:szCs w:val="24"/>
          <w:lang/>
          <w14:ligatures w14:val="none"/>
        </w:rPr>
        <w:t xml:space="preserve">, and </w:t>
      </w:r>
      <w:r w:rsidRPr="00DC0DC5">
        <w:rPr>
          <w:rFonts w:ascii="Times New Roman" w:eastAsia="Times New Roman" w:hAnsi="Times New Roman" w:cs="Times New Roman"/>
          <w:b/>
          <w:bCs/>
          <w:kern w:val="0"/>
          <w:sz w:val="24"/>
          <w:szCs w:val="24"/>
          <w:lang/>
          <w14:ligatures w14:val="none"/>
        </w:rPr>
        <w:t>supported employment</w:t>
      </w:r>
      <w:r w:rsidRPr="00DC0DC5">
        <w:rPr>
          <w:rFonts w:ascii="Times New Roman" w:eastAsia="Times New Roman" w:hAnsi="Times New Roman" w:cs="Times New Roman"/>
          <w:kern w:val="0"/>
          <w:sz w:val="24"/>
          <w:szCs w:val="24"/>
          <w:lang/>
          <w14:ligatures w14:val="none"/>
        </w:rPr>
        <w:t xml:space="preserve"> initiatives that help individuals reintegrate into the community and maintain independence (WHO, 2019). Evidence shows that </w:t>
      </w:r>
      <w:r w:rsidRPr="00DC0DC5">
        <w:rPr>
          <w:rFonts w:ascii="Times New Roman" w:eastAsia="Times New Roman" w:hAnsi="Times New Roman" w:cs="Times New Roman"/>
          <w:b/>
          <w:bCs/>
          <w:kern w:val="0"/>
          <w:sz w:val="24"/>
          <w:szCs w:val="24"/>
          <w:lang/>
          <w14:ligatures w14:val="none"/>
        </w:rPr>
        <w:t>community-based rehabilitation</w:t>
      </w:r>
      <w:r w:rsidRPr="00DC0DC5">
        <w:rPr>
          <w:rFonts w:ascii="Times New Roman" w:eastAsia="Times New Roman" w:hAnsi="Times New Roman" w:cs="Times New Roman"/>
          <w:kern w:val="0"/>
          <w:sz w:val="24"/>
          <w:szCs w:val="24"/>
          <w:lang/>
          <w14:ligatures w14:val="none"/>
        </w:rPr>
        <w:t xml:space="preserve"> improves long-term outcomes and reduces hospitalisation rates (Huxley &amp; Baldessarini, 2007).</w:t>
      </w:r>
    </w:p>
    <w:p w14:paraId="4996730B"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3.4 Effectiveness and Limitations</w:t>
      </w:r>
    </w:p>
    <w:p w14:paraId="3F6EB91A" w14:textId="492651B6"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t xml:space="preserve">While pharmacological treatments are effective for many, </w:t>
      </w:r>
      <w:r w:rsidRPr="00DC0DC5">
        <w:rPr>
          <w:rFonts w:ascii="Times New Roman" w:eastAsia="Times New Roman" w:hAnsi="Times New Roman" w:cs="Times New Roman"/>
          <w:b/>
          <w:bCs/>
          <w:kern w:val="0"/>
          <w:sz w:val="24"/>
          <w:szCs w:val="24"/>
          <w:lang/>
          <w14:ligatures w14:val="none"/>
        </w:rPr>
        <w:t>30–40% of patients</w:t>
      </w:r>
      <w:r w:rsidRPr="00DC0DC5">
        <w:rPr>
          <w:rFonts w:ascii="Times New Roman" w:eastAsia="Times New Roman" w:hAnsi="Times New Roman" w:cs="Times New Roman"/>
          <w:kern w:val="0"/>
          <w:sz w:val="24"/>
          <w:szCs w:val="24"/>
          <w:lang/>
          <w14:ligatures w14:val="none"/>
        </w:rPr>
        <w:t xml:space="preserve"> experience inadequate response (Malhi et al., 2018). Side effects, poor adherence, and treatment-resistant symptoms present ongoing challenges. Psychosocial interventions are highly beneficial but require consistent funding, availability, and patient engagement to be effective. Rehabilitation services remain underdeveloped in many health systems, limiting recovery opportunities.</w:t>
      </w:r>
    </w:p>
    <w:p w14:paraId="15BFEC58" w14:textId="77777777" w:rsidR="00DB1B47" w:rsidRPr="00DC0DC5" w:rsidRDefault="00DB1B4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4. Current Debates and Emerging Issues</w:t>
      </w:r>
    </w:p>
    <w:p w14:paraId="7EDAB3E5"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4.1 Classification Debates</w:t>
      </w:r>
    </w:p>
    <w:p w14:paraId="21671BE9" w14:textId="77777777" w:rsidR="00FA4720" w:rsidRPr="00DC0DC5" w:rsidRDefault="00FA4720" w:rsidP="00DC0DC5">
      <w:pPr>
        <w:pStyle w:val="NormalWeb"/>
        <w:spacing w:line="480" w:lineRule="auto"/>
      </w:pPr>
      <w:r w:rsidRPr="00DC0DC5">
        <w:lastRenderedPageBreak/>
        <w:t xml:space="preserve">There is growing debate around the traditional </w:t>
      </w:r>
      <w:r w:rsidRPr="00DC0DC5">
        <w:rPr>
          <w:rStyle w:val="Strong"/>
        </w:rPr>
        <w:t>bipolar I–II classification system</w:t>
      </w:r>
      <w:r w:rsidRPr="00DC0DC5">
        <w:t xml:space="preserve">, with critics arguing that it does not fully capture the complexity and variability of mood disorders. This dichotomy often overlooks presentations that fall between the two categories, such as </w:t>
      </w:r>
      <w:r w:rsidRPr="00DC0DC5">
        <w:rPr>
          <w:rStyle w:val="Strong"/>
        </w:rPr>
        <w:t>mixed states</w:t>
      </w:r>
      <w:r w:rsidRPr="00DC0DC5">
        <w:t xml:space="preserve">, </w:t>
      </w:r>
      <w:r w:rsidRPr="00DC0DC5">
        <w:rPr>
          <w:rStyle w:val="Strong"/>
        </w:rPr>
        <w:t>rapid cycling</w:t>
      </w:r>
      <w:r w:rsidRPr="00DC0DC5">
        <w:t xml:space="preserve">, and </w:t>
      </w:r>
      <w:r w:rsidRPr="00DC0DC5">
        <w:rPr>
          <w:rStyle w:val="Strong"/>
        </w:rPr>
        <w:t>subthreshold symptoms</w:t>
      </w:r>
      <w:r w:rsidRPr="00DC0DC5">
        <w:t>, which can significantly impact diagnosis and treatment outcomes.</w:t>
      </w:r>
    </w:p>
    <w:p w14:paraId="0BA67E22" w14:textId="77777777" w:rsidR="00FA4720" w:rsidRPr="00DC0DC5" w:rsidRDefault="00FA4720" w:rsidP="00DC0DC5">
      <w:pPr>
        <w:pStyle w:val="NormalWeb"/>
        <w:spacing w:line="480" w:lineRule="auto"/>
      </w:pPr>
      <w:r w:rsidRPr="00DC0DC5">
        <w:rPr>
          <w:rStyle w:val="Strong"/>
        </w:rPr>
        <w:t>Emerging research increasingly supports dimensional or spectrum-based models</w:t>
      </w:r>
      <w:r w:rsidRPr="00DC0DC5">
        <w:t>, which view mood disorders along a continuum rather than as discrete categories (Craddock &amp; Owen, 2010; Vieta &amp; Phillips, 2015). These models provide a more accurate reflection of clinical reality and may improve diagnostic precision, early detection, and personalised treatment planning.</w:t>
      </w:r>
    </w:p>
    <w:p w14:paraId="645DD00D"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4.2 Neurodivergence and Reclassification</w:t>
      </w:r>
    </w:p>
    <w:p w14:paraId="64AEF334" w14:textId="2A689292"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t xml:space="preserve">Growing research highlights the </w:t>
      </w:r>
      <w:r w:rsidRPr="00DC0DC5">
        <w:rPr>
          <w:rFonts w:ascii="Times New Roman" w:eastAsia="Times New Roman" w:hAnsi="Times New Roman" w:cs="Times New Roman"/>
          <w:b/>
          <w:bCs/>
          <w:kern w:val="0"/>
          <w:sz w:val="24"/>
          <w:szCs w:val="24"/>
          <w:lang/>
          <w14:ligatures w14:val="none"/>
        </w:rPr>
        <w:t>overlap between bipolar disorder and neurodivergent conditions</w:t>
      </w:r>
      <w:r w:rsidRPr="00DC0DC5">
        <w:rPr>
          <w:rFonts w:ascii="Times New Roman" w:eastAsia="Times New Roman" w:hAnsi="Times New Roman" w:cs="Times New Roman"/>
          <w:kern w:val="0"/>
          <w:sz w:val="24"/>
          <w:szCs w:val="24"/>
          <w:lang/>
          <w14:ligatures w14:val="none"/>
        </w:rPr>
        <w:t xml:space="preserve"> such as ADHD and autism, complicating diagnostic boundaries (Skirrow et al., 2012). This overlap challenges traditional categorical systems and calls for more flexible, personalised approaches.</w:t>
      </w:r>
    </w:p>
    <w:p w14:paraId="26B4FBEB"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4.3 Treatment Challenges</w:t>
      </w:r>
    </w:p>
    <w:p w14:paraId="033E8074" w14:textId="1E4771E8" w:rsidR="00FA4720" w:rsidRPr="00DC0DC5" w:rsidRDefault="00FA4720" w:rsidP="00DC0DC5">
      <w:pPr>
        <w:pStyle w:val="NormalWeb"/>
        <w:spacing w:line="480" w:lineRule="auto"/>
      </w:pPr>
      <w:r w:rsidRPr="00DC0DC5">
        <w:t xml:space="preserve">Treating bipolar depression is complex due to ongoing debates and practical limitations. </w:t>
      </w:r>
      <w:r w:rsidRPr="00DC0DC5">
        <w:rPr>
          <w:rStyle w:val="Strong"/>
        </w:rPr>
        <w:t>Antidepressant use</w:t>
      </w:r>
      <w:r w:rsidRPr="00DC0DC5">
        <w:t xml:space="preserve"> remains controversial because of the risk of mood destabilisation, including mania or rapid cycling, especially when used without mood stabilisers (Pacchiarotti et al., 2013). </w:t>
      </w:r>
      <w:r w:rsidRPr="00DC0DC5">
        <w:rPr>
          <w:rStyle w:val="Strong"/>
        </w:rPr>
        <w:t>Lithium remains highly effective</w:t>
      </w:r>
      <w:r w:rsidRPr="00DC0DC5">
        <w:t xml:space="preserve"> for long-term maintenance and relapse prevention, but its use is complicated by side effects, the need for regular monitoring, and adherence challenges (Malhi et al., 2018).These factors highlight the importance of </w:t>
      </w:r>
      <w:r w:rsidRPr="00DC0DC5">
        <w:rPr>
          <w:rStyle w:val="Strong"/>
        </w:rPr>
        <w:t>personalised treatment plans</w:t>
      </w:r>
      <w:r w:rsidRPr="00DC0DC5">
        <w:t xml:space="preserve"> that carefully balance benefits and risks. Effective </w:t>
      </w:r>
      <w:r w:rsidRPr="00DC0DC5">
        <w:lastRenderedPageBreak/>
        <w:t>management often requires combining medication with psychological and social support to ensure long-term stability and improved quality of life.</w:t>
      </w:r>
    </w:p>
    <w:p w14:paraId="47649A0D" w14:textId="77777777" w:rsidR="00DB1B47" w:rsidRPr="00DC0DC5" w:rsidRDefault="00DB1B47" w:rsidP="00DC0DC5">
      <w:pPr>
        <w:spacing w:before="100" w:beforeAutospacing="1" w:after="100" w:afterAutospacing="1" w:line="480" w:lineRule="auto"/>
        <w:outlineLvl w:val="3"/>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4.4 Policy and Practice Implications</w:t>
      </w:r>
    </w:p>
    <w:p w14:paraId="64F99D2C" w14:textId="2AC9C8C5" w:rsidR="00FA4720" w:rsidRPr="00DC0DC5" w:rsidRDefault="00FA4720" w:rsidP="00DC0DC5">
      <w:pPr>
        <w:pStyle w:val="NormalWeb"/>
        <w:spacing w:line="480" w:lineRule="auto"/>
      </w:pPr>
      <w:r w:rsidRPr="00DC0DC5">
        <w:t xml:space="preserve">Shifting toward </w:t>
      </w:r>
      <w:r w:rsidRPr="00DC0DC5">
        <w:rPr>
          <w:rStyle w:val="Strong"/>
        </w:rPr>
        <w:t>spectrum-based models</w:t>
      </w:r>
      <w:r w:rsidRPr="00DC0DC5">
        <w:t xml:space="preserve"> of diagnosis has significant implications for both policy and clinical practice. Implementing such models would require substantial </w:t>
      </w:r>
      <w:r w:rsidRPr="00DC0DC5">
        <w:rPr>
          <w:rStyle w:val="Strong"/>
        </w:rPr>
        <w:t>revisions to clinical guidelines</w:t>
      </w:r>
      <w:r w:rsidRPr="00DC0DC5">
        <w:t xml:space="preserve">, insurance policies, and legal frameworks to accommodate more flexible diagnostic categories (Phillips &amp; Kupfer, 2013). This change could lead to improved </w:t>
      </w:r>
      <w:r w:rsidRPr="00DC0DC5">
        <w:rPr>
          <w:rStyle w:val="Strong"/>
        </w:rPr>
        <w:t>diagnostic accuracy</w:t>
      </w:r>
      <w:r w:rsidRPr="00DC0DC5">
        <w:t xml:space="preserve"> and </w:t>
      </w:r>
      <w:r w:rsidRPr="00DC0DC5">
        <w:rPr>
          <w:rStyle w:val="Strong"/>
        </w:rPr>
        <w:t>more personalised care</w:t>
      </w:r>
      <w:r w:rsidRPr="00DC0DC5">
        <w:t xml:space="preserve">, as spectrum approaches better capture the complexity and variability of mental health presentations.However, these benefits may also be accompanied by </w:t>
      </w:r>
      <w:r w:rsidRPr="00DC0DC5">
        <w:rPr>
          <w:rStyle w:val="Strong"/>
        </w:rPr>
        <w:t>administrative and funding challenges</w:t>
      </w:r>
      <w:r w:rsidRPr="00DC0DC5">
        <w:t>. Current healthcare systems, insurance structures, and service reimbursement models are often built around categorical diagnoses. Moving to spectrum-based classifications could complicate billing procedures, eligibility criteria, and data reporting requirements. Policymakers and healthcare leaders would therefore need to adapt existing infrastructures to ensure that clinical innovation is matched by supportive regulatory and financial systems.</w:t>
      </w:r>
    </w:p>
    <w:p w14:paraId="48AF1F05" w14:textId="77777777" w:rsidR="00DB1B47" w:rsidRPr="00DC0DC5" w:rsidRDefault="00DB1B4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5. Recommendations</w:t>
      </w:r>
    </w:p>
    <w:p w14:paraId="70AA8524" w14:textId="3670BE45" w:rsidR="00DB1B47" w:rsidRPr="00DC0DC5" w:rsidRDefault="00E605AE" w:rsidP="00DC0DC5">
      <w:pPr>
        <w:numPr>
          <w:ilvl w:val="0"/>
          <w:numId w:val="2"/>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Style w:val="Strong"/>
          <w:rFonts w:ascii="Times New Roman" w:hAnsi="Times New Roman" w:cs="Times New Roman"/>
          <w:sz w:val="24"/>
          <w:szCs w:val="24"/>
        </w:rPr>
        <w:t>Adopt a spectrum-based classification to better capture heterogeneity and emerging evidence</w:t>
      </w:r>
      <w:r w:rsidRPr="00DC0DC5">
        <w:rPr>
          <w:rFonts w:ascii="Times New Roman" w:hAnsi="Times New Roman" w:cs="Times New Roman"/>
          <w:sz w:val="24"/>
          <w:szCs w:val="24"/>
        </w:rPr>
        <w:br/>
        <w:t xml:space="preserve">Current diagnostic frameworks often rely on rigid categories that may not fully reflect the complexity and variability of conditions such as mood disorders, neurodevelopmental differences, or other mental health presentations. A spectrum-based classification acknowledges that symptoms exist along a continuum rather than within fixed boundaries. This approach allows for better recognition of subclinical or </w:t>
      </w:r>
      <w:r w:rsidRPr="00DC0DC5">
        <w:rPr>
          <w:rFonts w:ascii="Times New Roman" w:hAnsi="Times New Roman" w:cs="Times New Roman"/>
          <w:sz w:val="24"/>
          <w:szCs w:val="24"/>
        </w:rPr>
        <w:lastRenderedPageBreak/>
        <w:t>mixed presentations, which can lead to earlier intervention and more precise treatment. It also aligns with emerging neuroscientific evidence that challenges traditional categorical models.</w:t>
      </w:r>
      <w:r w:rsidR="00DB1B47" w:rsidRPr="00DC0DC5">
        <w:rPr>
          <w:rFonts w:ascii="Times New Roman" w:eastAsia="Times New Roman" w:hAnsi="Times New Roman" w:cs="Times New Roman"/>
          <w:b/>
          <w:bCs/>
          <w:kern w:val="0"/>
          <w:sz w:val="24"/>
          <w:szCs w:val="24"/>
          <w:lang/>
          <w14:ligatures w14:val="none"/>
        </w:rPr>
        <w:t>Enhance diagnostic training</w:t>
      </w:r>
      <w:r w:rsidR="00DB1B47" w:rsidRPr="00DC0DC5">
        <w:rPr>
          <w:rFonts w:ascii="Times New Roman" w:eastAsia="Times New Roman" w:hAnsi="Times New Roman" w:cs="Times New Roman"/>
          <w:kern w:val="0"/>
          <w:sz w:val="24"/>
          <w:szCs w:val="24"/>
          <w:lang/>
          <w14:ligatures w14:val="none"/>
        </w:rPr>
        <w:t xml:space="preserve"> for clinicians to improve early identification of mixed states and comorbid neurodivergence.</w:t>
      </w:r>
    </w:p>
    <w:p w14:paraId="3D374F24" w14:textId="6BBDD87E" w:rsidR="00DB1B47" w:rsidRPr="00DC0DC5" w:rsidRDefault="00E605AE" w:rsidP="00DC0DC5">
      <w:pPr>
        <w:numPr>
          <w:ilvl w:val="0"/>
          <w:numId w:val="2"/>
        </w:num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Style w:val="Strong"/>
          <w:rFonts w:ascii="Times New Roman" w:hAnsi="Times New Roman" w:cs="Times New Roman"/>
          <w:sz w:val="24"/>
          <w:szCs w:val="24"/>
        </w:rPr>
        <w:t>Enhance diagnostic training for clinicians to improve early identification of mixed states and comorbid neurodivergence</w:t>
      </w:r>
      <w:r w:rsidRPr="00DC0DC5">
        <w:rPr>
          <w:rFonts w:ascii="Times New Roman" w:hAnsi="Times New Roman" w:cs="Times New Roman"/>
          <w:sz w:val="24"/>
          <w:szCs w:val="24"/>
        </w:rPr>
        <w:br/>
        <w:t>Many healthcare professionals still receive limited training on complex presentations, such as mixed affective states or overlapping conditions like autism, ADHD, and mood disorders. Improving diagnostic training through continuous professional development, workshops, and updated clinical guidelines will enable clinicians to detect nuanced presentations earlier and more accurately. Early identification prevents misdiagnosis, supports timely intervention, and reduces the risk of deterioration or inappropriate treatment.</w:t>
      </w:r>
      <w:r w:rsidR="00DB1B47" w:rsidRPr="00DC0DC5">
        <w:rPr>
          <w:rFonts w:ascii="Times New Roman" w:eastAsia="Times New Roman" w:hAnsi="Times New Roman" w:cs="Times New Roman"/>
          <w:b/>
          <w:bCs/>
          <w:kern w:val="0"/>
          <w:sz w:val="24"/>
          <w:szCs w:val="24"/>
          <w:lang/>
          <w14:ligatures w14:val="none"/>
        </w:rPr>
        <w:t>Personalise treatment</w:t>
      </w:r>
      <w:r w:rsidR="00DB1B47" w:rsidRPr="00DC0DC5">
        <w:rPr>
          <w:rFonts w:ascii="Times New Roman" w:eastAsia="Times New Roman" w:hAnsi="Times New Roman" w:cs="Times New Roman"/>
          <w:kern w:val="0"/>
          <w:sz w:val="24"/>
          <w:szCs w:val="24"/>
          <w:lang/>
          <w14:ligatures w14:val="none"/>
        </w:rPr>
        <w:t xml:space="preserve"> using shared decision-making and patient-centred approaches to optimise outcomes.</w:t>
      </w:r>
    </w:p>
    <w:p w14:paraId="38885441" w14:textId="75D2F276" w:rsidR="00E605AE" w:rsidRPr="00DC0DC5" w:rsidRDefault="00E605AE" w:rsidP="00DC0DC5">
      <w:pPr>
        <w:numPr>
          <w:ilvl w:val="0"/>
          <w:numId w:val="2"/>
        </w:numPr>
        <w:spacing w:before="100" w:beforeAutospacing="1" w:after="100" w:afterAutospacing="1" w:line="480" w:lineRule="auto"/>
        <w:rPr>
          <w:rFonts w:ascii="Times New Roman" w:eastAsia="Times New Roman" w:hAnsi="Times New Roman" w:cs="Times New Roman"/>
          <w:b/>
          <w:bCs/>
          <w:kern w:val="0"/>
          <w:sz w:val="24"/>
          <w:szCs w:val="24"/>
          <w:lang/>
          <w14:ligatures w14:val="none"/>
        </w:rPr>
      </w:pPr>
      <w:r w:rsidRPr="00DC0DC5">
        <w:rPr>
          <w:rStyle w:val="Strong"/>
          <w:rFonts w:ascii="Times New Roman" w:hAnsi="Times New Roman" w:cs="Times New Roman"/>
          <w:sz w:val="24"/>
          <w:szCs w:val="24"/>
        </w:rPr>
        <w:t>. Expand rehabilitation services including community-based programs, supported employment, and psychosocial care</w:t>
      </w:r>
      <w:r w:rsidRPr="00DC0DC5">
        <w:rPr>
          <w:rFonts w:ascii="Times New Roman" w:hAnsi="Times New Roman" w:cs="Times New Roman"/>
          <w:sz w:val="24"/>
          <w:szCs w:val="24"/>
        </w:rPr>
        <w:br/>
        <w:t>Recovery is not solely dependent on medication or acute care. Rehabilitation services—such as vocational training, supported employment, peer support networks, and psychosocial interventions—play a critical role in improving long-term outcomes. Community-based programs enable individuals to reintegrate into society, gain independence, and maintain stability. Expanding these services ensures continuity of care, especially for individuals with chronic or complex needs who require ongoing support beyond clinical treatment settings.</w:t>
      </w:r>
      <w:r w:rsidR="00DB1B47" w:rsidRPr="00DC0DC5">
        <w:rPr>
          <w:rFonts w:ascii="Times New Roman" w:eastAsia="Times New Roman" w:hAnsi="Times New Roman" w:cs="Times New Roman"/>
          <w:kern w:val="0"/>
          <w:sz w:val="24"/>
          <w:szCs w:val="24"/>
          <w:lang/>
          <w14:ligatures w14:val="none"/>
        </w:rPr>
        <w:t>.</w:t>
      </w:r>
    </w:p>
    <w:p w14:paraId="640C39E7" w14:textId="778971AF" w:rsidR="00E605AE" w:rsidRPr="00DC0DC5" w:rsidRDefault="00E605AE" w:rsidP="00DC0DC5">
      <w:pPr>
        <w:numPr>
          <w:ilvl w:val="0"/>
          <w:numId w:val="2"/>
        </w:numPr>
        <w:spacing w:before="100" w:beforeAutospacing="1" w:after="100" w:afterAutospacing="1" w:line="480" w:lineRule="auto"/>
        <w:rPr>
          <w:rFonts w:ascii="Times New Roman" w:eastAsia="Times New Roman" w:hAnsi="Times New Roman" w:cs="Times New Roman"/>
          <w:b/>
          <w:bCs/>
          <w:kern w:val="0"/>
          <w:sz w:val="24"/>
          <w:szCs w:val="24"/>
          <w:lang/>
          <w14:ligatures w14:val="none"/>
        </w:rPr>
      </w:pPr>
      <w:r w:rsidRPr="00DC0DC5">
        <w:rPr>
          <w:rStyle w:val="Strong"/>
          <w:rFonts w:ascii="Times New Roman" w:hAnsi="Times New Roman" w:cs="Times New Roman"/>
          <w:sz w:val="24"/>
          <w:szCs w:val="24"/>
        </w:rPr>
        <w:t>Personalise treatment using shared decision-making and patient-centred approaches to optimise outcomes</w:t>
      </w:r>
      <w:r w:rsidRPr="00DC0DC5">
        <w:rPr>
          <w:rFonts w:ascii="Times New Roman" w:hAnsi="Times New Roman" w:cs="Times New Roman"/>
          <w:sz w:val="24"/>
          <w:szCs w:val="24"/>
        </w:rPr>
        <w:br/>
      </w:r>
      <w:r w:rsidRPr="00DC0DC5">
        <w:rPr>
          <w:rFonts w:ascii="Times New Roman" w:hAnsi="Times New Roman" w:cs="Times New Roman"/>
          <w:sz w:val="24"/>
          <w:szCs w:val="24"/>
        </w:rPr>
        <w:lastRenderedPageBreak/>
        <w:t>Every individual’s experience is unique, and treatment plans should reflect that. Personalised care involves collaborative discussions between patients and healthcare providers, considering personal values, preferences, cultural contexts, and clinical evidence. Shared decision-making improves patient engagement, adherence to treatment, and satisfaction. It also promotes autonomy and respect for patient perspectives, ultimately leading to more effective and sustainable outcomes.</w:t>
      </w:r>
    </w:p>
    <w:p w14:paraId="2623CD95" w14:textId="7D6DAB34" w:rsidR="00E605AE" w:rsidRPr="00DC0DC5" w:rsidRDefault="00E605AE" w:rsidP="00DC0DC5">
      <w:pPr>
        <w:numPr>
          <w:ilvl w:val="0"/>
          <w:numId w:val="2"/>
        </w:numPr>
        <w:spacing w:before="100" w:beforeAutospacing="1" w:after="100" w:afterAutospacing="1" w:line="480" w:lineRule="auto"/>
        <w:rPr>
          <w:rFonts w:ascii="Times New Roman" w:eastAsia="Times New Roman" w:hAnsi="Times New Roman" w:cs="Times New Roman"/>
          <w:b/>
          <w:bCs/>
          <w:kern w:val="0"/>
          <w:sz w:val="24"/>
          <w:szCs w:val="24"/>
          <w:lang/>
          <w14:ligatures w14:val="none"/>
        </w:rPr>
      </w:pPr>
      <w:r w:rsidRPr="00DC0DC5">
        <w:rPr>
          <w:rStyle w:val="Strong"/>
          <w:rFonts w:ascii="Times New Roman" w:hAnsi="Times New Roman" w:cs="Times New Roman"/>
          <w:sz w:val="24"/>
          <w:szCs w:val="24"/>
        </w:rPr>
        <w:t>Invest in research to refine classification, improve interventions, and identify biological markers for targeted treatment</w:t>
      </w:r>
      <w:r w:rsidRPr="00DC0DC5">
        <w:rPr>
          <w:rFonts w:ascii="Times New Roman" w:hAnsi="Times New Roman" w:cs="Times New Roman"/>
          <w:sz w:val="24"/>
          <w:szCs w:val="24"/>
        </w:rPr>
        <w:br/>
        <w:t>Scientific understanding of many conditions remains incomplete. Investing in research can help refine diagnostic criteria, develop more effective and tailored interventions, and discover biological markers that may guide precision medicine approaches. This includes genetic, neuroimaging, and biochemical studies that can uncover underlying mechanisms and inform more accurate classifications. A stronger evidence base will improve both diagnosis and treatment, leading to better patient outcomes and more efficient health service delivery.</w:t>
      </w:r>
    </w:p>
    <w:p w14:paraId="3A9A9A85" w14:textId="44164A0E" w:rsidR="00DB1B47" w:rsidRPr="00DC0DC5" w:rsidRDefault="00DB1B47" w:rsidP="00DC0DC5">
      <w:pPr>
        <w:spacing w:before="100" w:beforeAutospacing="1" w:after="100" w:afterAutospacing="1" w:line="480" w:lineRule="auto"/>
        <w:ind w:left="720"/>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6. Conclusion</w:t>
      </w:r>
    </w:p>
    <w:p w14:paraId="60B4E2B8" w14:textId="37CAD644"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t xml:space="preserve">Bipolar disorder is a </w:t>
      </w:r>
      <w:r w:rsidRPr="00DC0DC5">
        <w:rPr>
          <w:rFonts w:ascii="Times New Roman" w:eastAsia="Times New Roman" w:hAnsi="Times New Roman" w:cs="Times New Roman"/>
          <w:b/>
          <w:bCs/>
          <w:kern w:val="0"/>
          <w:sz w:val="24"/>
          <w:szCs w:val="24"/>
          <w:lang/>
          <w14:ligatures w14:val="none"/>
        </w:rPr>
        <w:t>multifaceted psychiatric condition</w:t>
      </w:r>
      <w:r w:rsidRPr="00DC0DC5">
        <w:rPr>
          <w:rFonts w:ascii="Times New Roman" w:eastAsia="Times New Roman" w:hAnsi="Times New Roman" w:cs="Times New Roman"/>
          <w:kern w:val="0"/>
          <w:sz w:val="24"/>
          <w:szCs w:val="24"/>
          <w:lang/>
          <w14:ligatures w14:val="none"/>
        </w:rPr>
        <w:t xml:space="preserve"> with profound personal and societal impacts. While ICD-11 provides a useful framework for classification and diagnosis, current debates highlight the need for evolution toward more nuanced, spectrum-based approaches. Effective treatment requires an integrated strategy combining pharmacological, psychosocial, and rehabilitative interventions. Addressing diagnostic complexity, expanding access to services, and embracing personalised care are essential to improve outcomes for individuals with bipolar disorder.</w:t>
      </w:r>
    </w:p>
    <w:p w14:paraId="166A96B8" w14:textId="77777777" w:rsidR="00DB1B47" w:rsidRPr="00DC0DC5" w:rsidRDefault="00DB1B47" w:rsidP="00DC0DC5">
      <w:pPr>
        <w:spacing w:before="100" w:beforeAutospacing="1" w:after="100" w:afterAutospacing="1" w:line="480" w:lineRule="auto"/>
        <w:outlineLvl w:val="2"/>
        <w:rPr>
          <w:rFonts w:ascii="Times New Roman" w:eastAsia="Times New Roman" w:hAnsi="Times New Roman" w:cs="Times New Roman"/>
          <w:b/>
          <w:bCs/>
          <w:kern w:val="0"/>
          <w:sz w:val="24"/>
          <w:szCs w:val="24"/>
          <w:lang/>
          <w14:ligatures w14:val="none"/>
        </w:rPr>
      </w:pPr>
      <w:r w:rsidRPr="00DC0DC5">
        <w:rPr>
          <w:rFonts w:ascii="Times New Roman" w:eastAsia="Times New Roman" w:hAnsi="Times New Roman" w:cs="Times New Roman"/>
          <w:b/>
          <w:bCs/>
          <w:kern w:val="0"/>
          <w:sz w:val="24"/>
          <w:szCs w:val="24"/>
          <w:lang/>
          <w14:ligatures w14:val="none"/>
        </w:rPr>
        <w:t>References</w:t>
      </w:r>
    </w:p>
    <w:p w14:paraId="1224DD93" w14:textId="77777777" w:rsidR="00DB1B47" w:rsidRPr="00DC0DC5" w:rsidRDefault="00DB1B47" w:rsidP="00DC0DC5">
      <w:pPr>
        <w:spacing w:before="100" w:beforeAutospacing="1" w:after="100" w:afterAutospacing="1" w:line="480" w:lineRule="auto"/>
        <w:rPr>
          <w:rFonts w:ascii="Times New Roman" w:eastAsia="Times New Roman" w:hAnsi="Times New Roman" w:cs="Times New Roman"/>
          <w:kern w:val="0"/>
          <w:sz w:val="24"/>
          <w:szCs w:val="24"/>
          <w:lang/>
          <w14:ligatures w14:val="none"/>
        </w:rPr>
      </w:pPr>
      <w:r w:rsidRPr="00DC0DC5">
        <w:rPr>
          <w:rFonts w:ascii="Times New Roman" w:eastAsia="Times New Roman" w:hAnsi="Times New Roman" w:cs="Times New Roman"/>
          <w:kern w:val="0"/>
          <w:sz w:val="24"/>
          <w:szCs w:val="24"/>
          <w:lang/>
          <w14:ligatures w14:val="none"/>
        </w:rPr>
        <w:lastRenderedPageBreak/>
        <w:t xml:space="preserve">Bond, K. &amp; Anderson, I.M. (2015). Psychoeducation for bipolar disorder: a systematic review of efficacy in randomized controlled trials. </w:t>
      </w:r>
      <w:r w:rsidRPr="00DC0DC5">
        <w:rPr>
          <w:rFonts w:ascii="Times New Roman" w:eastAsia="Times New Roman" w:hAnsi="Times New Roman" w:cs="Times New Roman"/>
          <w:i/>
          <w:iCs/>
          <w:kern w:val="0"/>
          <w:sz w:val="24"/>
          <w:szCs w:val="24"/>
          <w:lang/>
          <w14:ligatures w14:val="none"/>
        </w:rPr>
        <w:t>Bipolar Disorders, 17</w:t>
      </w:r>
      <w:r w:rsidRPr="00DC0DC5">
        <w:rPr>
          <w:rFonts w:ascii="Times New Roman" w:eastAsia="Times New Roman" w:hAnsi="Times New Roman" w:cs="Times New Roman"/>
          <w:kern w:val="0"/>
          <w:sz w:val="24"/>
          <w:szCs w:val="24"/>
          <w:lang/>
          <w14:ligatures w14:val="none"/>
        </w:rPr>
        <w:t>(4), 349–362.</w:t>
      </w:r>
      <w:r w:rsidRPr="00DC0DC5">
        <w:rPr>
          <w:rFonts w:ascii="Times New Roman" w:eastAsia="Times New Roman" w:hAnsi="Times New Roman" w:cs="Times New Roman"/>
          <w:kern w:val="0"/>
          <w:sz w:val="24"/>
          <w:szCs w:val="24"/>
          <w:lang/>
          <w14:ligatures w14:val="none"/>
        </w:rPr>
        <w:br/>
        <w:t xml:space="preserve">Carvalho, A.F., Firth, J., &amp; Vieta, E. (2020). Bipolar disorder. </w:t>
      </w:r>
      <w:r w:rsidRPr="00DC0DC5">
        <w:rPr>
          <w:rFonts w:ascii="Times New Roman" w:eastAsia="Times New Roman" w:hAnsi="Times New Roman" w:cs="Times New Roman"/>
          <w:i/>
          <w:iCs/>
          <w:kern w:val="0"/>
          <w:sz w:val="24"/>
          <w:szCs w:val="24"/>
          <w:lang/>
          <w14:ligatures w14:val="none"/>
        </w:rPr>
        <w:t>New England Journal of Medicine, 383</w:t>
      </w:r>
      <w:r w:rsidRPr="00DC0DC5">
        <w:rPr>
          <w:rFonts w:ascii="Times New Roman" w:eastAsia="Times New Roman" w:hAnsi="Times New Roman" w:cs="Times New Roman"/>
          <w:kern w:val="0"/>
          <w:sz w:val="24"/>
          <w:szCs w:val="24"/>
          <w:lang/>
          <w14:ligatures w14:val="none"/>
        </w:rPr>
        <w:t>(1), 58–66.</w:t>
      </w:r>
      <w:r w:rsidRPr="00DC0DC5">
        <w:rPr>
          <w:rFonts w:ascii="Times New Roman" w:eastAsia="Times New Roman" w:hAnsi="Times New Roman" w:cs="Times New Roman"/>
          <w:kern w:val="0"/>
          <w:sz w:val="24"/>
          <w:szCs w:val="24"/>
          <w:lang/>
          <w14:ligatures w14:val="none"/>
        </w:rPr>
        <w:br/>
        <w:t xml:space="preserve">Craddock, N. &amp; Owen, M.J. (2010). The Kraepelinian dichotomy — going, going... but still not gone. </w:t>
      </w:r>
      <w:r w:rsidRPr="00DC0DC5">
        <w:rPr>
          <w:rFonts w:ascii="Times New Roman" w:eastAsia="Times New Roman" w:hAnsi="Times New Roman" w:cs="Times New Roman"/>
          <w:i/>
          <w:iCs/>
          <w:kern w:val="0"/>
          <w:sz w:val="24"/>
          <w:szCs w:val="24"/>
          <w:lang/>
          <w14:ligatures w14:val="none"/>
        </w:rPr>
        <w:t>British Journal of Psychiatry, 196</w:t>
      </w:r>
      <w:r w:rsidRPr="00DC0DC5">
        <w:rPr>
          <w:rFonts w:ascii="Times New Roman" w:eastAsia="Times New Roman" w:hAnsi="Times New Roman" w:cs="Times New Roman"/>
          <w:kern w:val="0"/>
          <w:sz w:val="24"/>
          <w:szCs w:val="24"/>
          <w:lang/>
          <w14:ligatures w14:val="none"/>
        </w:rPr>
        <w:t>(2), 92–95.</w:t>
      </w:r>
      <w:r w:rsidRPr="00DC0DC5">
        <w:rPr>
          <w:rFonts w:ascii="Times New Roman" w:eastAsia="Times New Roman" w:hAnsi="Times New Roman" w:cs="Times New Roman"/>
          <w:kern w:val="0"/>
          <w:sz w:val="24"/>
          <w:szCs w:val="24"/>
          <w:lang/>
          <w14:ligatures w14:val="none"/>
        </w:rPr>
        <w:br/>
        <w:t xml:space="preserve">Geddes, J.R. &amp; Miklowitz, D.J. (2013). Treatment of bipolar disorder. </w:t>
      </w:r>
      <w:r w:rsidRPr="00DC0DC5">
        <w:rPr>
          <w:rFonts w:ascii="Times New Roman" w:eastAsia="Times New Roman" w:hAnsi="Times New Roman" w:cs="Times New Roman"/>
          <w:i/>
          <w:iCs/>
          <w:kern w:val="0"/>
          <w:sz w:val="24"/>
          <w:szCs w:val="24"/>
          <w:lang/>
          <w14:ligatures w14:val="none"/>
        </w:rPr>
        <w:t>Lancet, 381</w:t>
      </w:r>
      <w:r w:rsidRPr="00DC0DC5">
        <w:rPr>
          <w:rFonts w:ascii="Times New Roman" w:eastAsia="Times New Roman" w:hAnsi="Times New Roman" w:cs="Times New Roman"/>
          <w:kern w:val="0"/>
          <w:sz w:val="24"/>
          <w:szCs w:val="24"/>
          <w:lang/>
          <w14:ligatures w14:val="none"/>
        </w:rPr>
        <w:t>(9878), 1672–1682.</w:t>
      </w:r>
      <w:r w:rsidRPr="00DC0DC5">
        <w:rPr>
          <w:rFonts w:ascii="Times New Roman" w:eastAsia="Times New Roman" w:hAnsi="Times New Roman" w:cs="Times New Roman"/>
          <w:kern w:val="0"/>
          <w:sz w:val="24"/>
          <w:szCs w:val="24"/>
          <w:lang/>
          <w14:ligatures w14:val="none"/>
        </w:rPr>
        <w:br/>
        <w:t xml:space="preserve">Grande, I., Berk, M., Birmaher, B. &amp; Vieta, E. (2016). Bipolar disorder. </w:t>
      </w:r>
      <w:r w:rsidRPr="00DC0DC5">
        <w:rPr>
          <w:rFonts w:ascii="Times New Roman" w:eastAsia="Times New Roman" w:hAnsi="Times New Roman" w:cs="Times New Roman"/>
          <w:i/>
          <w:iCs/>
          <w:kern w:val="0"/>
          <w:sz w:val="24"/>
          <w:szCs w:val="24"/>
          <w:lang/>
          <w14:ligatures w14:val="none"/>
        </w:rPr>
        <w:t>Lancet, 387</w:t>
      </w:r>
      <w:r w:rsidRPr="00DC0DC5">
        <w:rPr>
          <w:rFonts w:ascii="Times New Roman" w:eastAsia="Times New Roman" w:hAnsi="Times New Roman" w:cs="Times New Roman"/>
          <w:kern w:val="0"/>
          <w:sz w:val="24"/>
          <w:szCs w:val="24"/>
          <w:lang/>
          <w14:ligatures w14:val="none"/>
        </w:rPr>
        <w:t>(10027), 1561–1572.</w:t>
      </w:r>
      <w:r w:rsidRPr="00DC0DC5">
        <w:rPr>
          <w:rFonts w:ascii="Times New Roman" w:eastAsia="Times New Roman" w:hAnsi="Times New Roman" w:cs="Times New Roman"/>
          <w:kern w:val="0"/>
          <w:sz w:val="24"/>
          <w:szCs w:val="24"/>
          <w:lang/>
          <w14:ligatures w14:val="none"/>
        </w:rPr>
        <w:br/>
        <w:t xml:space="preserve">Hirschfeld, R.M.A. (2014). Differential diagnosis of bipolar disorder and major depressive disorder. </w:t>
      </w:r>
      <w:r w:rsidRPr="00DC0DC5">
        <w:rPr>
          <w:rFonts w:ascii="Times New Roman" w:eastAsia="Times New Roman" w:hAnsi="Times New Roman" w:cs="Times New Roman"/>
          <w:i/>
          <w:iCs/>
          <w:kern w:val="0"/>
          <w:sz w:val="24"/>
          <w:szCs w:val="24"/>
          <w:lang/>
          <w14:ligatures w14:val="none"/>
        </w:rPr>
        <w:t>Journal of Affective Disorders, 169</w:t>
      </w:r>
      <w:r w:rsidRPr="00DC0DC5">
        <w:rPr>
          <w:rFonts w:ascii="Times New Roman" w:eastAsia="Times New Roman" w:hAnsi="Times New Roman" w:cs="Times New Roman"/>
          <w:kern w:val="0"/>
          <w:sz w:val="24"/>
          <w:szCs w:val="24"/>
          <w:lang/>
          <w14:ligatures w14:val="none"/>
        </w:rPr>
        <w:t>, S12–S16.</w:t>
      </w:r>
      <w:r w:rsidRPr="00DC0DC5">
        <w:rPr>
          <w:rFonts w:ascii="Times New Roman" w:eastAsia="Times New Roman" w:hAnsi="Times New Roman" w:cs="Times New Roman"/>
          <w:kern w:val="0"/>
          <w:sz w:val="24"/>
          <w:szCs w:val="24"/>
          <w:lang/>
          <w14:ligatures w14:val="none"/>
        </w:rPr>
        <w:br/>
        <w:t xml:space="preserve">Huxley, N.A. &amp; Baldessarini, R.J. (2007). Disability and its treatment in bipolar disorder patients. </w:t>
      </w:r>
      <w:r w:rsidRPr="00DC0DC5">
        <w:rPr>
          <w:rFonts w:ascii="Times New Roman" w:eastAsia="Times New Roman" w:hAnsi="Times New Roman" w:cs="Times New Roman"/>
          <w:i/>
          <w:iCs/>
          <w:kern w:val="0"/>
          <w:sz w:val="24"/>
          <w:szCs w:val="24"/>
          <w:lang/>
          <w14:ligatures w14:val="none"/>
        </w:rPr>
        <w:t>Bipolar Disorders, 9</w:t>
      </w:r>
      <w:r w:rsidRPr="00DC0DC5">
        <w:rPr>
          <w:rFonts w:ascii="Times New Roman" w:eastAsia="Times New Roman" w:hAnsi="Times New Roman" w:cs="Times New Roman"/>
          <w:kern w:val="0"/>
          <w:sz w:val="24"/>
          <w:szCs w:val="24"/>
          <w:lang/>
          <w14:ligatures w14:val="none"/>
        </w:rPr>
        <w:t>(1–2), 183–196.</w:t>
      </w:r>
      <w:r w:rsidRPr="00DC0DC5">
        <w:rPr>
          <w:rFonts w:ascii="Times New Roman" w:eastAsia="Times New Roman" w:hAnsi="Times New Roman" w:cs="Times New Roman"/>
          <w:kern w:val="0"/>
          <w:sz w:val="24"/>
          <w:szCs w:val="24"/>
          <w:lang/>
          <w14:ligatures w14:val="none"/>
        </w:rPr>
        <w:br/>
        <w:t xml:space="preserve">Malhi, G.S. et al. (2018). Potential mechanisms of action of lithium in bipolar disorder. </w:t>
      </w:r>
      <w:r w:rsidRPr="00DC0DC5">
        <w:rPr>
          <w:rFonts w:ascii="Times New Roman" w:eastAsia="Times New Roman" w:hAnsi="Times New Roman" w:cs="Times New Roman"/>
          <w:i/>
          <w:iCs/>
          <w:kern w:val="0"/>
          <w:sz w:val="24"/>
          <w:szCs w:val="24"/>
          <w:lang/>
          <w14:ligatures w14:val="none"/>
        </w:rPr>
        <w:t>International Journal of Bipolar Disorders, 6</w:t>
      </w:r>
      <w:r w:rsidRPr="00DC0DC5">
        <w:rPr>
          <w:rFonts w:ascii="Times New Roman" w:eastAsia="Times New Roman" w:hAnsi="Times New Roman" w:cs="Times New Roman"/>
          <w:kern w:val="0"/>
          <w:sz w:val="24"/>
          <w:szCs w:val="24"/>
          <w:lang/>
          <w14:ligatures w14:val="none"/>
        </w:rPr>
        <w:t>(1), 15.</w:t>
      </w:r>
      <w:r w:rsidRPr="00DC0DC5">
        <w:rPr>
          <w:rFonts w:ascii="Times New Roman" w:eastAsia="Times New Roman" w:hAnsi="Times New Roman" w:cs="Times New Roman"/>
          <w:kern w:val="0"/>
          <w:sz w:val="24"/>
          <w:szCs w:val="24"/>
          <w:lang/>
          <w14:ligatures w14:val="none"/>
        </w:rPr>
        <w:br/>
        <w:t xml:space="preserve">Miklowitz, D.J. et al. (2007). Family-focused treatment for adolescents with bipolar disorder. </w:t>
      </w:r>
      <w:r w:rsidRPr="00DC0DC5">
        <w:rPr>
          <w:rFonts w:ascii="Times New Roman" w:eastAsia="Times New Roman" w:hAnsi="Times New Roman" w:cs="Times New Roman"/>
          <w:i/>
          <w:iCs/>
          <w:kern w:val="0"/>
          <w:sz w:val="24"/>
          <w:szCs w:val="24"/>
          <w:lang/>
          <w14:ligatures w14:val="none"/>
        </w:rPr>
        <w:t>Journal of Affective Disorders, 107</w:t>
      </w:r>
      <w:r w:rsidRPr="00DC0DC5">
        <w:rPr>
          <w:rFonts w:ascii="Times New Roman" w:eastAsia="Times New Roman" w:hAnsi="Times New Roman" w:cs="Times New Roman"/>
          <w:kern w:val="0"/>
          <w:sz w:val="24"/>
          <w:szCs w:val="24"/>
          <w:lang/>
          <w14:ligatures w14:val="none"/>
        </w:rPr>
        <w:t>(1–3), 107–114.</w:t>
      </w:r>
      <w:r w:rsidRPr="00DC0DC5">
        <w:rPr>
          <w:rFonts w:ascii="Times New Roman" w:eastAsia="Times New Roman" w:hAnsi="Times New Roman" w:cs="Times New Roman"/>
          <w:kern w:val="0"/>
          <w:sz w:val="24"/>
          <w:szCs w:val="24"/>
          <w:lang/>
          <w14:ligatures w14:val="none"/>
        </w:rPr>
        <w:br/>
        <w:t xml:space="preserve">Pacchiarotti, I. et al. (2013). The International Society for Bipolar Disorders Task Force report on antidepressant use in bipolar disorders. </w:t>
      </w:r>
      <w:r w:rsidRPr="00DC0DC5">
        <w:rPr>
          <w:rFonts w:ascii="Times New Roman" w:eastAsia="Times New Roman" w:hAnsi="Times New Roman" w:cs="Times New Roman"/>
          <w:i/>
          <w:iCs/>
          <w:kern w:val="0"/>
          <w:sz w:val="24"/>
          <w:szCs w:val="24"/>
          <w:lang/>
          <w14:ligatures w14:val="none"/>
        </w:rPr>
        <w:t>American Journal of Psychiatry, 170</w:t>
      </w:r>
      <w:r w:rsidRPr="00DC0DC5">
        <w:rPr>
          <w:rFonts w:ascii="Times New Roman" w:eastAsia="Times New Roman" w:hAnsi="Times New Roman" w:cs="Times New Roman"/>
          <w:kern w:val="0"/>
          <w:sz w:val="24"/>
          <w:szCs w:val="24"/>
          <w:lang/>
          <w14:ligatures w14:val="none"/>
        </w:rPr>
        <w:t>(11), 1249–1262.</w:t>
      </w:r>
      <w:r w:rsidRPr="00DC0DC5">
        <w:rPr>
          <w:rFonts w:ascii="Times New Roman" w:eastAsia="Times New Roman" w:hAnsi="Times New Roman" w:cs="Times New Roman"/>
          <w:kern w:val="0"/>
          <w:sz w:val="24"/>
          <w:szCs w:val="24"/>
          <w:lang/>
          <w14:ligatures w14:val="none"/>
        </w:rPr>
        <w:br/>
        <w:t xml:space="preserve">Phillips, M.L. &amp; Kupfer, D.J. (2013). Bipolar disorder diagnosis: challenges and future directions. </w:t>
      </w:r>
      <w:r w:rsidRPr="00DC0DC5">
        <w:rPr>
          <w:rFonts w:ascii="Times New Roman" w:eastAsia="Times New Roman" w:hAnsi="Times New Roman" w:cs="Times New Roman"/>
          <w:i/>
          <w:iCs/>
          <w:kern w:val="0"/>
          <w:sz w:val="24"/>
          <w:szCs w:val="24"/>
          <w:lang/>
          <w14:ligatures w14:val="none"/>
        </w:rPr>
        <w:t>Lancet Psychiatry, 1</w:t>
      </w:r>
      <w:r w:rsidRPr="00DC0DC5">
        <w:rPr>
          <w:rFonts w:ascii="Times New Roman" w:eastAsia="Times New Roman" w:hAnsi="Times New Roman" w:cs="Times New Roman"/>
          <w:kern w:val="0"/>
          <w:sz w:val="24"/>
          <w:szCs w:val="24"/>
          <w:lang/>
          <w14:ligatures w14:val="none"/>
        </w:rPr>
        <w:t>(1), 40–50.</w:t>
      </w:r>
      <w:r w:rsidRPr="00DC0DC5">
        <w:rPr>
          <w:rFonts w:ascii="Times New Roman" w:eastAsia="Times New Roman" w:hAnsi="Times New Roman" w:cs="Times New Roman"/>
          <w:kern w:val="0"/>
          <w:sz w:val="24"/>
          <w:szCs w:val="24"/>
          <w:lang/>
          <w14:ligatures w14:val="none"/>
        </w:rPr>
        <w:br/>
        <w:t xml:space="preserve">Rowland, T.A. &amp; Marwaha, S. (2018). Epidemiology and risk factors for bipolar disorder. </w:t>
      </w:r>
      <w:r w:rsidRPr="00DC0DC5">
        <w:rPr>
          <w:rFonts w:ascii="Times New Roman" w:eastAsia="Times New Roman" w:hAnsi="Times New Roman" w:cs="Times New Roman"/>
          <w:i/>
          <w:iCs/>
          <w:kern w:val="0"/>
          <w:sz w:val="24"/>
          <w:szCs w:val="24"/>
          <w:lang/>
          <w14:ligatures w14:val="none"/>
        </w:rPr>
        <w:t>Therapeutic Advances in Psychopharmacology, 8</w:t>
      </w:r>
      <w:r w:rsidRPr="00DC0DC5">
        <w:rPr>
          <w:rFonts w:ascii="Times New Roman" w:eastAsia="Times New Roman" w:hAnsi="Times New Roman" w:cs="Times New Roman"/>
          <w:kern w:val="0"/>
          <w:sz w:val="24"/>
          <w:szCs w:val="24"/>
          <w:lang/>
          <w14:ligatures w14:val="none"/>
        </w:rPr>
        <w:t>(9), 251–269.</w:t>
      </w:r>
      <w:r w:rsidRPr="00DC0DC5">
        <w:rPr>
          <w:rFonts w:ascii="Times New Roman" w:eastAsia="Times New Roman" w:hAnsi="Times New Roman" w:cs="Times New Roman"/>
          <w:kern w:val="0"/>
          <w:sz w:val="24"/>
          <w:szCs w:val="24"/>
          <w:lang/>
          <w14:ligatures w14:val="none"/>
        </w:rPr>
        <w:br/>
      </w:r>
      <w:r w:rsidRPr="00DC0DC5">
        <w:rPr>
          <w:rFonts w:ascii="Times New Roman" w:eastAsia="Times New Roman" w:hAnsi="Times New Roman" w:cs="Times New Roman"/>
          <w:kern w:val="0"/>
          <w:sz w:val="24"/>
          <w:szCs w:val="24"/>
          <w:lang/>
          <w14:ligatures w14:val="none"/>
        </w:rPr>
        <w:lastRenderedPageBreak/>
        <w:t xml:space="preserve">Skirrow, C., McLoughlin, G., Kuntsi, J. &amp; Asherson, P. (2012). Behavioral, neurocognitive and treatment overlap between ADHD and bipolar disorder. </w:t>
      </w:r>
      <w:r w:rsidRPr="00DC0DC5">
        <w:rPr>
          <w:rFonts w:ascii="Times New Roman" w:eastAsia="Times New Roman" w:hAnsi="Times New Roman" w:cs="Times New Roman"/>
          <w:i/>
          <w:iCs/>
          <w:kern w:val="0"/>
          <w:sz w:val="24"/>
          <w:szCs w:val="24"/>
          <w:lang/>
          <w14:ligatures w14:val="none"/>
        </w:rPr>
        <w:t>Expert Review of Neurotherapeutics, 12</w:t>
      </w:r>
      <w:r w:rsidRPr="00DC0DC5">
        <w:rPr>
          <w:rFonts w:ascii="Times New Roman" w:eastAsia="Times New Roman" w:hAnsi="Times New Roman" w:cs="Times New Roman"/>
          <w:kern w:val="0"/>
          <w:sz w:val="24"/>
          <w:szCs w:val="24"/>
          <w:lang/>
          <w14:ligatures w14:val="none"/>
        </w:rPr>
        <w:t>(7), 877–893.</w:t>
      </w:r>
      <w:r w:rsidRPr="00DC0DC5">
        <w:rPr>
          <w:rFonts w:ascii="Times New Roman" w:eastAsia="Times New Roman" w:hAnsi="Times New Roman" w:cs="Times New Roman"/>
          <w:kern w:val="0"/>
          <w:sz w:val="24"/>
          <w:szCs w:val="24"/>
          <w:lang/>
          <w14:ligatures w14:val="none"/>
        </w:rPr>
        <w:br/>
        <w:t xml:space="preserve">Vieta, E. &amp; Phillips, M.L. (2015). Deconstructing bipolar disorder: a critical review of its diagnostic validity and a proposal for DSM-V and ICD-11. </w:t>
      </w:r>
      <w:r w:rsidRPr="00DC0DC5">
        <w:rPr>
          <w:rFonts w:ascii="Times New Roman" w:eastAsia="Times New Roman" w:hAnsi="Times New Roman" w:cs="Times New Roman"/>
          <w:i/>
          <w:iCs/>
          <w:kern w:val="0"/>
          <w:sz w:val="24"/>
          <w:szCs w:val="24"/>
          <w:lang/>
          <w14:ligatures w14:val="none"/>
        </w:rPr>
        <w:t>Schizophrenia Bulletin, 41</w:t>
      </w:r>
      <w:r w:rsidRPr="00DC0DC5">
        <w:rPr>
          <w:rFonts w:ascii="Times New Roman" w:eastAsia="Times New Roman" w:hAnsi="Times New Roman" w:cs="Times New Roman"/>
          <w:kern w:val="0"/>
          <w:sz w:val="24"/>
          <w:szCs w:val="24"/>
          <w:lang/>
          <w14:ligatures w14:val="none"/>
        </w:rPr>
        <w:t>(5), 859–869.</w:t>
      </w:r>
      <w:r w:rsidRPr="00DC0DC5">
        <w:rPr>
          <w:rFonts w:ascii="Times New Roman" w:eastAsia="Times New Roman" w:hAnsi="Times New Roman" w:cs="Times New Roman"/>
          <w:kern w:val="0"/>
          <w:sz w:val="24"/>
          <w:szCs w:val="24"/>
          <w:lang/>
          <w14:ligatures w14:val="none"/>
        </w:rPr>
        <w:br/>
        <w:t xml:space="preserve">WHO (World Health Organization). (2019). </w:t>
      </w:r>
      <w:r w:rsidRPr="00DC0DC5">
        <w:rPr>
          <w:rFonts w:ascii="Times New Roman" w:eastAsia="Times New Roman" w:hAnsi="Times New Roman" w:cs="Times New Roman"/>
          <w:i/>
          <w:iCs/>
          <w:kern w:val="0"/>
          <w:sz w:val="24"/>
          <w:szCs w:val="24"/>
          <w:lang/>
          <w14:ligatures w14:val="none"/>
        </w:rPr>
        <w:t>International Classification of Diseases 11th Revision (ICD-11)</w:t>
      </w:r>
      <w:r w:rsidRPr="00DC0DC5">
        <w:rPr>
          <w:rFonts w:ascii="Times New Roman" w:eastAsia="Times New Roman" w:hAnsi="Times New Roman" w:cs="Times New Roman"/>
          <w:kern w:val="0"/>
          <w:sz w:val="24"/>
          <w:szCs w:val="24"/>
          <w:lang/>
          <w14:ligatures w14:val="none"/>
        </w:rPr>
        <w:t>. Geneva: WHO.</w:t>
      </w:r>
    </w:p>
    <w:p w14:paraId="2F852E04" w14:textId="77777777" w:rsidR="00C227FE" w:rsidRPr="00DC0DC5" w:rsidRDefault="00C227FE" w:rsidP="00DC0DC5">
      <w:pPr>
        <w:spacing w:line="480" w:lineRule="auto"/>
        <w:rPr>
          <w:rFonts w:ascii="Times New Roman" w:hAnsi="Times New Roman" w:cs="Times New Roman"/>
          <w:sz w:val="24"/>
          <w:szCs w:val="24"/>
        </w:rPr>
      </w:pPr>
    </w:p>
    <w:p w14:paraId="3D7C8BF0" w14:textId="77777777" w:rsidR="003A4A97" w:rsidRPr="00DC0DC5" w:rsidRDefault="003A4A97" w:rsidP="00DC0DC5">
      <w:pPr>
        <w:spacing w:line="480" w:lineRule="auto"/>
        <w:rPr>
          <w:rFonts w:ascii="Times New Roman" w:hAnsi="Times New Roman" w:cs="Times New Roman"/>
          <w:sz w:val="24"/>
          <w:szCs w:val="24"/>
        </w:rPr>
      </w:pPr>
    </w:p>
    <w:sectPr w:rsidR="003A4A97" w:rsidRPr="00DC0D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F7A08"/>
    <w:multiLevelType w:val="multilevel"/>
    <w:tmpl w:val="ACF6E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802EC8"/>
    <w:multiLevelType w:val="multilevel"/>
    <w:tmpl w:val="D9728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751D4D"/>
    <w:multiLevelType w:val="multilevel"/>
    <w:tmpl w:val="8252E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7154837">
    <w:abstractNumId w:val="0"/>
  </w:num>
  <w:num w:numId="2" w16cid:durableId="1720661690">
    <w:abstractNumId w:val="2"/>
  </w:num>
  <w:num w:numId="3" w16cid:durableId="3868051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B47"/>
    <w:rsid w:val="00162709"/>
    <w:rsid w:val="001F4792"/>
    <w:rsid w:val="003230E4"/>
    <w:rsid w:val="003A4A97"/>
    <w:rsid w:val="006B5C2F"/>
    <w:rsid w:val="00826548"/>
    <w:rsid w:val="00B71AB7"/>
    <w:rsid w:val="00C227FE"/>
    <w:rsid w:val="00DB1B47"/>
    <w:rsid w:val="00DB47CC"/>
    <w:rsid w:val="00DC0DC5"/>
    <w:rsid w:val="00E605AE"/>
    <w:rsid w:val="00FA472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25EA6A"/>
  <w15:chartTrackingRefBased/>
  <w15:docId w15:val="{36A4F173-89AD-4B1D-8341-984D4303D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DB1B47"/>
    <w:pPr>
      <w:spacing w:before="100" w:beforeAutospacing="1" w:after="100" w:afterAutospacing="1" w:line="240" w:lineRule="auto"/>
      <w:outlineLvl w:val="1"/>
    </w:pPr>
    <w:rPr>
      <w:rFonts w:ascii="Times New Roman" w:eastAsia="Times New Roman" w:hAnsi="Times New Roman" w:cs="Times New Roman"/>
      <w:b/>
      <w:bCs/>
      <w:kern w:val="0"/>
      <w:sz w:val="36"/>
      <w:szCs w:val="36"/>
      <w:lang/>
      <w14:ligatures w14:val="none"/>
    </w:rPr>
  </w:style>
  <w:style w:type="paragraph" w:styleId="Heading3">
    <w:name w:val="heading 3"/>
    <w:basedOn w:val="Normal"/>
    <w:link w:val="Heading3Char"/>
    <w:uiPriority w:val="9"/>
    <w:qFormat/>
    <w:rsid w:val="00DB1B47"/>
    <w:pPr>
      <w:spacing w:before="100" w:beforeAutospacing="1" w:after="100" w:afterAutospacing="1" w:line="240" w:lineRule="auto"/>
      <w:outlineLvl w:val="2"/>
    </w:pPr>
    <w:rPr>
      <w:rFonts w:ascii="Times New Roman" w:eastAsia="Times New Roman" w:hAnsi="Times New Roman" w:cs="Times New Roman"/>
      <w:b/>
      <w:bCs/>
      <w:kern w:val="0"/>
      <w:sz w:val="27"/>
      <w:szCs w:val="27"/>
      <w:lang/>
      <w14:ligatures w14:val="none"/>
    </w:rPr>
  </w:style>
  <w:style w:type="paragraph" w:styleId="Heading4">
    <w:name w:val="heading 4"/>
    <w:basedOn w:val="Normal"/>
    <w:link w:val="Heading4Char"/>
    <w:uiPriority w:val="9"/>
    <w:qFormat/>
    <w:rsid w:val="00DB1B47"/>
    <w:pPr>
      <w:spacing w:before="100" w:beforeAutospacing="1" w:after="100" w:afterAutospacing="1" w:line="240" w:lineRule="auto"/>
      <w:outlineLvl w:val="3"/>
    </w:pPr>
    <w:rPr>
      <w:rFonts w:ascii="Times New Roman" w:eastAsia="Times New Roman" w:hAnsi="Times New Roman" w:cs="Times New Roman"/>
      <w:b/>
      <w:bCs/>
      <w:kern w:val="0"/>
      <w:sz w:val="24"/>
      <w:szCs w:val="24"/>
      <w:lang/>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B1B47"/>
    <w:rPr>
      <w:rFonts w:ascii="Times New Roman" w:eastAsia="Times New Roman" w:hAnsi="Times New Roman" w:cs="Times New Roman"/>
      <w:b/>
      <w:bCs/>
      <w:kern w:val="0"/>
      <w:sz w:val="36"/>
      <w:szCs w:val="36"/>
      <w:lang/>
      <w14:ligatures w14:val="none"/>
    </w:rPr>
  </w:style>
  <w:style w:type="character" w:customStyle="1" w:styleId="Heading3Char">
    <w:name w:val="Heading 3 Char"/>
    <w:basedOn w:val="DefaultParagraphFont"/>
    <w:link w:val="Heading3"/>
    <w:uiPriority w:val="9"/>
    <w:rsid w:val="00DB1B47"/>
    <w:rPr>
      <w:rFonts w:ascii="Times New Roman" w:eastAsia="Times New Roman" w:hAnsi="Times New Roman" w:cs="Times New Roman"/>
      <w:b/>
      <w:bCs/>
      <w:kern w:val="0"/>
      <w:sz w:val="27"/>
      <w:szCs w:val="27"/>
      <w:lang/>
      <w14:ligatures w14:val="none"/>
    </w:rPr>
  </w:style>
  <w:style w:type="character" w:customStyle="1" w:styleId="Heading4Char">
    <w:name w:val="Heading 4 Char"/>
    <w:basedOn w:val="DefaultParagraphFont"/>
    <w:link w:val="Heading4"/>
    <w:uiPriority w:val="9"/>
    <w:rsid w:val="00DB1B47"/>
    <w:rPr>
      <w:rFonts w:ascii="Times New Roman" w:eastAsia="Times New Roman" w:hAnsi="Times New Roman" w:cs="Times New Roman"/>
      <w:b/>
      <w:bCs/>
      <w:kern w:val="0"/>
      <w:sz w:val="24"/>
      <w:szCs w:val="24"/>
      <w:lang/>
      <w14:ligatures w14:val="none"/>
    </w:rPr>
  </w:style>
  <w:style w:type="paragraph" w:styleId="NormalWeb">
    <w:name w:val="Normal (Web)"/>
    <w:basedOn w:val="Normal"/>
    <w:uiPriority w:val="99"/>
    <w:semiHidden/>
    <w:unhideWhenUsed/>
    <w:rsid w:val="00DB1B47"/>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styleId="Strong">
    <w:name w:val="Strong"/>
    <w:basedOn w:val="DefaultParagraphFont"/>
    <w:uiPriority w:val="22"/>
    <w:qFormat/>
    <w:rsid w:val="00DB1B47"/>
    <w:rPr>
      <w:b/>
      <w:bCs/>
    </w:rPr>
  </w:style>
  <w:style w:type="character" w:styleId="Emphasis">
    <w:name w:val="Emphasis"/>
    <w:basedOn w:val="DefaultParagraphFont"/>
    <w:uiPriority w:val="20"/>
    <w:qFormat/>
    <w:rsid w:val="00DB1B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532691">
      <w:bodyDiv w:val="1"/>
      <w:marLeft w:val="0"/>
      <w:marRight w:val="0"/>
      <w:marTop w:val="0"/>
      <w:marBottom w:val="0"/>
      <w:divBdr>
        <w:top w:val="none" w:sz="0" w:space="0" w:color="auto"/>
        <w:left w:val="none" w:sz="0" w:space="0" w:color="auto"/>
        <w:bottom w:val="none" w:sz="0" w:space="0" w:color="auto"/>
        <w:right w:val="none" w:sz="0" w:space="0" w:color="auto"/>
      </w:divBdr>
    </w:div>
    <w:div w:id="216161230">
      <w:bodyDiv w:val="1"/>
      <w:marLeft w:val="0"/>
      <w:marRight w:val="0"/>
      <w:marTop w:val="0"/>
      <w:marBottom w:val="0"/>
      <w:divBdr>
        <w:top w:val="none" w:sz="0" w:space="0" w:color="auto"/>
        <w:left w:val="none" w:sz="0" w:space="0" w:color="auto"/>
        <w:bottom w:val="none" w:sz="0" w:space="0" w:color="auto"/>
        <w:right w:val="none" w:sz="0" w:space="0" w:color="auto"/>
      </w:divBdr>
    </w:div>
    <w:div w:id="1000043212">
      <w:bodyDiv w:val="1"/>
      <w:marLeft w:val="0"/>
      <w:marRight w:val="0"/>
      <w:marTop w:val="0"/>
      <w:marBottom w:val="0"/>
      <w:divBdr>
        <w:top w:val="none" w:sz="0" w:space="0" w:color="auto"/>
        <w:left w:val="none" w:sz="0" w:space="0" w:color="auto"/>
        <w:bottom w:val="none" w:sz="0" w:space="0" w:color="auto"/>
        <w:right w:val="none" w:sz="0" w:space="0" w:color="auto"/>
      </w:divBdr>
    </w:div>
    <w:div w:id="1182092219">
      <w:bodyDiv w:val="1"/>
      <w:marLeft w:val="0"/>
      <w:marRight w:val="0"/>
      <w:marTop w:val="0"/>
      <w:marBottom w:val="0"/>
      <w:divBdr>
        <w:top w:val="none" w:sz="0" w:space="0" w:color="auto"/>
        <w:left w:val="none" w:sz="0" w:space="0" w:color="auto"/>
        <w:bottom w:val="none" w:sz="0" w:space="0" w:color="auto"/>
        <w:right w:val="none" w:sz="0" w:space="0" w:color="auto"/>
      </w:divBdr>
    </w:div>
    <w:div w:id="1660235242">
      <w:bodyDiv w:val="1"/>
      <w:marLeft w:val="0"/>
      <w:marRight w:val="0"/>
      <w:marTop w:val="0"/>
      <w:marBottom w:val="0"/>
      <w:divBdr>
        <w:top w:val="none" w:sz="0" w:space="0" w:color="auto"/>
        <w:left w:val="none" w:sz="0" w:space="0" w:color="auto"/>
        <w:bottom w:val="none" w:sz="0" w:space="0" w:color="auto"/>
        <w:right w:val="none" w:sz="0" w:space="0" w:color="auto"/>
      </w:divBdr>
    </w:div>
    <w:div w:id="1773548115">
      <w:bodyDiv w:val="1"/>
      <w:marLeft w:val="0"/>
      <w:marRight w:val="0"/>
      <w:marTop w:val="0"/>
      <w:marBottom w:val="0"/>
      <w:divBdr>
        <w:top w:val="none" w:sz="0" w:space="0" w:color="auto"/>
        <w:left w:val="none" w:sz="0" w:space="0" w:color="auto"/>
        <w:bottom w:val="none" w:sz="0" w:space="0" w:color="auto"/>
        <w:right w:val="none" w:sz="0" w:space="0" w:color="auto"/>
      </w:divBdr>
    </w:div>
    <w:div w:id="1854297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1" ma:contentTypeDescription="Create a new document." ma:contentTypeScope="" ma:versionID="48f1115afd229a97635022cee60579c4">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5309ae92be45b2518be3fac56d0ca719"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AC82400D-6FA7-4358-8A8A-302DCB95A5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AF83DB-AEB2-4A0E-8B18-48F5570EE4CB}">
  <ds:schemaRefs>
    <ds:schemaRef ds:uri="http://schemas.microsoft.com/sharepoint/v3/contenttype/forms"/>
  </ds:schemaRefs>
</ds:datastoreItem>
</file>

<file path=customXml/itemProps3.xml><?xml version="1.0" encoding="utf-8"?>
<ds:datastoreItem xmlns:ds="http://schemas.openxmlformats.org/officeDocument/2006/customXml" ds:itemID="{C363E8A1-D0C3-4012-A38E-F1394D158771}">
  <ds:schemaRefs>
    <ds:schemaRef ds:uri="http://schemas.microsoft.com/office/2006/metadata/properties"/>
    <ds:schemaRef ds:uri="http://schemas.microsoft.com/office/infopath/2007/PartnerControls"/>
    <ds:schemaRef ds:uri="8ecffad1-7cd6-4418-bee0-2d8591d139cb"/>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2004</Words>
  <Characters>14949</Characters>
  <Application>Microsoft Office Word</Application>
  <DocSecurity>0</DocSecurity>
  <Lines>261</Lines>
  <Paragraphs>56</Paragraphs>
  <ScaleCrop>false</ScaleCrop>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Osei</dc:creator>
  <cp:keywords/>
  <dc:description/>
  <cp:lastModifiedBy>Sara Botfield (2116845)</cp:lastModifiedBy>
  <cp:revision>5</cp:revision>
  <dcterms:created xsi:type="dcterms:W3CDTF">2025-11-02T12:57:00Z</dcterms:created>
  <dcterms:modified xsi:type="dcterms:W3CDTF">2025-11-02T13:13:00Z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2a87442e-68a1-41a2-bd98-c3d941a1784f</vt:lpwstr>
  </property>
  <property fmtid="{D5CDD505-2E9C-101B-9397-08002B2CF9AE}" pid="3" name="ContentTypeId">
    <vt:lpwstr>0x01010046B040A4C94EAC46BE1B9499E5F0E36C</vt:lpwstr>
  </property>
</Properties>
</file>