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4FA7E" w14:textId="3DD00971" w:rsidR="00BC339E" w:rsidRDefault="00BC339E" w:rsidP="00BC339E">
      <w:pPr>
        <w:spacing w:line="360" w:lineRule="auto"/>
        <w:jc w:val="center"/>
        <w:rPr>
          <w:rFonts w:ascii="Arial" w:hAnsi="Arial" w:cs="Arial"/>
          <w:b/>
          <w:bCs/>
          <w:sz w:val="32"/>
          <w:szCs w:val="32"/>
        </w:rPr>
      </w:pPr>
      <w:r>
        <w:rPr>
          <w:rFonts w:ascii="Arial" w:hAnsi="Arial" w:cs="Arial"/>
          <w:b/>
          <w:bCs/>
          <w:sz w:val="32"/>
          <w:szCs w:val="32"/>
        </w:rPr>
        <w:t>Assessment Component 1</w:t>
      </w:r>
    </w:p>
    <w:p w14:paraId="3DAA9F4C" w14:textId="77777777" w:rsidR="00BC339E" w:rsidRDefault="00BC339E" w:rsidP="00BC339E">
      <w:pPr>
        <w:spacing w:line="360" w:lineRule="auto"/>
        <w:jc w:val="center"/>
        <w:rPr>
          <w:rFonts w:ascii="Arial" w:hAnsi="Arial" w:cs="Arial"/>
          <w:b/>
          <w:bCs/>
          <w:sz w:val="32"/>
          <w:szCs w:val="32"/>
        </w:rPr>
      </w:pPr>
      <w:r w:rsidRPr="00BE78E3">
        <w:rPr>
          <w:rFonts w:ascii="Arial" w:hAnsi="Arial" w:cs="Arial"/>
          <w:b/>
          <w:bCs/>
          <w:sz w:val="32"/>
          <w:szCs w:val="32"/>
        </w:rPr>
        <w:t>Coursework:</w:t>
      </w:r>
      <w:r>
        <w:rPr>
          <w:rFonts w:ascii="Arial" w:hAnsi="Arial" w:cs="Arial"/>
          <w:b/>
          <w:bCs/>
        </w:rPr>
        <w:t xml:space="preserve">  </w:t>
      </w:r>
      <w:r>
        <w:rPr>
          <w:rFonts w:ascii="Arial" w:hAnsi="Arial" w:cs="Arial"/>
          <w:b/>
          <w:bCs/>
          <w:sz w:val="32"/>
          <w:szCs w:val="32"/>
        </w:rPr>
        <w:t>Essay</w:t>
      </w:r>
    </w:p>
    <w:p w14:paraId="55ADF343" w14:textId="77777777" w:rsidR="00BC339E" w:rsidRDefault="00BC339E" w:rsidP="00BC339E">
      <w:pPr>
        <w:spacing w:line="360" w:lineRule="auto"/>
        <w:jc w:val="center"/>
        <w:rPr>
          <w:rFonts w:ascii="Arial" w:hAnsi="Arial" w:cs="Arial"/>
          <w:b/>
          <w:bCs/>
          <w:sz w:val="32"/>
          <w:szCs w:val="32"/>
        </w:rPr>
      </w:pPr>
      <w:r>
        <w:rPr>
          <w:rFonts w:ascii="Arial" w:hAnsi="Arial" w:cs="Arial"/>
          <w:b/>
          <w:bCs/>
          <w:sz w:val="32"/>
          <w:szCs w:val="32"/>
        </w:rPr>
        <w:t>Student Name: Mariana Acris</w:t>
      </w:r>
    </w:p>
    <w:p w14:paraId="0D5A2437" w14:textId="77777777" w:rsidR="00BC339E" w:rsidRDefault="00BC339E" w:rsidP="00BC339E">
      <w:pPr>
        <w:spacing w:line="360" w:lineRule="auto"/>
        <w:jc w:val="center"/>
        <w:rPr>
          <w:rFonts w:ascii="Arial" w:hAnsi="Arial" w:cs="Arial"/>
          <w:b/>
          <w:bCs/>
          <w:sz w:val="32"/>
          <w:szCs w:val="32"/>
        </w:rPr>
      </w:pPr>
      <w:r>
        <w:rPr>
          <w:rFonts w:ascii="Arial" w:hAnsi="Arial" w:cs="Arial"/>
          <w:b/>
          <w:bCs/>
          <w:sz w:val="32"/>
          <w:szCs w:val="32"/>
        </w:rPr>
        <w:t>Student Number: 2239619</w:t>
      </w:r>
    </w:p>
    <w:p w14:paraId="562C0169" w14:textId="0DF7A49B" w:rsidR="00BC339E" w:rsidRPr="00B40E9F" w:rsidRDefault="00BC339E" w:rsidP="00BC339E">
      <w:pPr>
        <w:spacing w:line="360" w:lineRule="auto"/>
        <w:jc w:val="center"/>
        <w:rPr>
          <w:rFonts w:ascii="Arial" w:hAnsi="Arial" w:cs="Arial"/>
          <w:b/>
          <w:bCs/>
          <w:sz w:val="32"/>
          <w:szCs w:val="32"/>
        </w:rPr>
      </w:pPr>
      <w:r>
        <w:rPr>
          <w:rFonts w:ascii="Arial" w:hAnsi="Arial" w:cs="Arial"/>
          <w:b/>
          <w:bCs/>
          <w:sz w:val="32"/>
          <w:szCs w:val="32"/>
        </w:rPr>
        <w:t>Lecturer Name:</w:t>
      </w:r>
      <w:r w:rsidR="00B40E9F" w:rsidRPr="00B40E9F">
        <w:rPr>
          <w:rFonts w:ascii="Segoe UI" w:hAnsi="Segoe UI" w:cs="Segoe UI"/>
          <w:color w:val="1D2125"/>
          <w:sz w:val="23"/>
          <w:szCs w:val="23"/>
          <w:shd w:val="clear" w:color="auto" w:fill="FFFFFF"/>
        </w:rPr>
        <w:t xml:space="preserve"> </w:t>
      </w:r>
      <w:r w:rsidR="00B40E9F" w:rsidRPr="00B40E9F">
        <w:rPr>
          <w:rFonts w:ascii="Arial" w:hAnsi="Arial" w:cs="Arial"/>
          <w:b/>
          <w:bCs/>
          <w:sz w:val="32"/>
          <w:szCs w:val="32"/>
          <w:shd w:val="clear" w:color="auto" w:fill="FFFFFF"/>
        </w:rPr>
        <w:t>Dr</w:t>
      </w:r>
      <w:r w:rsidR="00B40E9F" w:rsidRPr="00B40E9F">
        <w:rPr>
          <w:rStyle w:val="Strong"/>
          <w:rFonts w:ascii="Arial" w:hAnsi="Arial" w:cs="Arial"/>
          <w:b w:val="0"/>
          <w:bCs w:val="0"/>
          <w:sz w:val="32"/>
          <w:szCs w:val="32"/>
          <w:shd w:val="clear" w:color="auto" w:fill="FFFFFF"/>
        </w:rPr>
        <w:t> </w:t>
      </w:r>
      <w:r w:rsidR="00B40E9F" w:rsidRPr="00B40E9F">
        <w:rPr>
          <w:rFonts w:ascii="Arial" w:hAnsi="Arial" w:cs="Arial"/>
          <w:b/>
          <w:bCs/>
          <w:sz w:val="32"/>
          <w:szCs w:val="32"/>
          <w:shd w:val="clear" w:color="auto" w:fill="FFFFFF"/>
        </w:rPr>
        <w:t>Mudassar Hasan</w:t>
      </w:r>
    </w:p>
    <w:p w14:paraId="713EF228" w14:textId="2115DE2E" w:rsidR="00BC339E" w:rsidRDefault="00BC339E" w:rsidP="00BC339E">
      <w:pPr>
        <w:spacing w:line="360" w:lineRule="auto"/>
        <w:jc w:val="center"/>
        <w:rPr>
          <w:rFonts w:ascii="Arial" w:hAnsi="Arial" w:cs="Arial"/>
          <w:b/>
          <w:bCs/>
          <w:sz w:val="32"/>
          <w:szCs w:val="32"/>
        </w:rPr>
      </w:pPr>
      <w:r>
        <w:rPr>
          <w:rFonts w:ascii="Arial" w:hAnsi="Arial" w:cs="Arial"/>
          <w:b/>
          <w:bCs/>
          <w:sz w:val="32"/>
          <w:szCs w:val="32"/>
        </w:rPr>
        <w:t xml:space="preserve"> Module Name: LCBB60</w:t>
      </w:r>
      <w:r w:rsidR="00B40E9F">
        <w:rPr>
          <w:rFonts w:ascii="Arial" w:hAnsi="Arial" w:cs="Arial"/>
          <w:b/>
          <w:bCs/>
          <w:sz w:val="32"/>
          <w:szCs w:val="32"/>
        </w:rPr>
        <w:t>0</w:t>
      </w:r>
      <w:r>
        <w:rPr>
          <w:rFonts w:ascii="Arial" w:hAnsi="Arial" w:cs="Arial"/>
          <w:b/>
          <w:bCs/>
          <w:sz w:val="32"/>
          <w:szCs w:val="32"/>
        </w:rPr>
        <w:t>2</w:t>
      </w:r>
    </w:p>
    <w:p w14:paraId="726AC72E" w14:textId="4FF5E63C" w:rsidR="000F702E" w:rsidRDefault="00BC339E" w:rsidP="00BC339E">
      <w:pPr>
        <w:jc w:val="center"/>
        <w:rPr>
          <w:rFonts w:ascii="Arial" w:hAnsi="Arial" w:cs="Arial"/>
          <w:b/>
          <w:bCs/>
          <w:sz w:val="32"/>
          <w:szCs w:val="32"/>
        </w:rPr>
      </w:pPr>
      <w:r>
        <w:rPr>
          <w:rFonts w:ascii="Arial" w:hAnsi="Arial" w:cs="Arial"/>
          <w:b/>
          <w:bCs/>
          <w:sz w:val="32"/>
          <w:szCs w:val="32"/>
        </w:rPr>
        <w:t>International Financial Management</w:t>
      </w:r>
    </w:p>
    <w:p w14:paraId="278E5C7F" w14:textId="1B7F3FAB" w:rsidR="00BC339E" w:rsidRDefault="00BC339E" w:rsidP="00BC339E">
      <w:pPr>
        <w:jc w:val="center"/>
        <w:rPr>
          <w:rFonts w:ascii="Arial" w:hAnsi="Arial" w:cs="Arial"/>
          <w:b/>
          <w:bCs/>
          <w:sz w:val="32"/>
          <w:szCs w:val="32"/>
        </w:rPr>
      </w:pPr>
    </w:p>
    <w:p w14:paraId="7BBA3A31" w14:textId="3257570C" w:rsidR="00BC339E" w:rsidRDefault="00BC339E" w:rsidP="00BC339E">
      <w:pPr>
        <w:jc w:val="center"/>
        <w:rPr>
          <w:rFonts w:ascii="Arial" w:hAnsi="Arial" w:cs="Arial"/>
          <w:b/>
          <w:bCs/>
          <w:sz w:val="32"/>
          <w:szCs w:val="32"/>
        </w:rPr>
      </w:pPr>
    </w:p>
    <w:p w14:paraId="5BB33AE7" w14:textId="05E79E11" w:rsidR="00BC339E" w:rsidRDefault="00BC339E" w:rsidP="00BC339E">
      <w:pPr>
        <w:jc w:val="center"/>
        <w:rPr>
          <w:rFonts w:ascii="Arial" w:hAnsi="Arial" w:cs="Arial"/>
          <w:b/>
          <w:bCs/>
          <w:sz w:val="32"/>
          <w:szCs w:val="32"/>
        </w:rPr>
      </w:pPr>
    </w:p>
    <w:p w14:paraId="21A7A61A" w14:textId="379C0891" w:rsidR="00BC339E" w:rsidRDefault="00BC339E" w:rsidP="00BC339E">
      <w:pPr>
        <w:jc w:val="center"/>
        <w:rPr>
          <w:rFonts w:ascii="Arial" w:hAnsi="Arial" w:cs="Arial"/>
          <w:b/>
          <w:bCs/>
          <w:sz w:val="32"/>
          <w:szCs w:val="32"/>
        </w:rPr>
      </w:pPr>
    </w:p>
    <w:p w14:paraId="78016356" w14:textId="684CD114" w:rsidR="00BC339E" w:rsidRDefault="00BC339E" w:rsidP="00BC339E">
      <w:pPr>
        <w:jc w:val="center"/>
        <w:rPr>
          <w:rFonts w:ascii="Arial" w:hAnsi="Arial" w:cs="Arial"/>
          <w:b/>
          <w:bCs/>
          <w:sz w:val="32"/>
          <w:szCs w:val="32"/>
        </w:rPr>
      </w:pPr>
    </w:p>
    <w:p w14:paraId="65FDC966" w14:textId="542445CA" w:rsidR="00BC339E" w:rsidRDefault="00BC339E" w:rsidP="00BC339E">
      <w:pPr>
        <w:jc w:val="center"/>
        <w:rPr>
          <w:rFonts w:ascii="Arial" w:hAnsi="Arial" w:cs="Arial"/>
          <w:b/>
          <w:bCs/>
          <w:sz w:val="32"/>
          <w:szCs w:val="32"/>
        </w:rPr>
      </w:pPr>
    </w:p>
    <w:p w14:paraId="0E963A44" w14:textId="3445FB0D" w:rsidR="00BC339E" w:rsidRDefault="00BC339E" w:rsidP="00BC339E">
      <w:pPr>
        <w:jc w:val="center"/>
        <w:rPr>
          <w:rFonts w:ascii="Arial" w:hAnsi="Arial" w:cs="Arial"/>
          <w:b/>
          <w:bCs/>
          <w:sz w:val="32"/>
          <w:szCs w:val="32"/>
        </w:rPr>
      </w:pPr>
    </w:p>
    <w:p w14:paraId="7BBCEBF9" w14:textId="19B5AFE3" w:rsidR="00BC339E" w:rsidRDefault="00BC339E" w:rsidP="00BC339E">
      <w:pPr>
        <w:jc w:val="center"/>
        <w:rPr>
          <w:rFonts w:ascii="Arial" w:hAnsi="Arial" w:cs="Arial"/>
          <w:b/>
          <w:bCs/>
          <w:sz w:val="32"/>
          <w:szCs w:val="32"/>
        </w:rPr>
      </w:pPr>
    </w:p>
    <w:p w14:paraId="6A2957D3" w14:textId="4F1B3AFA" w:rsidR="00BC339E" w:rsidRDefault="00BC339E" w:rsidP="00BC339E">
      <w:pPr>
        <w:jc w:val="center"/>
        <w:rPr>
          <w:rFonts w:ascii="Arial" w:hAnsi="Arial" w:cs="Arial"/>
          <w:b/>
          <w:bCs/>
          <w:sz w:val="32"/>
          <w:szCs w:val="32"/>
        </w:rPr>
      </w:pPr>
    </w:p>
    <w:p w14:paraId="62B2764A" w14:textId="7370DD2E" w:rsidR="00BC339E" w:rsidRDefault="00BC339E" w:rsidP="00BC339E">
      <w:pPr>
        <w:jc w:val="center"/>
        <w:rPr>
          <w:rFonts w:ascii="Arial" w:hAnsi="Arial" w:cs="Arial"/>
          <w:b/>
          <w:bCs/>
          <w:sz w:val="32"/>
          <w:szCs w:val="32"/>
        </w:rPr>
      </w:pPr>
    </w:p>
    <w:p w14:paraId="4BE227EB" w14:textId="3E22461A" w:rsidR="00BC339E" w:rsidRDefault="00BC339E" w:rsidP="00BC339E">
      <w:pPr>
        <w:jc w:val="center"/>
        <w:rPr>
          <w:rFonts w:ascii="Arial" w:hAnsi="Arial" w:cs="Arial"/>
          <w:b/>
          <w:bCs/>
          <w:sz w:val="32"/>
          <w:szCs w:val="32"/>
        </w:rPr>
      </w:pPr>
    </w:p>
    <w:p w14:paraId="43E82438" w14:textId="3BC24AD7" w:rsidR="00BC339E" w:rsidRDefault="00BC339E" w:rsidP="00BC339E">
      <w:pPr>
        <w:jc w:val="center"/>
        <w:rPr>
          <w:rFonts w:ascii="Arial" w:hAnsi="Arial" w:cs="Arial"/>
          <w:b/>
          <w:bCs/>
          <w:sz w:val="32"/>
          <w:szCs w:val="32"/>
        </w:rPr>
      </w:pPr>
    </w:p>
    <w:p w14:paraId="27BDF36C" w14:textId="3D303D7E" w:rsidR="00BC339E" w:rsidRDefault="00BC339E" w:rsidP="00BC339E">
      <w:pPr>
        <w:jc w:val="center"/>
        <w:rPr>
          <w:rFonts w:ascii="Arial" w:hAnsi="Arial" w:cs="Arial"/>
          <w:b/>
          <w:bCs/>
          <w:sz w:val="32"/>
          <w:szCs w:val="32"/>
        </w:rPr>
      </w:pPr>
    </w:p>
    <w:p w14:paraId="7EB3DAA5" w14:textId="54D7DDE8" w:rsidR="00BC339E" w:rsidRDefault="00BC339E" w:rsidP="00BC339E">
      <w:pPr>
        <w:jc w:val="center"/>
        <w:rPr>
          <w:rFonts w:ascii="Arial" w:hAnsi="Arial" w:cs="Arial"/>
          <w:b/>
          <w:bCs/>
          <w:sz w:val="32"/>
          <w:szCs w:val="32"/>
        </w:rPr>
      </w:pPr>
    </w:p>
    <w:p w14:paraId="7868F1C2" w14:textId="6D0F8F91" w:rsidR="00BC339E" w:rsidRDefault="00BC339E" w:rsidP="00BC339E">
      <w:pPr>
        <w:jc w:val="center"/>
        <w:rPr>
          <w:rFonts w:ascii="Arial" w:hAnsi="Arial" w:cs="Arial"/>
          <w:b/>
          <w:bCs/>
          <w:sz w:val="32"/>
          <w:szCs w:val="32"/>
        </w:rPr>
      </w:pPr>
    </w:p>
    <w:p w14:paraId="0903A3B1" w14:textId="6BAB7412" w:rsidR="00BC339E" w:rsidRDefault="00BC339E" w:rsidP="00BC339E">
      <w:pPr>
        <w:jc w:val="center"/>
        <w:rPr>
          <w:rFonts w:ascii="Arial" w:hAnsi="Arial" w:cs="Arial"/>
          <w:b/>
          <w:bCs/>
          <w:sz w:val="32"/>
          <w:szCs w:val="32"/>
        </w:rPr>
      </w:pPr>
    </w:p>
    <w:sdt>
      <w:sdtPr>
        <w:rPr>
          <w:rFonts w:asciiTheme="minorHAnsi" w:eastAsiaTheme="minorHAnsi" w:hAnsiTheme="minorHAnsi" w:cstheme="minorBidi"/>
          <w:color w:val="auto"/>
          <w:sz w:val="22"/>
          <w:szCs w:val="22"/>
          <w:lang w:val="en-GB"/>
        </w:rPr>
        <w:id w:val="-375470745"/>
        <w:docPartObj>
          <w:docPartGallery w:val="Table of Contents"/>
          <w:docPartUnique/>
        </w:docPartObj>
      </w:sdtPr>
      <w:sdtEndPr>
        <w:rPr>
          <w:b/>
          <w:bCs/>
          <w:noProof/>
        </w:rPr>
      </w:sdtEndPr>
      <w:sdtContent>
        <w:p w14:paraId="7643F886" w14:textId="767EAD6B" w:rsidR="00BC339E" w:rsidRDefault="00BC339E">
          <w:pPr>
            <w:pStyle w:val="TOCHeading"/>
          </w:pPr>
          <w:r>
            <w:t>Table of Contents</w:t>
          </w:r>
        </w:p>
        <w:p w14:paraId="03ADEEFE" w14:textId="1BEA8D78" w:rsidR="00B0719A" w:rsidRDefault="00BC339E">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1327588" w:history="1">
            <w:r w:rsidR="00B0719A" w:rsidRPr="009A1BC3">
              <w:rPr>
                <w:rStyle w:val="Hyperlink"/>
                <w:rFonts w:ascii="Arial" w:hAnsi="Arial" w:cs="Arial"/>
                <w:b/>
                <w:bCs/>
                <w:noProof/>
              </w:rPr>
              <w:t>Executive Summary</w:t>
            </w:r>
            <w:r w:rsidR="00B0719A">
              <w:rPr>
                <w:noProof/>
                <w:webHidden/>
              </w:rPr>
              <w:tab/>
            </w:r>
            <w:r w:rsidR="00B0719A">
              <w:rPr>
                <w:noProof/>
                <w:webHidden/>
              </w:rPr>
              <w:fldChar w:fldCharType="begin"/>
            </w:r>
            <w:r w:rsidR="00B0719A">
              <w:rPr>
                <w:noProof/>
                <w:webHidden/>
              </w:rPr>
              <w:instrText xml:space="preserve"> PAGEREF _Toc201327588 \h </w:instrText>
            </w:r>
            <w:r w:rsidR="00B0719A">
              <w:rPr>
                <w:noProof/>
                <w:webHidden/>
              </w:rPr>
            </w:r>
            <w:r w:rsidR="00B0719A">
              <w:rPr>
                <w:noProof/>
                <w:webHidden/>
              </w:rPr>
              <w:fldChar w:fldCharType="separate"/>
            </w:r>
            <w:r w:rsidR="00B0719A">
              <w:rPr>
                <w:noProof/>
                <w:webHidden/>
              </w:rPr>
              <w:t>3</w:t>
            </w:r>
            <w:r w:rsidR="00B0719A">
              <w:rPr>
                <w:noProof/>
                <w:webHidden/>
              </w:rPr>
              <w:fldChar w:fldCharType="end"/>
            </w:r>
          </w:hyperlink>
        </w:p>
        <w:p w14:paraId="42B628E4" w14:textId="134549F1" w:rsidR="00B0719A" w:rsidRDefault="004D7B59">
          <w:pPr>
            <w:pStyle w:val="TOC2"/>
            <w:tabs>
              <w:tab w:val="left" w:pos="660"/>
              <w:tab w:val="right" w:leader="dot" w:pos="9016"/>
            </w:tabs>
            <w:rPr>
              <w:rFonts w:eastAsiaTheme="minorEastAsia"/>
              <w:noProof/>
              <w:lang w:eastAsia="en-GB"/>
            </w:rPr>
          </w:pPr>
          <w:hyperlink w:anchor="_Toc201327589" w:history="1">
            <w:r w:rsidR="00B0719A" w:rsidRPr="009A1BC3">
              <w:rPr>
                <w:rStyle w:val="Hyperlink"/>
                <w:rFonts w:ascii="Arial" w:hAnsi="Arial" w:cs="Arial"/>
                <w:b/>
                <w:bCs/>
                <w:noProof/>
              </w:rPr>
              <w:t>1.</w:t>
            </w:r>
            <w:r w:rsidR="00B0719A">
              <w:rPr>
                <w:rFonts w:eastAsiaTheme="minorEastAsia"/>
                <w:noProof/>
                <w:lang w:eastAsia="en-GB"/>
              </w:rPr>
              <w:tab/>
            </w:r>
            <w:r w:rsidR="00B0719A" w:rsidRPr="009A1BC3">
              <w:rPr>
                <w:rStyle w:val="Hyperlink"/>
                <w:rFonts w:ascii="Arial" w:hAnsi="Arial" w:cs="Arial"/>
                <w:b/>
                <w:bCs/>
                <w:noProof/>
              </w:rPr>
              <w:t>Introduction</w:t>
            </w:r>
            <w:r w:rsidR="00B0719A">
              <w:rPr>
                <w:noProof/>
                <w:webHidden/>
              </w:rPr>
              <w:tab/>
            </w:r>
            <w:r w:rsidR="00B0719A">
              <w:rPr>
                <w:noProof/>
                <w:webHidden/>
              </w:rPr>
              <w:fldChar w:fldCharType="begin"/>
            </w:r>
            <w:r w:rsidR="00B0719A">
              <w:rPr>
                <w:noProof/>
                <w:webHidden/>
              </w:rPr>
              <w:instrText xml:space="preserve"> PAGEREF _Toc201327589 \h </w:instrText>
            </w:r>
            <w:r w:rsidR="00B0719A">
              <w:rPr>
                <w:noProof/>
                <w:webHidden/>
              </w:rPr>
            </w:r>
            <w:r w:rsidR="00B0719A">
              <w:rPr>
                <w:noProof/>
                <w:webHidden/>
              </w:rPr>
              <w:fldChar w:fldCharType="separate"/>
            </w:r>
            <w:r w:rsidR="00B0719A">
              <w:rPr>
                <w:noProof/>
                <w:webHidden/>
              </w:rPr>
              <w:t>3</w:t>
            </w:r>
            <w:r w:rsidR="00B0719A">
              <w:rPr>
                <w:noProof/>
                <w:webHidden/>
              </w:rPr>
              <w:fldChar w:fldCharType="end"/>
            </w:r>
          </w:hyperlink>
        </w:p>
        <w:p w14:paraId="614B8985" w14:textId="5DE03249" w:rsidR="00B0719A" w:rsidRDefault="004D7B59">
          <w:pPr>
            <w:pStyle w:val="TOC1"/>
            <w:tabs>
              <w:tab w:val="right" w:leader="dot" w:pos="9016"/>
            </w:tabs>
            <w:rPr>
              <w:rFonts w:eastAsiaTheme="minorEastAsia"/>
              <w:noProof/>
              <w:lang w:eastAsia="en-GB"/>
            </w:rPr>
          </w:pPr>
          <w:hyperlink w:anchor="_Toc201327590" w:history="1">
            <w:r w:rsidR="00B0719A" w:rsidRPr="009A1BC3">
              <w:rPr>
                <w:rStyle w:val="Hyperlink"/>
                <w:rFonts w:ascii="Arial" w:hAnsi="Arial" w:cs="Arial"/>
                <w:b/>
                <w:bCs/>
                <w:noProof/>
              </w:rPr>
              <w:t>2. Discussion of Findings</w:t>
            </w:r>
            <w:r w:rsidR="00B0719A">
              <w:rPr>
                <w:noProof/>
                <w:webHidden/>
              </w:rPr>
              <w:tab/>
            </w:r>
            <w:r w:rsidR="00B0719A">
              <w:rPr>
                <w:noProof/>
                <w:webHidden/>
              </w:rPr>
              <w:fldChar w:fldCharType="begin"/>
            </w:r>
            <w:r w:rsidR="00B0719A">
              <w:rPr>
                <w:noProof/>
                <w:webHidden/>
              </w:rPr>
              <w:instrText xml:space="preserve"> PAGEREF _Toc201327590 \h </w:instrText>
            </w:r>
            <w:r w:rsidR="00B0719A">
              <w:rPr>
                <w:noProof/>
                <w:webHidden/>
              </w:rPr>
            </w:r>
            <w:r w:rsidR="00B0719A">
              <w:rPr>
                <w:noProof/>
                <w:webHidden/>
              </w:rPr>
              <w:fldChar w:fldCharType="separate"/>
            </w:r>
            <w:r w:rsidR="00B0719A">
              <w:rPr>
                <w:noProof/>
                <w:webHidden/>
              </w:rPr>
              <w:t>3</w:t>
            </w:r>
            <w:r w:rsidR="00B0719A">
              <w:rPr>
                <w:noProof/>
                <w:webHidden/>
              </w:rPr>
              <w:fldChar w:fldCharType="end"/>
            </w:r>
          </w:hyperlink>
        </w:p>
        <w:p w14:paraId="29E7933A" w14:textId="4200A6AB" w:rsidR="00B0719A" w:rsidRDefault="004D7B59">
          <w:pPr>
            <w:pStyle w:val="TOC1"/>
            <w:tabs>
              <w:tab w:val="right" w:leader="dot" w:pos="9016"/>
            </w:tabs>
            <w:rPr>
              <w:rFonts w:eastAsiaTheme="minorEastAsia"/>
              <w:noProof/>
              <w:lang w:eastAsia="en-GB"/>
            </w:rPr>
          </w:pPr>
          <w:hyperlink w:anchor="_Toc201327591" w:history="1">
            <w:r w:rsidR="00B0719A" w:rsidRPr="009A1BC3">
              <w:rPr>
                <w:rStyle w:val="Hyperlink"/>
                <w:rFonts w:ascii="Arial" w:hAnsi="Arial" w:cs="Arial"/>
                <w:b/>
                <w:bCs/>
                <w:noProof/>
              </w:rPr>
              <w:t>2.1. A. Corporate Governance and Agency Theory</w:t>
            </w:r>
            <w:r w:rsidR="00B0719A">
              <w:rPr>
                <w:noProof/>
                <w:webHidden/>
              </w:rPr>
              <w:tab/>
            </w:r>
            <w:r w:rsidR="00B0719A">
              <w:rPr>
                <w:noProof/>
                <w:webHidden/>
              </w:rPr>
              <w:fldChar w:fldCharType="begin"/>
            </w:r>
            <w:r w:rsidR="00B0719A">
              <w:rPr>
                <w:noProof/>
                <w:webHidden/>
              </w:rPr>
              <w:instrText xml:space="preserve"> PAGEREF _Toc201327591 \h </w:instrText>
            </w:r>
            <w:r w:rsidR="00B0719A">
              <w:rPr>
                <w:noProof/>
                <w:webHidden/>
              </w:rPr>
            </w:r>
            <w:r w:rsidR="00B0719A">
              <w:rPr>
                <w:noProof/>
                <w:webHidden/>
              </w:rPr>
              <w:fldChar w:fldCharType="separate"/>
            </w:r>
            <w:r w:rsidR="00B0719A">
              <w:rPr>
                <w:noProof/>
                <w:webHidden/>
              </w:rPr>
              <w:t>3</w:t>
            </w:r>
            <w:r w:rsidR="00B0719A">
              <w:rPr>
                <w:noProof/>
                <w:webHidden/>
              </w:rPr>
              <w:fldChar w:fldCharType="end"/>
            </w:r>
          </w:hyperlink>
        </w:p>
        <w:p w14:paraId="3407DEBB" w14:textId="3BF92AD0" w:rsidR="00B0719A" w:rsidRDefault="004D7B59">
          <w:pPr>
            <w:pStyle w:val="TOC2"/>
            <w:tabs>
              <w:tab w:val="right" w:leader="dot" w:pos="9016"/>
            </w:tabs>
            <w:rPr>
              <w:rFonts w:eastAsiaTheme="minorEastAsia"/>
              <w:noProof/>
              <w:lang w:eastAsia="en-GB"/>
            </w:rPr>
          </w:pPr>
          <w:hyperlink w:anchor="_Toc201327592" w:history="1">
            <w:r w:rsidR="00B0719A" w:rsidRPr="009A1BC3">
              <w:rPr>
                <w:rStyle w:val="Hyperlink"/>
                <w:rFonts w:ascii="Arial" w:hAnsi="Arial" w:cs="Arial"/>
                <w:b/>
                <w:bCs/>
                <w:noProof/>
              </w:rPr>
              <w:t>2.1.1. Corporate Governance</w:t>
            </w:r>
            <w:r w:rsidR="00B0719A">
              <w:rPr>
                <w:noProof/>
                <w:webHidden/>
              </w:rPr>
              <w:tab/>
            </w:r>
            <w:r w:rsidR="00B0719A">
              <w:rPr>
                <w:noProof/>
                <w:webHidden/>
              </w:rPr>
              <w:fldChar w:fldCharType="begin"/>
            </w:r>
            <w:r w:rsidR="00B0719A">
              <w:rPr>
                <w:noProof/>
                <w:webHidden/>
              </w:rPr>
              <w:instrText xml:space="preserve"> PAGEREF _Toc201327592 \h </w:instrText>
            </w:r>
            <w:r w:rsidR="00B0719A">
              <w:rPr>
                <w:noProof/>
                <w:webHidden/>
              </w:rPr>
            </w:r>
            <w:r w:rsidR="00B0719A">
              <w:rPr>
                <w:noProof/>
                <w:webHidden/>
              </w:rPr>
              <w:fldChar w:fldCharType="separate"/>
            </w:r>
            <w:r w:rsidR="00B0719A">
              <w:rPr>
                <w:noProof/>
                <w:webHidden/>
              </w:rPr>
              <w:t>4</w:t>
            </w:r>
            <w:r w:rsidR="00B0719A">
              <w:rPr>
                <w:noProof/>
                <w:webHidden/>
              </w:rPr>
              <w:fldChar w:fldCharType="end"/>
            </w:r>
          </w:hyperlink>
        </w:p>
        <w:p w14:paraId="2CF86A6D" w14:textId="1637B245" w:rsidR="00B0719A" w:rsidRDefault="004D7B59">
          <w:pPr>
            <w:pStyle w:val="TOC2"/>
            <w:tabs>
              <w:tab w:val="right" w:leader="dot" w:pos="9016"/>
            </w:tabs>
            <w:rPr>
              <w:rFonts w:eastAsiaTheme="minorEastAsia"/>
              <w:noProof/>
              <w:lang w:eastAsia="en-GB"/>
            </w:rPr>
          </w:pPr>
          <w:hyperlink w:anchor="_Toc201327593" w:history="1">
            <w:r w:rsidR="00B0719A" w:rsidRPr="009A1BC3">
              <w:rPr>
                <w:rStyle w:val="Hyperlink"/>
                <w:rFonts w:ascii="Arial" w:hAnsi="Arial" w:cs="Arial"/>
                <w:b/>
                <w:bCs/>
                <w:noProof/>
              </w:rPr>
              <w:t>2.1.2. Agency Theory</w:t>
            </w:r>
            <w:r w:rsidR="00B0719A">
              <w:rPr>
                <w:noProof/>
                <w:webHidden/>
              </w:rPr>
              <w:tab/>
            </w:r>
            <w:r w:rsidR="00B0719A">
              <w:rPr>
                <w:noProof/>
                <w:webHidden/>
              </w:rPr>
              <w:fldChar w:fldCharType="begin"/>
            </w:r>
            <w:r w:rsidR="00B0719A">
              <w:rPr>
                <w:noProof/>
                <w:webHidden/>
              </w:rPr>
              <w:instrText xml:space="preserve"> PAGEREF _Toc201327593 \h </w:instrText>
            </w:r>
            <w:r w:rsidR="00B0719A">
              <w:rPr>
                <w:noProof/>
                <w:webHidden/>
              </w:rPr>
            </w:r>
            <w:r w:rsidR="00B0719A">
              <w:rPr>
                <w:noProof/>
                <w:webHidden/>
              </w:rPr>
              <w:fldChar w:fldCharType="separate"/>
            </w:r>
            <w:r w:rsidR="00B0719A">
              <w:rPr>
                <w:noProof/>
                <w:webHidden/>
              </w:rPr>
              <w:t>4</w:t>
            </w:r>
            <w:r w:rsidR="00B0719A">
              <w:rPr>
                <w:noProof/>
                <w:webHidden/>
              </w:rPr>
              <w:fldChar w:fldCharType="end"/>
            </w:r>
          </w:hyperlink>
        </w:p>
        <w:p w14:paraId="51179DCE" w14:textId="62CA3F6B" w:rsidR="00B0719A" w:rsidRDefault="004D7B59">
          <w:pPr>
            <w:pStyle w:val="TOC1"/>
            <w:tabs>
              <w:tab w:val="left" w:pos="660"/>
              <w:tab w:val="right" w:leader="dot" w:pos="9016"/>
            </w:tabs>
            <w:rPr>
              <w:rFonts w:eastAsiaTheme="minorEastAsia"/>
              <w:noProof/>
              <w:lang w:eastAsia="en-GB"/>
            </w:rPr>
          </w:pPr>
          <w:hyperlink w:anchor="_Toc201327594" w:history="1">
            <w:r w:rsidR="00B0719A" w:rsidRPr="009A1BC3">
              <w:rPr>
                <w:rStyle w:val="Hyperlink"/>
                <w:rFonts w:ascii="Arial" w:hAnsi="Arial" w:cs="Arial"/>
                <w:b/>
                <w:bCs/>
                <w:noProof/>
              </w:rPr>
              <w:t>2.2.</w:t>
            </w:r>
            <w:r w:rsidR="00B0719A">
              <w:rPr>
                <w:rFonts w:eastAsiaTheme="minorEastAsia"/>
                <w:noProof/>
                <w:lang w:eastAsia="en-GB"/>
              </w:rPr>
              <w:tab/>
            </w:r>
            <w:r w:rsidR="00B0719A" w:rsidRPr="009A1BC3">
              <w:rPr>
                <w:rStyle w:val="Hyperlink"/>
                <w:rFonts w:ascii="Arial" w:hAnsi="Arial" w:cs="Arial"/>
                <w:b/>
                <w:bCs/>
                <w:noProof/>
              </w:rPr>
              <w:t>B. Retaining Strategic Control with 30% Shareholding</w:t>
            </w:r>
            <w:r w:rsidR="00B0719A">
              <w:rPr>
                <w:noProof/>
                <w:webHidden/>
              </w:rPr>
              <w:tab/>
            </w:r>
            <w:r w:rsidR="00B0719A">
              <w:rPr>
                <w:noProof/>
                <w:webHidden/>
              </w:rPr>
              <w:fldChar w:fldCharType="begin"/>
            </w:r>
            <w:r w:rsidR="00B0719A">
              <w:rPr>
                <w:noProof/>
                <w:webHidden/>
              </w:rPr>
              <w:instrText xml:space="preserve"> PAGEREF _Toc201327594 \h </w:instrText>
            </w:r>
            <w:r w:rsidR="00B0719A">
              <w:rPr>
                <w:noProof/>
                <w:webHidden/>
              </w:rPr>
            </w:r>
            <w:r w:rsidR="00B0719A">
              <w:rPr>
                <w:noProof/>
                <w:webHidden/>
              </w:rPr>
              <w:fldChar w:fldCharType="separate"/>
            </w:r>
            <w:r w:rsidR="00B0719A">
              <w:rPr>
                <w:noProof/>
                <w:webHidden/>
              </w:rPr>
              <w:t>6</w:t>
            </w:r>
            <w:r w:rsidR="00B0719A">
              <w:rPr>
                <w:noProof/>
                <w:webHidden/>
              </w:rPr>
              <w:fldChar w:fldCharType="end"/>
            </w:r>
          </w:hyperlink>
        </w:p>
        <w:p w14:paraId="120DC93F" w14:textId="68D40BF1" w:rsidR="00B0719A" w:rsidRDefault="004D7B59">
          <w:pPr>
            <w:pStyle w:val="TOC2"/>
            <w:tabs>
              <w:tab w:val="left" w:pos="1100"/>
              <w:tab w:val="right" w:leader="dot" w:pos="9016"/>
            </w:tabs>
            <w:rPr>
              <w:rFonts w:eastAsiaTheme="minorEastAsia"/>
              <w:noProof/>
              <w:lang w:eastAsia="en-GB"/>
            </w:rPr>
          </w:pPr>
          <w:hyperlink w:anchor="_Toc201327595" w:history="1">
            <w:r w:rsidR="00B0719A" w:rsidRPr="009A1BC3">
              <w:rPr>
                <w:rStyle w:val="Hyperlink"/>
                <w:rFonts w:ascii="Arial" w:hAnsi="Arial" w:cs="Arial"/>
                <w:b/>
                <w:bCs/>
                <w:noProof/>
              </w:rPr>
              <w:t>2.2.1.</w:t>
            </w:r>
            <w:r w:rsidR="00B0719A">
              <w:rPr>
                <w:rFonts w:eastAsiaTheme="minorEastAsia"/>
                <w:noProof/>
                <w:lang w:eastAsia="en-GB"/>
              </w:rPr>
              <w:tab/>
            </w:r>
            <w:r w:rsidR="00B0719A" w:rsidRPr="009A1BC3">
              <w:rPr>
                <w:rStyle w:val="Hyperlink"/>
                <w:rFonts w:ascii="Arial" w:hAnsi="Arial" w:cs="Arial"/>
                <w:b/>
                <w:bCs/>
                <w:noProof/>
              </w:rPr>
              <w:t>Dual-Class Share Structure</w:t>
            </w:r>
            <w:r w:rsidR="00B0719A">
              <w:rPr>
                <w:noProof/>
                <w:webHidden/>
              </w:rPr>
              <w:tab/>
            </w:r>
            <w:r w:rsidR="00B0719A">
              <w:rPr>
                <w:noProof/>
                <w:webHidden/>
              </w:rPr>
              <w:fldChar w:fldCharType="begin"/>
            </w:r>
            <w:r w:rsidR="00B0719A">
              <w:rPr>
                <w:noProof/>
                <w:webHidden/>
              </w:rPr>
              <w:instrText xml:space="preserve"> PAGEREF _Toc201327595 \h </w:instrText>
            </w:r>
            <w:r w:rsidR="00B0719A">
              <w:rPr>
                <w:noProof/>
                <w:webHidden/>
              </w:rPr>
            </w:r>
            <w:r w:rsidR="00B0719A">
              <w:rPr>
                <w:noProof/>
                <w:webHidden/>
              </w:rPr>
              <w:fldChar w:fldCharType="separate"/>
            </w:r>
            <w:r w:rsidR="00B0719A">
              <w:rPr>
                <w:noProof/>
                <w:webHidden/>
              </w:rPr>
              <w:t>6</w:t>
            </w:r>
            <w:r w:rsidR="00B0719A">
              <w:rPr>
                <w:noProof/>
                <w:webHidden/>
              </w:rPr>
              <w:fldChar w:fldCharType="end"/>
            </w:r>
          </w:hyperlink>
        </w:p>
        <w:p w14:paraId="35EE2E75" w14:textId="1FEBCCBE" w:rsidR="00B0719A" w:rsidRDefault="004D7B59">
          <w:pPr>
            <w:pStyle w:val="TOC2"/>
            <w:tabs>
              <w:tab w:val="left" w:pos="1100"/>
              <w:tab w:val="right" w:leader="dot" w:pos="9016"/>
            </w:tabs>
            <w:rPr>
              <w:rFonts w:eastAsiaTheme="minorEastAsia"/>
              <w:noProof/>
              <w:lang w:eastAsia="en-GB"/>
            </w:rPr>
          </w:pPr>
          <w:hyperlink w:anchor="_Toc201327596" w:history="1">
            <w:r w:rsidR="00B0719A" w:rsidRPr="009A1BC3">
              <w:rPr>
                <w:rStyle w:val="Hyperlink"/>
                <w:rFonts w:ascii="Arial" w:hAnsi="Arial" w:cs="Arial"/>
                <w:b/>
                <w:bCs/>
                <w:noProof/>
              </w:rPr>
              <w:t>2.2.2.</w:t>
            </w:r>
            <w:r w:rsidR="00B0719A">
              <w:rPr>
                <w:rFonts w:eastAsiaTheme="minorEastAsia"/>
                <w:noProof/>
                <w:lang w:eastAsia="en-GB"/>
              </w:rPr>
              <w:tab/>
            </w:r>
            <w:r w:rsidR="00B0719A" w:rsidRPr="009A1BC3">
              <w:rPr>
                <w:rStyle w:val="Hyperlink"/>
                <w:rFonts w:ascii="Arial" w:hAnsi="Arial" w:cs="Arial"/>
                <w:b/>
                <w:bCs/>
                <w:noProof/>
              </w:rPr>
              <w:t>Shareholder Agreements</w:t>
            </w:r>
            <w:r w:rsidR="00B0719A">
              <w:rPr>
                <w:noProof/>
                <w:webHidden/>
              </w:rPr>
              <w:tab/>
            </w:r>
            <w:r w:rsidR="00B0719A">
              <w:rPr>
                <w:noProof/>
                <w:webHidden/>
              </w:rPr>
              <w:fldChar w:fldCharType="begin"/>
            </w:r>
            <w:r w:rsidR="00B0719A">
              <w:rPr>
                <w:noProof/>
                <w:webHidden/>
              </w:rPr>
              <w:instrText xml:space="preserve"> PAGEREF _Toc201327596 \h </w:instrText>
            </w:r>
            <w:r w:rsidR="00B0719A">
              <w:rPr>
                <w:noProof/>
                <w:webHidden/>
              </w:rPr>
            </w:r>
            <w:r w:rsidR="00B0719A">
              <w:rPr>
                <w:noProof/>
                <w:webHidden/>
              </w:rPr>
              <w:fldChar w:fldCharType="separate"/>
            </w:r>
            <w:r w:rsidR="00B0719A">
              <w:rPr>
                <w:noProof/>
                <w:webHidden/>
              </w:rPr>
              <w:t>7</w:t>
            </w:r>
            <w:r w:rsidR="00B0719A">
              <w:rPr>
                <w:noProof/>
                <w:webHidden/>
              </w:rPr>
              <w:fldChar w:fldCharType="end"/>
            </w:r>
          </w:hyperlink>
        </w:p>
        <w:p w14:paraId="0D791DAB" w14:textId="0CA828D2" w:rsidR="00B0719A" w:rsidRDefault="004D7B59">
          <w:pPr>
            <w:pStyle w:val="TOC2"/>
            <w:tabs>
              <w:tab w:val="left" w:pos="1100"/>
              <w:tab w:val="right" w:leader="dot" w:pos="9016"/>
            </w:tabs>
            <w:rPr>
              <w:rFonts w:eastAsiaTheme="minorEastAsia"/>
              <w:noProof/>
              <w:lang w:eastAsia="en-GB"/>
            </w:rPr>
          </w:pPr>
          <w:hyperlink w:anchor="_Toc201327597" w:history="1">
            <w:r w:rsidR="00B0719A" w:rsidRPr="009A1BC3">
              <w:rPr>
                <w:rStyle w:val="Hyperlink"/>
                <w:rFonts w:ascii="Arial" w:hAnsi="Arial" w:cs="Arial"/>
                <w:b/>
                <w:bCs/>
                <w:noProof/>
              </w:rPr>
              <w:t>2.2.3.</w:t>
            </w:r>
            <w:r w:rsidR="00B0719A">
              <w:rPr>
                <w:rFonts w:eastAsiaTheme="minorEastAsia"/>
                <w:noProof/>
                <w:lang w:eastAsia="en-GB"/>
              </w:rPr>
              <w:tab/>
            </w:r>
            <w:r w:rsidR="00B0719A" w:rsidRPr="009A1BC3">
              <w:rPr>
                <w:rStyle w:val="Hyperlink"/>
                <w:rFonts w:ascii="Arial" w:hAnsi="Arial" w:cs="Arial"/>
                <w:b/>
                <w:bCs/>
                <w:noProof/>
              </w:rPr>
              <w:t>Board Composition</w:t>
            </w:r>
            <w:r w:rsidR="00B0719A">
              <w:rPr>
                <w:noProof/>
                <w:webHidden/>
              </w:rPr>
              <w:tab/>
            </w:r>
            <w:r w:rsidR="00B0719A">
              <w:rPr>
                <w:noProof/>
                <w:webHidden/>
              </w:rPr>
              <w:fldChar w:fldCharType="begin"/>
            </w:r>
            <w:r w:rsidR="00B0719A">
              <w:rPr>
                <w:noProof/>
                <w:webHidden/>
              </w:rPr>
              <w:instrText xml:space="preserve"> PAGEREF _Toc201327597 \h </w:instrText>
            </w:r>
            <w:r w:rsidR="00B0719A">
              <w:rPr>
                <w:noProof/>
                <w:webHidden/>
              </w:rPr>
            </w:r>
            <w:r w:rsidR="00B0719A">
              <w:rPr>
                <w:noProof/>
                <w:webHidden/>
              </w:rPr>
              <w:fldChar w:fldCharType="separate"/>
            </w:r>
            <w:r w:rsidR="00B0719A">
              <w:rPr>
                <w:noProof/>
                <w:webHidden/>
              </w:rPr>
              <w:t>7</w:t>
            </w:r>
            <w:r w:rsidR="00B0719A">
              <w:rPr>
                <w:noProof/>
                <w:webHidden/>
              </w:rPr>
              <w:fldChar w:fldCharType="end"/>
            </w:r>
          </w:hyperlink>
        </w:p>
        <w:p w14:paraId="7A73D075" w14:textId="6004165F" w:rsidR="00B0719A" w:rsidRDefault="004D7B59">
          <w:pPr>
            <w:pStyle w:val="TOC2"/>
            <w:tabs>
              <w:tab w:val="left" w:pos="1100"/>
              <w:tab w:val="right" w:leader="dot" w:pos="9016"/>
            </w:tabs>
            <w:rPr>
              <w:rFonts w:eastAsiaTheme="minorEastAsia"/>
              <w:noProof/>
              <w:lang w:eastAsia="en-GB"/>
            </w:rPr>
          </w:pPr>
          <w:hyperlink w:anchor="_Toc201327598" w:history="1">
            <w:r w:rsidR="00B0719A" w:rsidRPr="009A1BC3">
              <w:rPr>
                <w:rStyle w:val="Hyperlink"/>
                <w:rFonts w:ascii="Arial" w:hAnsi="Arial" w:cs="Arial"/>
                <w:b/>
                <w:bCs/>
                <w:noProof/>
              </w:rPr>
              <w:t>2.2.4.</w:t>
            </w:r>
            <w:r w:rsidR="00B0719A">
              <w:rPr>
                <w:rFonts w:eastAsiaTheme="minorEastAsia"/>
                <w:noProof/>
                <w:lang w:eastAsia="en-GB"/>
              </w:rPr>
              <w:tab/>
            </w:r>
            <w:r w:rsidR="00B0719A" w:rsidRPr="009A1BC3">
              <w:rPr>
                <w:rStyle w:val="Hyperlink"/>
                <w:rFonts w:ascii="Arial" w:hAnsi="Arial" w:cs="Arial"/>
                <w:b/>
                <w:bCs/>
                <w:noProof/>
              </w:rPr>
              <w:t>Staggered (Classified) Board</w:t>
            </w:r>
            <w:r w:rsidR="00B0719A">
              <w:rPr>
                <w:noProof/>
                <w:webHidden/>
              </w:rPr>
              <w:tab/>
            </w:r>
            <w:r w:rsidR="00B0719A">
              <w:rPr>
                <w:noProof/>
                <w:webHidden/>
              </w:rPr>
              <w:fldChar w:fldCharType="begin"/>
            </w:r>
            <w:r w:rsidR="00B0719A">
              <w:rPr>
                <w:noProof/>
                <w:webHidden/>
              </w:rPr>
              <w:instrText xml:space="preserve"> PAGEREF _Toc201327598 \h </w:instrText>
            </w:r>
            <w:r w:rsidR="00B0719A">
              <w:rPr>
                <w:noProof/>
                <w:webHidden/>
              </w:rPr>
            </w:r>
            <w:r w:rsidR="00B0719A">
              <w:rPr>
                <w:noProof/>
                <w:webHidden/>
              </w:rPr>
              <w:fldChar w:fldCharType="separate"/>
            </w:r>
            <w:r w:rsidR="00B0719A">
              <w:rPr>
                <w:noProof/>
                <w:webHidden/>
              </w:rPr>
              <w:t>7</w:t>
            </w:r>
            <w:r w:rsidR="00B0719A">
              <w:rPr>
                <w:noProof/>
                <w:webHidden/>
              </w:rPr>
              <w:fldChar w:fldCharType="end"/>
            </w:r>
          </w:hyperlink>
        </w:p>
        <w:p w14:paraId="48110034" w14:textId="0119077D" w:rsidR="00B0719A" w:rsidRDefault="004D7B59">
          <w:pPr>
            <w:pStyle w:val="TOC1"/>
            <w:tabs>
              <w:tab w:val="left" w:pos="660"/>
              <w:tab w:val="right" w:leader="dot" w:pos="9016"/>
            </w:tabs>
            <w:rPr>
              <w:rFonts w:eastAsiaTheme="minorEastAsia"/>
              <w:noProof/>
              <w:lang w:eastAsia="en-GB"/>
            </w:rPr>
          </w:pPr>
          <w:hyperlink w:anchor="_Toc201327599" w:history="1">
            <w:r w:rsidR="00B0719A" w:rsidRPr="009A1BC3">
              <w:rPr>
                <w:rStyle w:val="Hyperlink"/>
                <w:rFonts w:ascii="Arial" w:hAnsi="Arial" w:cs="Arial"/>
                <w:b/>
                <w:bCs/>
                <w:noProof/>
              </w:rPr>
              <w:t>2.3.</w:t>
            </w:r>
            <w:r w:rsidR="00B0719A">
              <w:rPr>
                <w:rFonts w:eastAsiaTheme="minorEastAsia"/>
                <w:noProof/>
                <w:lang w:eastAsia="en-GB"/>
              </w:rPr>
              <w:tab/>
            </w:r>
            <w:r w:rsidR="00B0719A" w:rsidRPr="009A1BC3">
              <w:rPr>
                <w:rStyle w:val="Hyperlink"/>
                <w:rFonts w:ascii="Arial" w:hAnsi="Arial" w:cs="Arial"/>
                <w:b/>
                <w:bCs/>
                <w:noProof/>
              </w:rPr>
              <w:t>C. Director Remuneration: Principles and Structures</w:t>
            </w:r>
            <w:r w:rsidR="00B0719A">
              <w:rPr>
                <w:noProof/>
                <w:webHidden/>
              </w:rPr>
              <w:tab/>
            </w:r>
            <w:r w:rsidR="00B0719A">
              <w:rPr>
                <w:noProof/>
                <w:webHidden/>
              </w:rPr>
              <w:fldChar w:fldCharType="begin"/>
            </w:r>
            <w:r w:rsidR="00B0719A">
              <w:rPr>
                <w:noProof/>
                <w:webHidden/>
              </w:rPr>
              <w:instrText xml:space="preserve"> PAGEREF _Toc201327599 \h </w:instrText>
            </w:r>
            <w:r w:rsidR="00B0719A">
              <w:rPr>
                <w:noProof/>
                <w:webHidden/>
              </w:rPr>
            </w:r>
            <w:r w:rsidR="00B0719A">
              <w:rPr>
                <w:noProof/>
                <w:webHidden/>
              </w:rPr>
              <w:fldChar w:fldCharType="separate"/>
            </w:r>
            <w:r w:rsidR="00B0719A">
              <w:rPr>
                <w:noProof/>
                <w:webHidden/>
              </w:rPr>
              <w:t>8</w:t>
            </w:r>
            <w:r w:rsidR="00B0719A">
              <w:rPr>
                <w:noProof/>
                <w:webHidden/>
              </w:rPr>
              <w:fldChar w:fldCharType="end"/>
            </w:r>
          </w:hyperlink>
        </w:p>
        <w:p w14:paraId="4F41B3B7" w14:textId="3E45D2E0" w:rsidR="00B0719A" w:rsidRDefault="004D7B59">
          <w:pPr>
            <w:pStyle w:val="TOC1"/>
            <w:tabs>
              <w:tab w:val="left" w:pos="660"/>
              <w:tab w:val="right" w:leader="dot" w:pos="9016"/>
            </w:tabs>
            <w:rPr>
              <w:rFonts w:eastAsiaTheme="minorEastAsia"/>
              <w:noProof/>
              <w:lang w:eastAsia="en-GB"/>
            </w:rPr>
          </w:pPr>
          <w:hyperlink w:anchor="_Toc201327600" w:history="1">
            <w:r w:rsidR="00B0719A" w:rsidRPr="009A1BC3">
              <w:rPr>
                <w:rStyle w:val="Hyperlink"/>
                <w:rFonts w:ascii="Arial" w:hAnsi="Arial" w:cs="Arial"/>
                <w:b/>
                <w:bCs/>
                <w:noProof/>
              </w:rPr>
              <w:t>2.4.</w:t>
            </w:r>
            <w:r w:rsidR="00B0719A">
              <w:rPr>
                <w:rFonts w:eastAsiaTheme="minorEastAsia"/>
                <w:noProof/>
                <w:lang w:eastAsia="en-GB"/>
              </w:rPr>
              <w:tab/>
            </w:r>
            <w:r w:rsidR="00B0719A" w:rsidRPr="009A1BC3">
              <w:rPr>
                <w:rStyle w:val="Hyperlink"/>
                <w:rFonts w:ascii="Arial" w:hAnsi="Arial" w:cs="Arial"/>
                <w:b/>
                <w:bCs/>
                <w:noProof/>
              </w:rPr>
              <w:t>D. Institutional Differences: UK vs Shanghai vs the Netherlands</w:t>
            </w:r>
            <w:r w:rsidR="00B0719A">
              <w:rPr>
                <w:noProof/>
                <w:webHidden/>
              </w:rPr>
              <w:tab/>
            </w:r>
            <w:r w:rsidR="00B0719A">
              <w:rPr>
                <w:noProof/>
                <w:webHidden/>
              </w:rPr>
              <w:fldChar w:fldCharType="begin"/>
            </w:r>
            <w:r w:rsidR="00B0719A">
              <w:rPr>
                <w:noProof/>
                <w:webHidden/>
              </w:rPr>
              <w:instrText xml:space="preserve"> PAGEREF _Toc201327600 \h </w:instrText>
            </w:r>
            <w:r w:rsidR="00B0719A">
              <w:rPr>
                <w:noProof/>
                <w:webHidden/>
              </w:rPr>
            </w:r>
            <w:r w:rsidR="00B0719A">
              <w:rPr>
                <w:noProof/>
                <w:webHidden/>
              </w:rPr>
              <w:fldChar w:fldCharType="separate"/>
            </w:r>
            <w:r w:rsidR="00B0719A">
              <w:rPr>
                <w:noProof/>
                <w:webHidden/>
              </w:rPr>
              <w:t>8</w:t>
            </w:r>
            <w:r w:rsidR="00B0719A">
              <w:rPr>
                <w:noProof/>
                <w:webHidden/>
              </w:rPr>
              <w:fldChar w:fldCharType="end"/>
            </w:r>
          </w:hyperlink>
        </w:p>
        <w:p w14:paraId="269851BE" w14:textId="43991114" w:rsidR="00B0719A" w:rsidRDefault="004D7B59">
          <w:pPr>
            <w:pStyle w:val="TOC1"/>
            <w:tabs>
              <w:tab w:val="left" w:pos="440"/>
              <w:tab w:val="right" w:leader="dot" w:pos="9016"/>
            </w:tabs>
            <w:rPr>
              <w:rFonts w:eastAsiaTheme="minorEastAsia"/>
              <w:noProof/>
              <w:lang w:eastAsia="en-GB"/>
            </w:rPr>
          </w:pPr>
          <w:hyperlink w:anchor="_Toc201327601" w:history="1">
            <w:r w:rsidR="00B0719A" w:rsidRPr="009A1BC3">
              <w:rPr>
                <w:rStyle w:val="Hyperlink"/>
                <w:rFonts w:ascii="Arial" w:hAnsi="Arial" w:cs="Arial"/>
                <w:b/>
                <w:bCs/>
                <w:noProof/>
              </w:rPr>
              <w:t>3.</w:t>
            </w:r>
            <w:r w:rsidR="00B0719A">
              <w:rPr>
                <w:rFonts w:eastAsiaTheme="minorEastAsia"/>
                <w:noProof/>
                <w:lang w:eastAsia="en-GB"/>
              </w:rPr>
              <w:tab/>
            </w:r>
            <w:r w:rsidR="00B0719A" w:rsidRPr="009A1BC3">
              <w:rPr>
                <w:rStyle w:val="Hyperlink"/>
                <w:rFonts w:ascii="Arial" w:hAnsi="Arial" w:cs="Arial"/>
                <w:b/>
                <w:bCs/>
                <w:noProof/>
              </w:rPr>
              <w:t>Conclusion</w:t>
            </w:r>
            <w:r w:rsidR="00B0719A">
              <w:rPr>
                <w:noProof/>
                <w:webHidden/>
              </w:rPr>
              <w:tab/>
            </w:r>
            <w:r w:rsidR="00B0719A">
              <w:rPr>
                <w:noProof/>
                <w:webHidden/>
              </w:rPr>
              <w:fldChar w:fldCharType="begin"/>
            </w:r>
            <w:r w:rsidR="00B0719A">
              <w:rPr>
                <w:noProof/>
                <w:webHidden/>
              </w:rPr>
              <w:instrText xml:space="preserve"> PAGEREF _Toc201327601 \h </w:instrText>
            </w:r>
            <w:r w:rsidR="00B0719A">
              <w:rPr>
                <w:noProof/>
                <w:webHidden/>
              </w:rPr>
            </w:r>
            <w:r w:rsidR="00B0719A">
              <w:rPr>
                <w:noProof/>
                <w:webHidden/>
              </w:rPr>
              <w:fldChar w:fldCharType="separate"/>
            </w:r>
            <w:r w:rsidR="00B0719A">
              <w:rPr>
                <w:noProof/>
                <w:webHidden/>
              </w:rPr>
              <w:t>9</w:t>
            </w:r>
            <w:r w:rsidR="00B0719A">
              <w:rPr>
                <w:noProof/>
                <w:webHidden/>
              </w:rPr>
              <w:fldChar w:fldCharType="end"/>
            </w:r>
          </w:hyperlink>
        </w:p>
        <w:p w14:paraId="3C84ACD5" w14:textId="09050757" w:rsidR="00B0719A" w:rsidRDefault="004D7B59">
          <w:pPr>
            <w:pStyle w:val="TOC1"/>
            <w:tabs>
              <w:tab w:val="right" w:leader="dot" w:pos="9016"/>
            </w:tabs>
            <w:rPr>
              <w:rFonts w:eastAsiaTheme="minorEastAsia"/>
              <w:noProof/>
              <w:lang w:eastAsia="en-GB"/>
            </w:rPr>
          </w:pPr>
          <w:hyperlink w:anchor="_Toc201327602" w:history="1">
            <w:r w:rsidR="00B0719A" w:rsidRPr="009A1BC3">
              <w:rPr>
                <w:rStyle w:val="Hyperlink"/>
                <w:noProof/>
              </w:rPr>
              <w:t>References</w:t>
            </w:r>
            <w:r w:rsidR="00B0719A">
              <w:rPr>
                <w:noProof/>
                <w:webHidden/>
              </w:rPr>
              <w:tab/>
            </w:r>
            <w:r w:rsidR="00B0719A">
              <w:rPr>
                <w:noProof/>
                <w:webHidden/>
              </w:rPr>
              <w:fldChar w:fldCharType="begin"/>
            </w:r>
            <w:r w:rsidR="00B0719A">
              <w:rPr>
                <w:noProof/>
                <w:webHidden/>
              </w:rPr>
              <w:instrText xml:space="preserve"> PAGEREF _Toc201327602 \h </w:instrText>
            </w:r>
            <w:r w:rsidR="00B0719A">
              <w:rPr>
                <w:noProof/>
                <w:webHidden/>
              </w:rPr>
            </w:r>
            <w:r w:rsidR="00B0719A">
              <w:rPr>
                <w:noProof/>
                <w:webHidden/>
              </w:rPr>
              <w:fldChar w:fldCharType="separate"/>
            </w:r>
            <w:r w:rsidR="00B0719A">
              <w:rPr>
                <w:noProof/>
                <w:webHidden/>
              </w:rPr>
              <w:t>11</w:t>
            </w:r>
            <w:r w:rsidR="00B0719A">
              <w:rPr>
                <w:noProof/>
                <w:webHidden/>
              </w:rPr>
              <w:fldChar w:fldCharType="end"/>
            </w:r>
          </w:hyperlink>
        </w:p>
        <w:p w14:paraId="28A215F5" w14:textId="48E733CE" w:rsidR="00BC339E" w:rsidRDefault="00BC339E">
          <w:r>
            <w:rPr>
              <w:b/>
              <w:bCs/>
              <w:noProof/>
            </w:rPr>
            <w:fldChar w:fldCharType="end"/>
          </w:r>
        </w:p>
      </w:sdtContent>
    </w:sdt>
    <w:p w14:paraId="2B90CE47" w14:textId="3043ABF5" w:rsidR="00BC339E" w:rsidRDefault="00BC339E" w:rsidP="00BC339E">
      <w:pPr>
        <w:jc w:val="center"/>
        <w:rPr>
          <w:rFonts w:ascii="Arial" w:hAnsi="Arial" w:cs="Arial"/>
        </w:rPr>
      </w:pPr>
    </w:p>
    <w:p w14:paraId="2F28A3C8" w14:textId="451FF7F6" w:rsidR="00BC339E" w:rsidRPr="00BC339E" w:rsidRDefault="00BC339E" w:rsidP="00BC339E">
      <w:pPr>
        <w:rPr>
          <w:rFonts w:ascii="Arial" w:hAnsi="Arial" w:cs="Arial"/>
        </w:rPr>
      </w:pPr>
    </w:p>
    <w:p w14:paraId="76787D11" w14:textId="0762FA2D" w:rsidR="00BC339E" w:rsidRPr="00BC339E" w:rsidRDefault="00BC339E" w:rsidP="00BC339E">
      <w:pPr>
        <w:rPr>
          <w:rFonts w:ascii="Arial" w:hAnsi="Arial" w:cs="Arial"/>
        </w:rPr>
      </w:pPr>
    </w:p>
    <w:p w14:paraId="7B2453B4" w14:textId="3BAC2BE8" w:rsidR="00BC339E" w:rsidRPr="00BC339E" w:rsidRDefault="00BC339E" w:rsidP="00BC339E">
      <w:pPr>
        <w:rPr>
          <w:rFonts w:ascii="Arial" w:hAnsi="Arial" w:cs="Arial"/>
        </w:rPr>
      </w:pPr>
    </w:p>
    <w:p w14:paraId="571D4583" w14:textId="19009174" w:rsidR="00BC339E" w:rsidRPr="00BC339E" w:rsidRDefault="00BC339E" w:rsidP="00BC339E">
      <w:pPr>
        <w:rPr>
          <w:rFonts w:ascii="Arial" w:hAnsi="Arial" w:cs="Arial"/>
        </w:rPr>
      </w:pPr>
    </w:p>
    <w:p w14:paraId="45D8C0F8" w14:textId="276FBBEB" w:rsidR="00BC339E" w:rsidRPr="00BC339E" w:rsidRDefault="00BC339E" w:rsidP="00BC339E">
      <w:pPr>
        <w:rPr>
          <w:rFonts w:ascii="Arial" w:hAnsi="Arial" w:cs="Arial"/>
        </w:rPr>
      </w:pPr>
    </w:p>
    <w:p w14:paraId="0488E756" w14:textId="131F943A" w:rsidR="00BC339E" w:rsidRPr="00BC339E" w:rsidRDefault="00BC339E" w:rsidP="00BC339E">
      <w:pPr>
        <w:rPr>
          <w:rFonts w:ascii="Arial" w:hAnsi="Arial" w:cs="Arial"/>
        </w:rPr>
      </w:pPr>
    </w:p>
    <w:p w14:paraId="3D864193" w14:textId="628E6956" w:rsidR="00BC339E" w:rsidRPr="00BC339E" w:rsidRDefault="00BC339E" w:rsidP="00BC339E">
      <w:pPr>
        <w:rPr>
          <w:rFonts w:ascii="Arial" w:hAnsi="Arial" w:cs="Arial"/>
        </w:rPr>
      </w:pPr>
    </w:p>
    <w:p w14:paraId="0C6BE648" w14:textId="226E0A10" w:rsidR="00BC339E" w:rsidRPr="00BC339E" w:rsidRDefault="00BC339E" w:rsidP="00BC339E">
      <w:pPr>
        <w:rPr>
          <w:rFonts w:ascii="Arial" w:hAnsi="Arial" w:cs="Arial"/>
        </w:rPr>
      </w:pPr>
    </w:p>
    <w:p w14:paraId="7284BA3D" w14:textId="68E9995D" w:rsidR="00BC339E" w:rsidRPr="00BC339E" w:rsidRDefault="00BC339E" w:rsidP="00BC339E">
      <w:pPr>
        <w:rPr>
          <w:rFonts w:ascii="Arial" w:hAnsi="Arial" w:cs="Arial"/>
        </w:rPr>
      </w:pPr>
    </w:p>
    <w:p w14:paraId="64AD7181" w14:textId="6CE85134" w:rsidR="00BC339E" w:rsidRPr="00BC339E" w:rsidRDefault="00BC339E" w:rsidP="00BC339E">
      <w:pPr>
        <w:rPr>
          <w:rFonts w:ascii="Arial" w:hAnsi="Arial" w:cs="Arial"/>
        </w:rPr>
      </w:pPr>
    </w:p>
    <w:p w14:paraId="278034F3" w14:textId="7C7C07E5" w:rsidR="00BC339E" w:rsidRPr="00BC339E" w:rsidRDefault="00BC339E" w:rsidP="00BC339E">
      <w:pPr>
        <w:rPr>
          <w:rFonts w:ascii="Arial" w:hAnsi="Arial" w:cs="Arial"/>
        </w:rPr>
      </w:pPr>
    </w:p>
    <w:p w14:paraId="3D47D02E" w14:textId="070A5572" w:rsidR="00BC339E" w:rsidRPr="00BC339E" w:rsidRDefault="00BC339E" w:rsidP="00BC339E">
      <w:pPr>
        <w:rPr>
          <w:rFonts w:ascii="Arial" w:hAnsi="Arial" w:cs="Arial"/>
        </w:rPr>
      </w:pPr>
    </w:p>
    <w:p w14:paraId="327CBCFF" w14:textId="766B6085" w:rsidR="00BC339E" w:rsidRPr="00BC339E" w:rsidRDefault="00BC339E" w:rsidP="00BC339E">
      <w:pPr>
        <w:rPr>
          <w:rFonts w:ascii="Arial" w:hAnsi="Arial" w:cs="Arial"/>
        </w:rPr>
      </w:pPr>
    </w:p>
    <w:p w14:paraId="1062BF03" w14:textId="374690C2" w:rsidR="00BC339E" w:rsidRPr="00BC339E" w:rsidRDefault="00BC339E" w:rsidP="00BC339E">
      <w:pPr>
        <w:rPr>
          <w:rFonts w:ascii="Arial" w:hAnsi="Arial" w:cs="Arial"/>
        </w:rPr>
      </w:pPr>
    </w:p>
    <w:p w14:paraId="292C44EF" w14:textId="225D523A" w:rsidR="00BC339E" w:rsidRPr="00BC339E" w:rsidRDefault="00BC339E" w:rsidP="00BC339E">
      <w:pPr>
        <w:rPr>
          <w:rFonts w:ascii="Arial" w:hAnsi="Arial" w:cs="Arial"/>
        </w:rPr>
      </w:pPr>
    </w:p>
    <w:p w14:paraId="712846E5" w14:textId="3134B880" w:rsidR="00BC339E" w:rsidRPr="00BC339E" w:rsidRDefault="00BC339E" w:rsidP="00BC339E">
      <w:pPr>
        <w:rPr>
          <w:rFonts w:ascii="Arial" w:hAnsi="Arial" w:cs="Arial"/>
        </w:rPr>
      </w:pPr>
    </w:p>
    <w:p w14:paraId="327BBC48" w14:textId="7D035650" w:rsidR="00BC339E" w:rsidRDefault="00BC339E" w:rsidP="00BC339E">
      <w:pPr>
        <w:tabs>
          <w:tab w:val="left" w:pos="6390"/>
        </w:tabs>
        <w:rPr>
          <w:rFonts w:ascii="Arial" w:hAnsi="Arial" w:cs="Arial"/>
        </w:rPr>
      </w:pPr>
    </w:p>
    <w:p w14:paraId="5D366D97" w14:textId="77777777" w:rsidR="00EE2A0A" w:rsidRPr="00EE2A0A" w:rsidRDefault="00EE2A0A" w:rsidP="00EE2A0A">
      <w:pPr>
        <w:pStyle w:val="Heading2"/>
        <w:rPr>
          <w:rFonts w:ascii="Arial" w:hAnsi="Arial" w:cs="Arial"/>
          <w:color w:val="auto"/>
          <w:sz w:val="28"/>
          <w:szCs w:val="28"/>
        </w:rPr>
      </w:pPr>
      <w:bookmarkStart w:id="0" w:name="_Toc201327588"/>
      <w:r w:rsidRPr="00EE2A0A">
        <w:rPr>
          <w:rStyle w:val="Strong"/>
          <w:rFonts w:ascii="Arial" w:hAnsi="Arial" w:cs="Arial"/>
          <w:color w:val="auto"/>
          <w:sz w:val="28"/>
          <w:szCs w:val="28"/>
        </w:rPr>
        <w:t>Executive Summary</w:t>
      </w:r>
      <w:bookmarkEnd w:id="0"/>
    </w:p>
    <w:p w14:paraId="0C1731BF" w14:textId="77777777" w:rsidR="00EE2A0A" w:rsidRPr="00EE2A0A" w:rsidRDefault="00EE2A0A" w:rsidP="00EE2A0A">
      <w:pPr>
        <w:pStyle w:val="NormalWeb"/>
        <w:spacing w:line="360" w:lineRule="auto"/>
        <w:ind w:firstLine="360"/>
        <w:rPr>
          <w:rFonts w:ascii="Arial" w:hAnsi="Arial" w:cs="Arial"/>
          <w:sz w:val="22"/>
          <w:szCs w:val="22"/>
        </w:rPr>
      </w:pPr>
      <w:r w:rsidRPr="00EE2A0A">
        <w:rPr>
          <w:rFonts w:ascii="Arial" w:hAnsi="Arial" w:cs="Arial"/>
          <w:sz w:val="22"/>
          <w:szCs w:val="22"/>
        </w:rPr>
        <w:t>This report provides an in-depth analysis of the implications of listing a privately owned family company on the UK’s Alternative Investment Market (AIM). The Board, composed of four siblings each holding 25% equity, will retain only 30% after listing, requiring strategic control mechanisms. The report introduces key concepts such as corporate governance and agency theory, outlines control-retention mechanisms, evaluates director remuneration policies, and compares institutional differences between the UK, Shanghai, and the Netherlands. Recommendations include adopting a dual-class share structure, establishing governance committees, and remaining on AIM to optimise control and compliance.</w:t>
      </w:r>
    </w:p>
    <w:p w14:paraId="155363EB" w14:textId="190D5A71" w:rsidR="00EE2A0A" w:rsidRPr="00EE2A0A" w:rsidRDefault="00EE2A0A" w:rsidP="00EE2A0A">
      <w:pPr>
        <w:pStyle w:val="Heading2"/>
        <w:numPr>
          <w:ilvl w:val="0"/>
          <w:numId w:val="3"/>
        </w:numPr>
        <w:jc w:val="center"/>
        <w:rPr>
          <w:rFonts w:ascii="Arial" w:hAnsi="Arial" w:cs="Arial"/>
          <w:color w:val="auto"/>
          <w:sz w:val="28"/>
          <w:szCs w:val="28"/>
        </w:rPr>
      </w:pPr>
      <w:bookmarkStart w:id="1" w:name="_Toc201327589"/>
      <w:r w:rsidRPr="00EE2A0A">
        <w:rPr>
          <w:rStyle w:val="Strong"/>
          <w:rFonts w:ascii="Arial" w:hAnsi="Arial" w:cs="Arial"/>
          <w:color w:val="auto"/>
          <w:sz w:val="28"/>
          <w:szCs w:val="28"/>
        </w:rPr>
        <w:t>Introduction</w:t>
      </w:r>
      <w:bookmarkEnd w:id="1"/>
    </w:p>
    <w:p w14:paraId="3B2CE7FE" w14:textId="77777777" w:rsidR="00EE2A0A" w:rsidRPr="00EE2A0A" w:rsidRDefault="00EE2A0A" w:rsidP="00EE2A0A">
      <w:pPr>
        <w:pStyle w:val="NormalWeb"/>
        <w:spacing w:line="360" w:lineRule="auto"/>
        <w:ind w:firstLine="360"/>
        <w:rPr>
          <w:rFonts w:ascii="Arial" w:hAnsi="Arial" w:cs="Arial"/>
          <w:sz w:val="22"/>
          <w:szCs w:val="22"/>
        </w:rPr>
      </w:pPr>
      <w:r w:rsidRPr="00EE2A0A">
        <w:rPr>
          <w:rFonts w:ascii="Arial" w:hAnsi="Arial" w:cs="Arial"/>
          <w:sz w:val="22"/>
          <w:szCs w:val="22"/>
        </w:rPr>
        <w:t>The transition from a private limited company to a publicly listed entity represents a critical shift in corporate structure, transparency, and accountability. For the family-owned service company planning to list on AIM, this transformation will involve not only equity dilution but also the adoption of new governance frameworks. This report serves to guide the board of directors through essential topics, namely: (a) corporate governance and agency theory, (b) strategic control post-listing, (c) director remuneration structures, and (d) institutional differences relevant to potential listing in the UK, Shanghai, or the Netherlands.</w:t>
      </w:r>
    </w:p>
    <w:p w14:paraId="340B9BD0" w14:textId="18F20551" w:rsidR="00EE2A0A" w:rsidRPr="00B02767" w:rsidRDefault="00B02767" w:rsidP="00211289">
      <w:pPr>
        <w:pStyle w:val="Heading1"/>
        <w:spacing w:line="360" w:lineRule="auto"/>
        <w:jc w:val="center"/>
      </w:pPr>
      <w:bookmarkStart w:id="2" w:name="_Toc201327590"/>
      <w:r w:rsidRPr="00B02767">
        <w:rPr>
          <w:rStyle w:val="Strong"/>
          <w:rFonts w:ascii="Arial" w:hAnsi="Arial" w:cs="Arial"/>
          <w:color w:val="auto"/>
          <w:sz w:val="28"/>
          <w:szCs w:val="28"/>
        </w:rPr>
        <w:t xml:space="preserve">2. </w:t>
      </w:r>
      <w:r w:rsidR="00EE2A0A" w:rsidRPr="00B02767">
        <w:rPr>
          <w:rStyle w:val="Strong"/>
          <w:rFonts w:ascii="Arial" w:hAnsi="Arial" w:cs="Arial"/>
          <w:color w:val="auto"/>
          <w:sz w:val="28"/>
          <w:szCs w:val="28"/>
        </w:rPr>
        <w:t>Discussion of Findings</w:t>
      </w:r>
      <w:bookmarkEnd w:id="2"/>
    </w:p>
    <w:p w14:paraId="3C655A19" w14:textId="2A4FB50F" w:rsidR="00EE2A0A" w:rsidRDefault="00B02767" w:rsidP="00211289">
      <w:pPr>
        <w:pStyle w:val="Heading1"/>
        <w:spacing w:line="360" w:lineRule="auto"/>
        <w:jc w:val="center"/>
        <w:rPr>
          <w:rStyle w:val="Strong"/>
          <w:rFonts w:ascii="Arial" w:hAnsi="Arial" w:cs="Arial"/>
          <w:color w:val="auto"/>
          <w:sz w:val="24"/>
          <w:szCs w:val="24"/>
        </w:rPr>
      </w:pPr>
      <w:bookmarkStart w:id="3" w:name="_Toc201327591"/>
      <w:r w:rsidRPr="00211289">
        <w:rPr>
          <w:rStyle w:val="Strong"/>
          <w:rFonts w:ascii="Arial" w:hAnsi="Arial" w:cs="Arial"/>
          <w:color w:val="auto"/>
          <w:sz w:val="24"/>
          <w:szCs w:val="24"/>
        </w:rPr>
        <w:t xml:space="preserve">2.1. </w:t>
      </w:r>
      <w:r w:rsidR="00EE2A0A" w:rsidRPr="00211289">
        <w:rPr>
          <w:rStyle w:val="Strong"/>
          <w:rFonts w:ascii="Arial" w:hAnsi="Arial" w:cs="Arial"/>
          <w:color w:val="auto"/>
          <w:sz w:val="24"/>
          <w:szCs w:val="24"/>
        </w:rPr>
        <w:t>A. Corporate Governance and Agency Theory</w:t>
      </w:r>
      <w:bookmarkEnd w:id="3"/>
    </w:p>
    <w:p w14:paraId="556B3E52" w14:textId="3EE15D6A" w:rsidR="00AB0D7C" w:rsidRPr="00484269" w:rsidRDefault="00AB0D7C" w:rsidP="00254F13">
      <w:pPr>
        <w:pStyle w:val="NormalWeb"/>
        <w:spacing w:line="360" w:lineRule="auto"/>
        <w:ind w:firstLine="720"/>
        <w:rPr>
          <w:rFonts w:ascii="Arial" w:hAnsi="Arial" w:cs="Arial"/>
          <w:sz w:val="22"/>
          <w:szCs w:val="22"/>
        </w:rPr>
      </w:pPr>
      <w:r w:rsidRPr="00484269">
        <w:rPr>
          <w:rFonts w:ascii="Arial" w:hAnsi="Arial" w:cs="Arial"/>
          <w:sz w:val="22"/>
          <w:szCs w:val="22"/>
        </w:rPr>
        <w:t>In corporate organisations, shareholders, management, and employees form the core internal stakeholders whose interactions are critical in achieving strategic objectives. Among these, shareholders-typically the owners of the company</w:t>
      </w:r>
      <w:r w:rsidR="00254F13" w:rsidRPr="00484269">
        <w:rPr>
          <w:rFonts w:ascii="Arial" w:hAnsi="Arial" w:cs="Arial"/>
          <w:sz w:val="22"/>
          <w:szCs w:val="22"/>
        </w:rPr>
        <w:t>-</w:t>
      </w:r>
      <w:r w:rsidRPr="00484269">
        <w:rPr>
          <w:rFonts w:ascii="Arial" w:hAnsi="Arial" w:cs="Arial"/>
          <w:sz w:val="22"/>
          <w:szCs w:val="22"/>
        </w:rPr>
        <w:t>maintain a vested interest in ensuring that corporate activities are aligned with long-term value creation and profitability</w:t>
      </w:r>
      <w:sdt>
        <w:sdtPr>
          <w:rPr>
            <w:rFonts w:ascii="Arial" w:hAnsi="Arial" w:cs="Arial"/>
            <w:sz w:val="22"/>
            <w:szCs w:val="22"/>
          </w:rPr>
          <w:id w:val="-665937988"/>
          <w:citation/>
        </w:sdtPr>
        <w:sdtEndPr/>
        <w:sdtContent>
          <w:r w:rsidR="00B0719A">
            <w:rPr>
              <w:rFonts w:ascii="Arial" w:hAnsi="Arial" w:cs="Arial"/>
              <w:sz w:val="22"/>
              <w:szCs w:val="22"/>
            </w:rPr>
            <w:fldChar w:fldCharType="begin"/>
          </w:r>
          <w:r w:rsidR="00B0719A">
            <w:rPr>
              <w:rFonts w:ascii="Arial" w:hAnsi="Arial" w:cs="Arial"/>
              <w:sz w:val="22"/>
              <w:szCs w:val="22"/>
              <w:lang w:val="en-US"/>
            </w:rPr>
            <w:instrText xml:space="preserve">CITATION Car26 \l 1033 </w:instrText>
          </w:r>
          <w:r w:rsidR="00B0719A">
            <w:rPr>
              <w:rFonts w:ascii="Arial" w:hAnsi="Arial" w:cs="Arial"/>
              <w:sz w:val="22"/>
              <w:szCs w:val="22"/>
            </w:rPr>
            <w:fldChar w:fldCharType="separate"/>
          </w:r>
          <w:r w:rsidR="00B0719A">
            <w:rPr>
              <w:rFonts w:ascii="Arial" w:hAnsi="Arial" w:cs="Arial"/>
              <w:noProof/>
              <w:sz w:val="22"/>
              <w:szCs w:val="22"/>
              <w:lang w:val="en-US"/>
            </w:rPr>
            <w:t xml:space="preserve"> </w:t>
          </w:r>
          <w:r w:rsidR="00B0719A" w:rsidRPr="00B0719A">
            <w:rPr>
              <w:rFonts w:ascii="Arial" w:hAnsi="Arial" w:cs="Arial"/>
              <w:noProof/>
              <w:sz w:val="22"/>
              <w:szCs w:val="22"/>
              <w:lang w:val="en-US"/>
            </w:rPr>
            <w:t>(Banton, 2025)</w:t>
          </w:r>
          <w:r w:rsidR="00B0719A">
            <w:rPr>
              <w:rFonts w:ascii="Arial" w:hAnsi="Arial" w:cs="Arial"/>
              <w:sz w:val="22"/>
              <w:szCs w:val="22"/>
            </w:rPr>
            <w:fldChar w:fldCharType="end"/>
          </w:r>
        </w:sdtContent>
      </w:sdt>
      <w:r w:rsidRPr="00484269">
        <w:rPr>
          <w:rFonts w:ascii="Arial" w:hAnsi="Arial" w:cs="Arial"/>
          <w:sz w:val="22"/>
          <w:szCs w:val="22"/>
        </w:rPr>
        <w:t>. However, a divergence often emerges between</w:t>
      </w:r>
      <w:r w:rsidRPr="00AB0D7C">
        <w:rPr>
          <w:rFonts w:ascii="Arial" w:hAnsi="Arial" w:cs="Arial"/>
        </w:rPr>
        <w:t xml:space="preserve"> </w:t>
      </w:r>
      <w:r w:rsidRPr="00484269">
        <w:rPr>
          <w:rFonts w:ascii="Arial" w:hAnsi="Arial" w:cs="Arial"/>
          <w:sz w:val="22"/>
          <w:szCs w:val="22"/>
        </w:rPr>
        <w:t xml:space="preserve">shareholders (principals) and company executives (agents), giving rise to what is known as the </w:t>
      </w:r>
      <w:r w:rsidRPr="00484269">
        <w:rPr>
          <w:rStyle w:val="Strong"/>
          <w:rFonts w:ascii="Arial" w:hAnsi="Arial" w:cs="Arial"/>
          <w:b w:val="0"/>
          <w:bCs w:val="0"/>
          <w:sz w:val="22"/>
          <w:szCs w:val="22"/>
        </w:rPr>
        <w:t>agency problem</w:t>
      </w:r>
      <w:r w:rsidRPr="00484269">
        <w:rPr>
          <w:rFonts w:ascii="Arial" w:hAnsi="Arial" w:cs="Arial"/>
          <w:sz w:val="22"/>
          <w:szCs w:val="22"/>
        </w:rPr>
        <w:t>.</w:t>
      </w:r>
    </w:p>
    <w:p w14:paraId="173E3B44" w14:textId="247625C0" w:rsidR="00EE2A0A" w:rsidRPr="00B02767" w:rsidRDefault="00B02767" w:rsidP="00211289">
      <w:pPr>
        <w:pStyle w:val="Heading2"/>
        <w:spacing w:line="360" w:lineRule="auto"/>
        <w:rPr>
          <w:rFonts w:ascii="Arial" w:hAnsi="Arial" w:cs="Arial"/>
          <w:sz w:val="22"/>
          <w:szCs w:val="22"/>
        </w:rPr>
      </w:pPr>
      <w:bookmarkStart w:id="4" w:name="_Toc201327592"/>
      <w:r w:rsidRPr="00B02767">
        <w:rPr>
          <w:rStyle w:val="Strong"/>
          <w:rFonts w:ascii="Arial" w:hAnsi="Arial" w:cs="Arial"/>
          <w:color w:val="auto"/>
          <w:sz w:val="22"/>
          <w:szCs w:val="22"/>
        </w:rPr>
        <w:lastRenderedPageBreak/>
        <w:t xml:space="preserve">2.1.1. </w:t>
      </w:r>
      <w:r w:rsidR="00EE2A0A" w:rsidRPr="00B02767">
        <w:rPr>
          <w:rStyle w:val="Strong"/>
          <w:rFonts w:ascii="Arial" w:hAnsi="Arial" w:cs="Arial"/>
          <w:color w:val="auto"/>
          <w:sz w:val="22"/>
          <w:szCs w:val="22"/>
        </w:rPr>
        <w:t>Corporate Governance</w:t>
      </w:r>
      <w:bookmarkEnd w:id="4"/>
    </w:p>
    <w:p w14:paraId="49744C6F" w14:textId="629003B0" w:rsidR="00EE2A0A" w:rsidRPr="00B02767" w:rsidRDefault="00772DA3" w:rsidP="00211289">
      <w:pPr>
        <w:pStyle w:val="NormalWeb"/>
        <w:spacing w:line="360" w:lineRule="auto"/>
        <w:ind w:firstLine="720"/>
        <w:rPr>
          <w:rFonts w:ascii="Arial" w:hAnsi="Arial" w:cs="Arial"/>
          <w:sz w:val="22"/>
          <w:szCs w:val="22"/>
        </w:rPr>
      </w:pPr>
      <w:r>
        <w:rPr>
          <w:noProof/>
        </w:rPr>
        <w:drawing>
          <wp:anchor distT="0" distB="0" distL="114300" distR="114300" simplePos="0" relativeHeight="251658240" behindDoc="0" locked="0" layoutInCell="1" allowOverlap="1" wp14:anchorId="75655D4E" wp14:editId="16C31E26">
            <wp:simplePos x="0" y="0"/>
            <wp:positionH relativeFrom="margin">
              <wp:align>left</wp:align>
            </wp:positionH>
            <wp:positionV relativeFrom="paragraph">
              <wp:posOffset>187960</wp:posOffset>
            </wp:positionV>
            <wp:extent cx="3143250" cy="2388870"/>
            <wp:effectExtent l="0" t="0" r="0" b="0"/>
            <wp:wrapSquare wrapText="bothSides"/>
            <wp:docPr id="2" name="Picture 2" descr="A picture of a business man holding a depiction on governance in his palm. With the heading 'Corporate Governance'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of a business man holding a depiction on governance in his palm. With the heading 'Corporate Governance' bel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3250" cy="2388870"/>
                    </a:xfrm>
                    <a:prstGeom prst="rect">
                      <a:avLst/>
                    </a:prstGeom>
                    <a:noFill/>
                    <a:ln>
                      <a:noFill/>
                    </a:ln>
                  </pic:spPr>
                </pic:pic>
              </a:graphicData>
            </a:graphic>
            <wp14:sizeRelH relativeFrom="margin">
              <wp14:pctWidth>0</wp14:pctWidth>
            </wp14:sizeRelH>
          </wp:anchor>
        </w:drawing>
      </w:r>
      <w:r w:rsidR="00EE2A0A" w:rsidRPr="00B02767">
        <w:rPr>
          <w:rFonts w:ascii="Arial" w:hAnsi="Arial" w:cs="Arial"/>
          <w:sz w:val="22"/>
          <w:szCs w:val="22"/>
        </w:rPr>
        <w:t>Corporate governance refers to the framework of rules, practices, and processes by which a company is directed and controlled. It balances the interests of shareholders, management, customers, suppliers, financiers, regulators, and the community</w:t>
      </w:r>
      <w:sdt>
        <w:sdtPr>
          <w:rPr>
            <w:rFonts w:ascii="Arial" w:hAnsi="Arial" w:cs="Arial"/>
            <w:sz w:val="22"/>
            <w:szCs w:val="22"/>
          </w:rPr>
          <w:id w:val="-629785844"/>
          <w:citation/>
        </w:sdtPr>
        <w:sdtEndPr/>
        <w:sdtContent>
          <w:r w:rsidR="00F7764C">
            <w:rPr>
              <w:rFonts w:ascii="Arial" w:hAnsi="Arial" w:cs="Arial"/>
              <w:sz w:val="22"/>
              <w:szCs w:val="22"/>
            </w:rPr>
            <w:fldChar w:fldCharType="begin"/>
          </w:r>
          <w:r w:rsidR="00F7764C">
            <w:rPr>
              <w:rFonts w:ascii="Arial" w:hAnsi="Arial" w:cs="Arial"/>
              <w:sz w:val="22"/>
              <w:szCs w:val="22"/>
              <w:lang w:val="en-US"/>
            </w:rPr>
            <w:instrText xml:space="preserve"> CITATION Tri19 \l 1033 </w:instrText>
          </w:r>
          <w:r w:rsidR="00F7764C">
            <w:rPr>
              <w:rFonts w:ascii="Arial" w:hAnsi="Arial" w:cs="Arial"/>
              <w:sz w:val="22"/>
              <w:szCs w:val="22"/>
            </w:rPr>
            <w:fldChar w:fldCharType="separate"/>
          </w:r>
          <w:r w:rsidR="00B0719A">
            <w:rPr>
              <w:rFonts w:ascii="Arial" w:hAnsi="Arial" w:cs="Arial"/>
              <w:noProof/>
              <w:sz w:val="22"/>
              <w:szCs w:val="22"/>
              <w:lang w:val="en-US"/>
            </w:rPr>
            <w:t xml:space="preserve"> </w:t>
          </w:r>
          <w:r w:rsidR="00B0719A" w:rsidRPr="00B0719A">
            <w:rPr>
              <w:rFonts w:ascii="Arial" w:hAnsi="Arial" w:cs="Arial"/>
              <w:noProof/>
              <w:sz w:val="22"/>
              <w:szCs w:val="22"/>
              <w:lang w:val="en-US"/>
            </w:rPr>
            <w:t>(Tricker, 2019)</w:t>
          </w:r>
          <w:r w:rsidR="00F7764C">
            <w:rPr>
              <w:rFonts w:ascii="Arial" w:hAnsi="Arial" w:cs="Arial"/>
              <w:sz w:val="22"/>
              <w:szCs w:val="22"/>
            </w:rPr>
            <w:fldChar w:fldCharType="end"/>
          </w:r>
        </w:sdtContent>
      </w:sdt>
      <w:r w:rsidR="00EE2A0A" w:rsidRPr="00B02767">
        <w:rPr>
          <w:rFonts w:ascii="Arial" w:hAnsi="Arial" w:cs="Arial"/>
          <w:sz w:val="22"/>
          <w:szCs w:val="22"/>
        </w:rPr>
        <w:t>. Governance is especially crucial for public companies, where ownership and control are often separated.</w:t>
      </w:r>
    </w:p>
    <w:p w14:paraId="0DA52907" w14:textId="77777777" w:rsidR="00EE2A0A" w:rsidRPr="00B02767" w:rsidRDefault="00EE2A0A" w:rsidP="00B02767">
      <w:pPr>
        <w:pStyle w:val="NormalWeb"/>
        <w:spacing w:line="360" w:lineRule="auto"/>
        <w:ind w:firstLine="720"/>
        <w:rPr>
          <w:rFonts w:ascii="Arial" w:hAnsi="Arial" w:cs="Arial"/>
          <w:sz w:val="22"/>
          <w:szCs w:val="22"/>
        </w:rPr>
      </w:pPr>
      <w:r w:rsidRPr="00B02767">
        <w:rPr>
          <w:rFonts w:ascii="Arial" w:hAnsi="Arial" w:cs="Arial"/>
          <w:sz w:val="22"/>
          <w:szCs w:val="22"/>
        </w:rPr>
        <w:t xml:space="preserve">In the UK, the </w:t>
      </w:r>
      <w:r w:rsidRPr="00B02767">
        <w:rPr>
          <w:rStyle w:val="Strong"/>
          <w:rFonts w:ascii="Arial" w:hAnsi="Arial" w:cs="Arial"/>
          <w:sz w:val="22"/>
          <w:szCs w:val="22"/>
        </w:rPr>
        <w:t xml:space="preserve">UK Corporate Governance Code </w:t>
      </w:r>
      <w:r w:rsidRPr="00B0719A">
        <w:rPr>
          <w:rStyle w:val="Strong"/>
          <w:rFonts w:ascii="Arial" w:hAnsi="Arial" w:cs="Arial"/>
          <w:b w:val="0"/>
          <w:bCs w:val="0"/>
          <w:sz w:val="22"/>
          <w:szCs w:val="22"/>
        </w:rPr>
        <w:t>(FRC, 2024)</w:t>
      </w:r>
      <w:r w:rsidRPr="00B0719A">
        <w:rPr>
          <w:rFonts w:ascii="Arial" w:hAnsi="Arial" w:cs="Arial"/>
          <w:b/>
          <w:bCs/>
          <w:sz w:val="22"/>
          <w:szCs w:val="22"/>
        </w:rPr>
        <w:t xml:space="preserve"> </w:t>
      </w:r>
      <w:r w:rsidRPr="00B02767">
        <w:rPr>
          <w:rFonts w:ascii="Arial" w:hAnsi="Arial" w:cs="Arial"/>
          <w:sz w:val="22"/>
          <w:szCs w:val="22"/>
        </w:rPr>
        <w:t>outlines the principles of accountability, transparency, integrity, and board independence. Although AIM-listed firms are not legally required to comply, they are expected to adopt and explain their governance practices (“comply or explain”).</w:t>
      </w:r>
    </w:p>
    <w:p w14:paraId="142397D6" w14:textId="77777777" w:rsidR="00EE2A0A" w:rsidRPr="00B02767" w:rsidRDefault="00EE2A0A" w:rsidP="00B02767">
      <w:pPr>
        <w:pStyle w:val="NormalWeb"/>
        <w:spacing w:line="360" w:lineRule="auto"/>
        <w:rPr>
          <w:rFonts w:ascii="Arial" w:hAnsi="Arial" w:cs="Arial"/>
          <w:sz w:val="22"/>
          <w:szCs w:val="22"/>
        </w:rPr>
      </w:pPr>
      <w:r w:rsidRPr="00B02767">
        <w:rPr>
          <w:rFonts w:ascii="Arial" w:hAnsi="Arial" w:cs="Arial"/>
          <w:sz w:val="22"/>
          <w:szCs w:val="22"/>
        </w:rPr>
        <w:t>Key requirements include:</w:t>
      </w:r>
    </w:p>
    <w:p w14:paraId="34849940" w14:textId="77777777" w:rsidR="00EE2A0A" w:rsidRPr="00B02767" w:rsidRDefault="00EE2A0A" w:rsidP="00B02767">
      <w:pPr>
        <w:pStyle w:val="NormalWeb"/>
        <w:numPr>
          <w:ilvl w:val="0"/>
          <w:numId w:val="1"/>
        </w:numPr>
        <w:spacing w:line="360" w:lineRule="auto"/>
        <w:rPr>
          <w:rFonts w:ascii="Arial" w:hAnsi="Arial" w:cs="Arial"/>
          <w:sz w:val="22"/>
          <w:szCs w:val="22"/>
        </w:rPr>
      </w:pPr>
      <w:r w:rsidRPr="00B02767">
        <w:rPr>
          <w:rFonts w:ascii="Arial" w:hAnsi="Arial" w:cs="Arial"/>
          <w:sz w:val="22"/>
          <w:szCs w:val="22"/>
        </w:rPr>
        <w:t>A balanced board with a mix of executive and independent non-executive directors.</w:t>
      </w:r>
    </w:p>
    <w:p w14:paraId="5DF8020B" w14:textId="77777777" w:rsidR="00EE2A0A" w:rsidRPr="00B02767" w:rsidRDefault="00EE2A0A" w:rsidP="00B02767">
      <w:pPr>
        <w:pStyle w:val="NormalWeb"/>
        <w:numPr>
          <w:ilvl w:val="0"/>
          <w:numId w:val="1"/>
        </w:numPr>
        <w:spacing w:line="360" w:lineRule="auto"/>
        <w:rPr>
          <w:rFonts w:ascii="Arial" w:hAnsi="Arial" w:cs="Arial"/>
          <w:sz w:val="22"/>
          <w:szCs w:val="22"/>
        </w:rPr>
      </w:pPr>
      <w:r w:rsidRPr="00B02767">
        <w:rPr>
          <w:rFonts w:ascii="Arial" w:hAnsi="Arial" w:cs="Arial"/>
          <w:sz w:val="22"/>
          <w:szCs w:val="22"/>
        </w:rPr>
        <w:t>Separate committees for audit, remuneration, and nominations.</w:t>
      </w:r>
    </w:p>
    <w:p w14:paraId="0E733904" w14:textId="77777777" w:rsidR="00EE2A0A" w:rsidRPr="00B02767" w:rsidRDefault="00EE2A0A" w:rsidP="00B02767">
      <w:pPr>
        <w:pStyle w:val="NormalWeb"/>
        <w:numPr>
          <w:ilvl w:val="0"/>
          <w:numId w:val="1"/>
        </w:numPr>
        <w:spacing w:line="360" w:lineRule="auto"/>
        <w:rPr>
          <w:rFonts w:ascii="Arial" w:hAnsi="Arial" w:cs="Arial"/>
          <w:sz w:val="22"/>
          <w:szCs w:val="22"/>
        </w:rPr>
      </w:pPr>
      <w:r w:rsidRPr="00B02767">
        <w:rPr>
          <w:rFonts w:ascii="Arial" w:hAnsi="Arial" w:cs="Arial"/>
          <w:sz w:val="22"/>
          <w:szCs w:val="22"/>
        </w:rPr>
        <w:t>Risk management frameworks and internal controls.</w:t>
      </w:r>
    </w:p>
    <w:p w14:paraId="12F48A20" w14:textId="42D758FA" w:rsidR="003C27A4" w:rsidRPr="003C27A4" w:rsidRDefault="00EE2A0A" w:rsidP="003C27A4">
      <w:pPr>
        <w:pStyle w:val="NormalWeb"/>
        <w:numPr>
          <w:ilvl w:val="0"/>
          <w:numId w:val="1"/>
        </w:numPr>
        <w:spacing w:line="360" w:lineRule="auto"/>
        <w:rPr>
          <w:rFonts w:ascii="Arial" w:hAnsi="Arial" w:cs="Arial"/>
          <w:sz w:val="22"/>
          <w:szCs w:val="22"/>
        </w:rPr>
      </w:pPr>
      <w:r w:rsidRPr="00B02767">
        <w:rPr>
          <w:rFonts w:ascii="Arial" w:hAnsi="Arial" w:cs="Arial"/>
          <w:sz w:val="22"/>
          <w:szCs w:val="22"/>
        </w:rPr>
        <w:t>Clear shareholder communication and reporting mechanisms.</w:t>
      </w:r>
    </w:p>
    <w:p w14:paraId="57A36719" w14:textId="27FA1B98" w:rsidR="00EE2A0A" w:rsidRDefault="00B02767" w:rsidP="00B02767">
      <w:pPr>
        <w:pStyle w:val="Heading2"/>
        <w:rPr>
          <w:rStyle w:val="Strong"/>
          <w:rFonts w:ascii="Arial" w:hAnsi="Arial" w:cs="Arial"/>
          <w:color w:val="auto"/>
          <w:sz w:val="22"/>
          <w:szCs w:val="22"/>
        </w:rPr>
      </w:pPr>
      <w:bookmarkStart w:id="5" w:name="_Toc201327593"/>
      <w:r w:rsidRPr="00B02767">
        <w:rPr>
          <w:rStyle w:val="Strong"/>
          <w:rFonts w:ascii="Arial" w:hAnsi="Arial" w:cs="Arial"/>
          <w:color w:val="auto"/>
          <w:sz w:val="22"/>
          <w:szCs w:val="22"/>
        </w:rPr>
        <w:t xml:space="preserve">2.1.2. </w:t>
      </w:r>
      <w:r w:rsidR="00EE2A0A" w:rsidRPr="00B02767">
        <w:rPr>
          <w:rStyle w:val="Strong"/>
          <w:rFonts w:ascii="Arial" w:hAnsi="Arial" w:cs="Arial"/>
          <w:color w:val="auto"/>
          <w:sz w:val="22"/>
          <w:szCs w:val="22"/>
        </w:rPr>
        <w:t>Agency Theory</w:t>
      </w:r>
      <w:bookmarkEnd w:id="5"/>
    </w:p>
    <w:p w14:paraId="6CB69DD4" w14:textId="294E2CBE" w:rsidR="00973645" w:rsidRDefault="00973645" w:rsidP="007D63A6">
      <w:pPr>
        <w:pStyle w:val="NormalWeb"/>
        <w:spacing w:line="360" w:lineRule="auto"/>
        <w:ind w:firstLine="720"/>
      </w:pPr>
      <w:r w:rsidRPr="00B02767">
        <w:rPr>
          <w:rFonts w:ascii="Arial" w:hAnsi="Arial" w:cs="Arial"/>
          <w:sz w:val="22"/>
          <w:szCs w:val="22"/>
        </w:rPr>
        <w:t>Agency theory</w:t>
      </w:r>
      <w:sdt>
        <w:sdtPr>
          <w:rPr>
            <w:rFonts w:ascii="Arial" w:hAnsi="Arial" w:cs="Arial"/>
            <w:sz w:val="22"/>
            <w:szCs w:val="22"/>
          </w:rPr>
          <w:id w:val="114501887"/>
          <w:citation/>
        </w:sdtPr>
        <w:sdtEndPr/>
        <w:sdtContent>
          <w:r w:rsidR="003731A8">
            <w:rPr>
              <w:rFonts w:ascii="Arial" w:hAnsi="Arial" w:cs="Arial"/>
              <w:sz w:val="22"/>
              <w:szCs w:val="22"/>
            </w:rPr>
            <w:fldChar w:fldCharType="begin"/>
          </w:r>
          <w:r w:rsidR="003731A8">
            <w:rPr>
              <w:rFonts w:ascii="Arial" w:hAnsi="Arial" w:cs="Arial"/>
              <w:sz w:val="22"/>
              <w:szCs w:val="22"/>
              <w:lang w:val="en-US"/>
            </w:rPr>
            <w:instrText xml:space="preserve"> CITATION Jen76 \l 1033 </w:instrText>
          </w:r>
          <w:r w:rsidR="003731A8">
            <w:rPr>
              <w:rFonts w:ascii="Arial" w:hAnsi="Arial" w:cs="Arial"/>
              <w:sz w:val="22"/>
              <w:szCs w:val="22"/>
            </w:rPr>
            <w:fldChar w:fldCharType="separate"/>
          </w:r>
          <w:r w:rsidR="00B0719A">
            <w:rPr>
              <w:rFonts w:ascii="Arial" w:hAnsi="Arial" w:cs="Arial"/>
              <w:noProof/>
              <w:sz w:val="22"/>
              <w:szCs w:val="22"/>
              <w:lang w:val="en-US"/>
            </w:rPr>
            <w:t xml:space="preserve"> </w:t>
          </w:r>
          <w:r w:rsidR="00B0719A" w:rsidRPr="00B0719A">
            <w:rPr>
              <w:rFonts w:ascii="Arial" w:hAnsi="Arial" w:cs="Arial"/>
              <w:noProof/>
              <w:sz w:val="22"/>
              <w:szCs w:val="22"/>
              <w:lang w:val="en-US"/>
            </w:rPr>
            <w:t>(Jensen, 1976)</w:t>
          </w:r>
          <w:r w:rsidR="003731A8">
            <w:rPr>
              <w:rFonts w:ascii="Arial" w:hAnsi="Arial" w:cs="Arial"/>
              <w:sz w:val="22"/>
              <w:szCs w:val="22"/>
            </w:rPr>
            <w:fldChar w:fldCharType="end"/>
          </w:r>
        </w:sdtContent>
      </w:sdt>
      <w:r w:rsidRPr="00B02767">
        <w:rPr>
          <w:rFonts w:ascii="Arial" w:hAnsi="Arial" w:cs="Arial"/>
          <w:sz w:val="22"/>
          <w:szCs w:val="22"/>
        </w:rPr>
        <w:t xml:space="preserve"> highlights conflicts between principals (shareholders) and agents (directors). In family-owned firms, these conflicts are minimal due to aligned interests. However, after public listing, external shareholders will control 70% of equity, increasing the risk of managerial opportunism, information asymmetry, and divergent</w:t>
      </w:r>
      <w:r w:rsidR="00772DA3">
        <w:rPr>
          <w:rFonts w:ascii="Arial" w:hAnsi="Arial" w:cs="Arial"/>
          <w:sz w:val="22"/>
          <w:szCs w:val="22"/>
        </w:rPr>
        <w:t xml:space="preserve"> </w:t>
      </w:r>
      <w:r w:rsidRPr="00B02767">
        <w:rPr>
          <w:rFonts w:ascii="Arial" w:hAnsi="Arial" w:cs="Arial"/>
          <w:sz w:val="22"/>
          <w:szCs w:val="22"/>
        </w:rPr>
        <w:lastRenderedPageBreak/>
        <w:t>incentives.</w:t>
      </w:r>
      <w:r w:rsidR="007D63A6" w:rsidRPr="007D63A6">
        <w:t xml:space="preserve"> </w:t>
      </w:r>
      <w:r w:rsidR="007D63A6">
        <w:rPr>
          <w:noProof/>
        </w:rPr>
        <w:drawing>
          <wp:inline distT="0" distB="0" distL="0" distR="0" wp14:anchorId="43E41B0C" wp14:editId="5961C7F9">
            <wp:extent cx="5057775" cy="2809626"/>
            <wp:effectExtent l="0" t="0" r="0" b="0"/>
            <wp:docPr id="3" name="Picture 3" descr="Agenc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ency Theo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68286" cy="2815465"/>
                    </a:xfrm>
                    <a:prstGeom prst="rect">
                      <a:avLst/>
                    </a:prstGeom>
                    <a:noFill/>
                    <a:ln>
                      <a:noFill/>
                    </a:ln>
                  </pic:spPr>
                </pic:pic>
              </a:graphicData>
            </a:graphic>
          </wp:inline>
        </w:drawing>
      </w:r>
    </w:p>
    <w:p w14:paraId="2B2685A5" w14:textId="35382180" w:rsidR="007D63A6" w:rsidRPr="007D63A6" w:rsidRDefault="007D63A6" w:rsidP="007D63A6">
      <w:pPr>
        <w:pStyle w:val="NormalWeb"/>
        <w:spacing w:line="360" w:lineRule="auto"/>
        <w:ind w:firstLine="720"/>
      </w:pPr>
      <w:r>
        <w:t xml:space="preserve">Source of </w:t>
      </w:r>
      <w:hyperlink r:id="rId10" w:history="1">
        <w:r w:rsidRPr="002F4197">
          <w:rPr>
            <w:rStyle w:val="Hyperlink"/>
          </w:rPr>
          <w:t>https://www.wallstreetmojo.com/agency-theory/</w:t>
        </w:r>
      </w:hyperlink>
    </w:p>
    <w:p w14:paraId="34D1C7ED" w14:textId="77777777" w:rsidR="00973645" w:rsidRPr="00B02767" w:rsidRDefault="00973645" w:rsidP="00973645">
      <w:pPr>
        <w:pStyle w:val="NormalWeb"/>
        <w:spacing w:line="360" w:lineRule="auto"/>
        <w:rPr>
          <w:rFonts w:ascii="Arial" w:hAnsi="Arial" w:cs="Arial"/>
          <w:sz w:val="22"/>
          <w:szCs w:val="22"/>
        </w:rPr>
      </w:pPr>
      <w:r w:rsidRPr="00B02767">
        <w:rPr>
          <w:rFonts w:ascii="Arial" w:hAnsi="Arial" w:cs="Arial"/>
          <w:sz w:val="22"/>
          <w:szCs w:val="22"/>
        </w:rPr>
        <w:t>Without proper governance, agency problems can manifest as:</w:t>
      </w:r>
    </w:p>
    <w:p w14:paraId="6EEF96F4" w14:textId="77777777" w:rsidR="00973645" w:rsidRPr="00B02767" w:rsidRDefault="00973645" w:rsidP="00973645">
      <w:pPr>
        <w:pStyle w:val="NormalWeb"/>
        <w:numPr>
          <w:ilvl w:val="0"/>
          <w:numId w:val="2"/>
        </w:numPr>
        <w:spacing w:line="360" w:lineRule="auto"/>
        <w:rPr>
          <w:rFonts w:ascii="Arial" w:hAnsi="Arial" w:cs="Arial"/>
          <w:sz w:val="22"/>
          <w:szCs w:val="22"/>
        </w:rPr>
      </w:pPr>
      <w:r w:rsidRPr="00B02767">
        <w:rPr>
          <w:rFonts w:ascii="Arial" w:hAnsi="Arial" w:cs="Arial"/>
          <w:sz w:val="22"/>
          <w:szCs w:val="22"/>
        </w:rPr>
        <w:t>Overinvestment in unprofitable projects.</w:t>
      </w:r>
    </w:p>
    <w:p w14:paraId="787EEFE5" w14:textId="77777777" w:rsidR="00973645" w:rsidRPr="00B02767" w:rsidRDefault="00973645" w:rsidP="00973645">
      <w:pPr>
        <w:pStyle w:val="NormalWeb"/>
        <w:numPr>
          <w:ilvl w:val="0"/>
          <w:numId w:val="2"/>
        </w:numPr>
        <w:spacing w:line="360" w:lineRule="auto"/>
        <w:rPr>
          <w:rFonts w:ascii="Arial" w:hAnsi="Arial" w:cs="Arial"/>
          <w:sz w:val="22"/>
          <w:szCs w:val="22"/>
        </w:rPr>
      </w:pPr>
      <w:r w:rsidRPr="00B02767">
        <w:rPr>
          <w:rFonts w:ascii="Arial" w:hAnsi="Arial" w:cs="Arial"/>
          <w:sz w:val="22"/>
          <w:szCs w:val="22"/>
        </w:rPr>
        <w:t>Retention of earnings instead of paying dividends.</w:t>
      </w:r>
    </w:p>
    <w:p w14:paraId="38C61BB4" w14:textId="77777777" w:rsidR="00973645" w:rsidRPr="00B02767" w:rsidRDefault="00973645" w:rsidP="00973645">
      <w:pPr>
        <w:pStyle w:val="NormalWeb"/>
        <w:numPr>
          <w:ilvl w:val="0"/>
          <w:numId w:val="2"/>
        </w:numPr>
        <w:spacing w:line="360" w:lineRule="auto"/>
        <w:rPr>
          <w:rFonts w:ascii="Arial" w:hAnsi="Arial" w:cs="Arial"/>
          <w:sz w:val="22"/>
          <w:szCs w:val="22"/>
        </w:rPr>
      </w:pPr>
      <w:r w:rsidRPr="00B02767">
        <w:rPr>
          <w:rFonts w:ascii="Arial" w:hAnsi="Arial" w:cs="Arial"/>
          <w:sz w:val="22"/>
          <w:szCs w:val="22"/>
        </w:rPr>
        <w:t>Excessive executive remuneration.</w:t>
      </w:r>
    </w:p>
    <w:p w14:paraId="41015F6D" w14:textId="03321A9F" w:rsidR="00973645" w:rsidRPr="00973645" w:rsidRDefault="00973645" w:rsidP="00973645">
      <w:pPr>
        <w:pStyle w:val="NormalWeb"/>
        <w:spacing w:line="360" w:lineRule="auto"/>
        <w:rPr>
          <w:rFonts w:ascii="Arial" w:hAnsi="Arial" w:cs="Arial"/>
          <w:sz w:val="22"/>
          <w:szCs w:val="22"/>
        </w:rPr>
      </w:pPr>
      <w:r w:rsidRPr="00B02767">
        <w:rPr>
          <w:rFonts w:ascii="Arial" w:hAnsi="Arial" w:cs="Arial"/>
          <w:sz w:val="22"/>
          <w:szCs w:val="22"/>
        </w:rPr>
        <w:t>Corporate governance mechanisms</w:t>
      </w:r>
      <w:r>
        <w:rPr>
          <w:rFonts w:ascii="Arial" w:hAnsi="Arial" w:cs="Arial"/>
          <w:sz w:val="22"/>
          <w:szCs w:val="22"/>
        </w:rPr>
        <w:t>-</w:t>
      </w:r>
      <w:r w:rsidRPr="00B02767">
        <w:rPr>
          <w:rFonts w:ascii="Arial" w:hAnsi="Arial" w:cs="Arial"/>
          <w:sz w:val="22"/>
          <w:szCs w:val="22"/>
        </w:rPr>
        <w:t>such as independent directors, performance-linked pay, and transparent reporting</w:t>
      </w:r>
      <w:r>
        <w:rPr>
          <w:rFonts w:ascii="Arial" w:hAnsi="Arial" w:cs="Arial"/>
          <w:sz w:val="22"/>
          <w:szCs w:val="22"/>
        </w:rPr>
        <w:t>-</w:t>
      </w:r>
      <w:r w:rsidRPr="00B02767">
        <w:rPr>
          <w:rFonts w:ascii="Arial" w:hAnsi="Arial" w:cs="Arial"/>
          <w:sz w:val="22"/>
          <w:szCs w:val="22"/>
        </w:rPr>
        <w:t>mitigate agency costs</w:t>
      </w:r>
      <w:sdt>
        <w:sdtPr>
          <w:rPr>
            <w:rFonts w:ascii="Arial" w:hAnsi="Arial" w:cs="Arial"/>
            <w:sz w:val="22"/>
            <w:szCs w:val="22"/>
          </w:rPr>
          <w:id w:val="-2111660289"/>
          <w:citation/>
        </w:sdtPr>
        <w:sdtEndPr/>
        <w:sdtContent>
          <w:r w:rsidR="00456568">
            <w:rPr>
              <w:rFonts w:ascii="Arial" w:hAnsi="Arial" w:cs="Arial"/>
              <w:sz w:val="22"/>
              <w:szCs w:val="22"/>
            </w:rPr>
            <w:fldChar w:fldCharType="begin"/>
          </w:r>
          <w:r w:rsidR="00456568">
            <w:rPr>
              <w:rFonts w:ascii="Arial" w:hAnsi="Arial" w:cs="Arial"/>
              <w:sz w:val="22"/>
              <w:szCs w:val="22"/>
              <w:lang w:val="en-US"/>
            </w:rPr>
            <w:instrText xml:space="preserve"> CITATION Shl97 \l 1033 </w:instrText>
          </w:r>
          <w:r w:rsidR="00456568">
            <w:rPr>
              <w:rFonts w:ascii="Arial" w:hAnsi="Arial" w:cs="Arial"/>
              <w:sz w:val="22"/>
              <w:szCs w:val="22"/>
            </w:rPr>
            <w:fldChar w:fldCharType="separate"/>
          </w:r>
          <w:r w:rsidR="00B0719A">
            <w:rPr>
              <w:rFonts w:ascii="Arial" w:hAnsi="Arial" w:cs="Arial"/>
              <w:noProof/>
              <w:sz w:val="22"/>
              <w:szCs w:val="22"/>
              <w:lang w:val="en-US"/>
            </w:rPr>
            <w:t xml:space="preserve"> </w:t>
          </w:r>
          <w:r w:rsidR="00B0719A" w:rsidRPr="00B0719A">
            <w:rPr>
              <w:rFonts w:ascii="Arial" w:hAnsi="Arial" w:cs="Arial"/>
              <w:noProof/>
              <w:sz w:val="22"/>
              <w:szCs w:val="22"/>
              <w:lang w:val="en-US"/>
            </w:rPr>
            <w:t>(Shleifer, 1997)</w:t>
          </w:r>
          <w:r w:rsidR="00456568">
            <w:rPr>
              <w:rFonts w:ascii="Arial" w:hAnsi="Arial" w:cs="Arial"/>
              <w:sz w:val="22"/>
              <w:szCs w:val="22"/>
            </w:rPr>
            <w:fldChar w:fldCharType="end"/>
          </w:r>
        </w:sdtContent>
      </w:sdt>
      <w:r w:rsidR="00456568">
        <w:rPr>
          <w:rFonts w:ascii="Arial" w:hAnsi="Arial" w:cs="Arial"/>
          <w:sz w:val="22"/>
          <w:szCs w:val="22"/>
        </w:rPr>
        <w:t>.</w:t>
      </w:r>
    </w:p>
    <w:p w14:paraId="6594E325" w14:textId="4F87B909" w:rsidR="00484269" w:rsidRDefault="00484269" w:rsidP="00484269">
      <w:pPr>
        <w:spacing w:before="100" w:beforeAutospacing="1" w:after="100" w:afterAutospacing="1" w:line="360" w:lineRule="auto"/>
        <w:ind w:firstLine="720"/>
        <w:rPr>
          <w:rFonts w:ascii="Arial" w:eastAsia="Times New Roman" w:hAnsi="Arial" w:cs="Arial"/>
          <w:lang w:eastAsia="en-GB"/>
        </w:rPr>
      </w:pPr>
      <w:r w:rsidRPr="00AB0D7C">
        <w:rPr>
          <w:rFonts w:ascii="Arial" w:eastAsia="Times New Roman" w:hAnsi="Arial" w:cs="Arial"/>
          <w:lang w:eastAsia="en-GB"/>
        </w:rPr>
        <w:t xml:space="preserve">This divergence often leads to a </w:t>
      </w:r>
      <w:r w:rsidRPr="00AB0D7C">
        <w:rPr>
          <w:rFonts w:ascii="Arial" w:eastAsia="Times New Roman" w:hAnsi="Arial" w:cs="Arial"/>
          <w:b/>
          <w:bCs/>
          <w:lang w:eastAsia="en-GB"/>
        </w:rPr>
        <w:t>values conflict</w:t>
      </w:r>
      <w:r w:rsidRPr="00AB0D7C">
        <w:rPr>
          <w:rFonts w:ascii="Arial" w:eastAsia="Times New Roman" w:hAnsi="Arial" w:cs="Arial"/>
          <w:lang w:eastAsia="en-GB"/>
        </w:rPr>
        <w:t xml:space="preserve"> between owners and managers. Shareholders tend to emphasise efficiency, financial performance, and strict accountability, whereas managers and employees often value operational autonomy, innovation, and flexibility. For example, shareholders may impose </w:t>
      </w:r>
      <w:r w:rsidRPr="00AB0D7C">
        <w:rPr>
          <w:rFonts w:ascii="Arial" w:eastAsia="Times New Roman" w:hAnsi="Arial" w:cs="Arial"/>
          <w:b/>
          <w:bCs/>
          <w:lang w:eastAsia="en-GB"/>
        </w:rPr>
        <w:t>performance-based incentive contracts</w:t>
      </w:r>
      <w:r w:rsidRPr="00AB0D7C">
        <w:rPr>
          <w:rFonts w:ascii="Arial" w:eastAsia="Times New Roman" w:hAnsi="Arial" w:cs="Arial"/>
          <w:lang w:eastAsia="en-GB"/>
        </w:rPr>
        <w:t xml:space="preserve"> to align managerial efforts with company profitability. However, managers may view such measures as restrictive, arguing that creative and innovative contributions are stifled when managerial freedom is curtailed by narrowly defined financial targets </w:t>
      </w:r>
      <w:sdt>
        <w:sdtPr>
          <w:rPr>
            <w:rFonts w:ascii="Arial" w:eastAsia="Times New Roman" w:hAnsi="Arial" w:cs="Arial"/>
            <w:lang w:eastAsia="en-GB"/>
          </w:rPr>
          <w:id w:val="1939873860"/>
          <w:citation/>
        </w:sdtPr>
        <w:sdtEndPr/>
        <w:sdtContent>
          <w:r w:rsidR="008243A4">
            <w:rPr>
              <w:rFonts w:ascii="Arial" w:eastAsia="Times New Roman" w:hAnsi="Arial" w:cs="Arial"/>
              <w:lang w:eastAsia="en-GB"/>
            </w:rPr>
            <w:fldChar w:fldCharType="begin"/>
          </w:r>
          <w:r w:rsidR="008243A4">
            <w:rPr>
              <w:rFonts w:ascii="Arial" w:eastAsia="Times New Roman" w:hAnsi="Arial" w:cs="Arial"/>
              <w:lang w:val="en-US" w:eastAsia="en-GB"/>
            </w:rPr>
            <w:instrText xml:space="preserve"> CITATION Beb04 \l 1033 </w:instrText>
          </w:r>
          <w:r w:rsidR="008243A4">
            <w:rPr>
              <w:rFonts w:ascii="Arial" w:eastAsia="Times New Roman" w:hAnsi="Arial" w:cs="Arial"/>
              <w:lang w:eastAsia="en-GB"/>
            </w:rPr>
            <w:fldChar w:fldCharType="separate"/>
          </w:r>
          <w:r w:rsidR="00B0719A" w:rsidRPr="00B0719A">
            <w:rPr>
              <w:rFonts w:ascii="Arial" w:eastAsia="Times New Roman" w:hAnsi="Arial" w:cs="Arial"/>
              <w:noProof/>
              <w:lang w:val="en-US" w:eastAsia="en-GB"/>
            </w:rPr>
            <w:t>(Bebchuk, 2004)</w:t>
          </w:r>
          <w:r w:rsidR="008243A4">
            <w:rPr>
              <w:rFonts w:ascii="Arial" w:eastAsia="Times New Roman" w:hAnsi="Arial" w:cs="Arial"/>
              <w:lang w:eastAsia="en-GB"/>
            </w:rPr>
            <w:fldChar w:fldCharType="end"/>
          </w:r>
        </w:sdtContent>
      </w:sdt>
      <w:r w:rsidR="00456568">
        <w:rPr>
          <w:rFonts w:ascii="Arial" w:eastAsia="Times New Roman" w:hAnsi="Arial" w:cs="Arial"/>
          <w:lang w:eastAsia="en-GB"/>
        </w:rPr>
        <w:t>.</w:t>
      </w:r>
    </w:p>
    <w:p w14:paraId="0F1F4EFF" w14:textId="5A7D539A" w:rsidR="007D63A6" w:rsidRDefault="007D63A6" w:rsidP="00484269">
      <w:pPr>
        <w:spacing w:before="100" w:beforeAutospacing="1" w:after="100" w:afterAutospacing="1" w:line="360" w:lineRule="auto"/>
        <w:ind w:firstLine="720"/>
        <w:rPr>
          <w:rFonts w:ascii="Arial" w:eastAsia="Times New Roman" w:hAnsi="Arial" w:cs="Arial"/>
          <w:lang w:eastAsia="en-GB"/>
        </w:rPr>
      </w:pPr>
    </w:p>
    <w:p w14:paraId="14FD1131" w14:textId="77777777" w:rsidR="003C27A4" w:rsidRPr="00254F13" w:rsidRDefault="003C27A4" w:rsidP="00484269">
      <w:pPr>
        <w:spacing w:before="100" w:beforeAutospacing="1" w:after="100" w:afterAutospacing="1" w:line="360" w:lineRule="auto"/>
        <w:ind w:firstLine="720"/>
        <w:rPr>
          <w:rFonts w:ascii="Arial" w:eastAsia="Times New Roman" w:hAnsi="Arial" w:cs="Arial"/>
          <w:lang w:eastAsia="en-GB"/>
        </w:rPr>
      </w:pPr>
    </w:p>
    <w:p w14:paraId="68271DBD" w14:textId="3EC5CA62" w:rsidR="00254F13" w:rsidRPr="00254F13" w:rsidRDefault="00254F13" w:rsidP="00CD33A7">
      <w:pPr>
        <w:pStyle w:val="Heading1"/>
        <w:numPr>
          <w:ilvl w:val="1"/>
          <w:numId w:val="6"/>
        </w:numPr>
        <w:rPr>
          <w:rFonts w:ascii="Arial" w:hAnsi="Arial" w:cs="Arial"/>
          <w:b/>
          <w:bCs/>
          <w:sz w:val="28"/>
          <w:szCs w:val="28"/>
        </w:rPr>
      </w:pPr>
      <w:bookmarkStart w:id="6" w:name="_Toc201327594"/>
      <w:r w:rsidRPr="00254F13">
        <w:rPr>
          <w:rFonts w:ascii="Arial" w:hAnsi="Arial" w:cs="Arial"/>
          <w:b/>
          <w:bCs/>
          <w:color w:val="auto"/>
          <w:sz w:val="28"/>
          <w:szCs w:val="28"/>
        </w:rPr>
        <w:lastRenderedPageBreak/>
        <w:t>B. Retaining Strategic Control with 30% Shareholding</w:t>
      </w:r>
      <w:bookmarkEnd w:id="6"/>
    </w:p>
    <w:p w14:paraId="18AB9FA2" w14:textId="77777777" w:rsidR="00254F13" w:rsidRPr="00CD33A7" w:rsidRDefault="00254F13" w:rsidP="00CD33A7">
      <w:pPr>
        <w:pStyle w:val="NormalWeb"/>
        <w:spacing w:line="360" w:lineRule="auto"/>
        <w:ind w:firstLine="720"/>
        <w:rPr>
          <w:rFonts w:ascii="Arial" w:hAnsi="Arial" w:cs="Arial"/>
          <w:sz w:val="22"/>
          <w:szCs w:val="22"/>
        </w:rPr>
      </w:pPr>
      <w:r w:rsidRPr="00CD33A7">
        <w:rPr>
          <w:rFonts w:ascii="Arial" w:hAnsi="Arial" w:cs="Arial"/>
          <w:sz w:val="22"/>
          <w:szCs w:val="22"/>
        </w:rPr>
        <w:t>After dilution to 30%, the family must implement mechanisms to maintain strategic influence without majority ownership.</w:t>
      </w:r>
    </w:p>
    <w:p w14:paraId="0B17D682" w14:textId="4CBCE8A2" w:rsidR="00254F13" w:rsidRPr="007D63A6" w:rsidRDefault="00254F13" w:rsidP="00CD33A7">
      <w:pPr>
        <w:pStyle w:val="Heading2"/>
        <w:numPr>
          <w:ilvl w:val="2"/>
          <w:numId w:val="6"/>
        </w:numPr>
        <w:rPr>
          <w:rFonts w:ascii="Arial" w:hAnsi="Arial" w:cs="Arial"/>
          <w:color w:val="auto"/>
          <w:sz w:val="24"/>
          <w:szCs w:val="24"/>
        </w:rPr>
      </w:pPr>
      <w:bookmarkStart w:id="7" w:name="_Toc201327595"/>
      <w:r w:rsidRPr="007D63A6">
        <w:rPr>
          <w:rStyle w:val="Strong"/>
          <w:rFonts w:ascii="Arial" w:hAnsi="Arial" w:cs="Arial"/>
          <w:color w:val="auto"/>
          <w:sz w:val="24"/>
          <w:szCs w:val="24"/>
        </w:rPr>
        <w:t>Dual-Class Share Structure</w:t>
      </w:r>
      <w:bookmarkEnd w:id="7"/>
    </w:p>
    <w:p w14:paraId="22F3A434" w14:textId="662A77C1" w:rsidR="00856601" w:rsidRDefault="00254F13" w:rsidP="00856601">
      <w:pPr>
        <w:pStyle w:val="NormalWeb"/>
        <w:spacing w:line="360" w:lineRule="auto"/>
        <w:ind w:firstLine="720"/>
        <w:rPr>
          <w:noProof/>
        </w:rPr>
      </w:pPr>
      <w:r w:rsidRPr="00CD33A7">
        <w:rPr>
          <w:rFonts w:ascii="Arial" w:hAnsi="Arial" w:cs="Arial"/>
          <w:sz w:val="22"/>
          <w:szCs w:val="22"/>
        </w:rPr>
        <w:t xml:space="preserve">Dual-class shares give disproportionate voting rights to specific share classes. For example, family-held A-shares could have 10 votes per share, while publicly held B-shares carry one. This structure is permissible on AIM </w:t>
      </w:r>
      <w:sdt>
        <w:sdtPr>
          <w:rPr>
            <w:rFonts w:ascii="Arial" w:hAnsi="Arial" w:cs="Arial"/>
            <w:sz w:val="22"/>
            <w:szCs w:val="22"/>
          </w:rPr>
          <w:id w:val="-1168244638"/>
          <w:citation/>
        </w:sdtPr>
        <w:sdtEndPr/>
        <w:sdtContent>
          <w:r w:rsidR="00456568">
            <w:rPr>
              <w:rFonts w:ascii="Arial" w:hAnsi="Arial" w:cs="Arial"/>
              <w:sz w:val="22"/>
              <w:szCs w:val="22"/>
            </w:rPr>
            <w:fldChar w:fldCharType="begin"/>
          </w:r>
          <w:r w:rsidR="00456568">
            <w:rPr>
              <w:rFonts w:ascii="Arial" w:hAnsi="Arial" w:cs="Arial"/>
              <w:sz w:val="22"/>
              <w:szCs w:val="22"/>
              <w:lang w:val="en-US"/>
            </w:rPr>
            <w:instrText xml:space="preserve"> CITATION LSE23 \l 1033 </w:instrText>
          </w:r>
          <w:r w:rsidR="00456568">
            <w:rPr>
              <w:rFonts w:ascii="Arial" w:hAnsi="Arial" w:cs="Arial"/>
              <w:sz w:val="22"/>
              <w:szCs w:val="22"/>
            </w:rPr>
            <w:fldChar w:fldCharType="separate"/>
          </w:r>
          <w:r w:rsidR="00B0719A" w:rsidRPr="00B0719A">
            <w:rPr>
              <w:rFonts w:ascii="Arial" w:hAnsi="Arial" w:cs="Arial"/>
              <w:noProof/>
              <w:sz w:val="22"/>
              <w:szCs w:val="22"/>
              <w:lang w:val="en-US"/>
            </w:rPr>
            <w:t>(LSE, 2023)</w:t>
          </w:r>
          <w:r w:rsidR="00456568">
            <w:rPr>
              <w:rFonts w:ascii="Arial" w:hAnsi="Arial" w:cs="Arial"/>
              <w:sz w:val="22"/>
              <w:szCs w:val="22"/>
            </w:rPr>
            <w:fldChar w:fldCharType="end"/>
          </w:r>
        </w:sdtContent>
      </w:sdt>
      <w:r w:rsidR="00456568">
        <w:rPr>
          <w:rFonts w:ascii="Arial" w:hAnsi="Arial" w:cs="Arial"/>
          <w:sz w:val="22"/>
          <w:szCs w:val="22"/>
        </w:rPr>
        <w:t xml:space="preserve"> </w:t>
      </w:r>
      <w:r w:rsidRPr="00CD33A7">
        <w:rPr>
          <w:rFonts w:ascii="Arial" w:hAnsi="Arial" w:cs="Arial"/>
          <w:sz w:val="22"/>
          <w:szCs w:val="22"/>
        </w:rPr>
        <w:t>and has been successfully used by companies like Meta and Alphabet.</w:t>
      </w:r>
      <w:r w:rsidR="00B76C4E" w:rsidRPr="00B76C4E">
        <w:rPr>
          <w:noProof/>
        </w:rPr>
        <w:t xml:space="preserve"> </w:t>
      </w:r>
    </w:p>
    <w:p w14:paraId="77EF2A31" w14:textId="77777777" w:rsidR="00856601" w:rsidRPr="00CD33A7" w:rsidRDefault="00856601" w:rsidP="00856601">
      <w:pPr>
        <w:pStyle w:val="NormalWeb"/>
        <w:spacing w:line="360" w:lineRule="auto"/>
        <w:rPr>
          <w:rFonts w:ascii="Arial" w:hAnsi="Arial" w:cs="Arial"/>
          <w:sz w:val="22"/>
          <w:szCs w:val="22"/>
        </w:rPr>
      </w:pPr>
      <w:r w:rsidRPr="00CD33A7">
        <w:rPr>
          <w:rFonts w:ascii="Arial" w:hAnsi="Arial" w:cs="Arial"/>
          <w:sz w:val="22"/>
          <w:szCs w:val="22"/>
        </w:rPr>
        <w:t>Advantages:</w:t>
      </w:r>
    </w:p>
    <w:p w14:paraId="2D3288B2" w14:textId="77777777" w:rsidR="00856601" w:rsidRPr="00CD33A7" w:rsidRDefault="00856601" w:rsidP="00856601">
      <w:pPr>
        <w:pStyle w:val="NormalWeb"/>
        <w:numPr>
          <w:ilvl w:val="0"/>
          <w:numId w:val="4"/>
        </w:numPr>
        <w:spacing w:line="360" w:lineRule="auto"/>
        <w:rPr>
          <w:rFonts w:ascii="Arial" w:hAnsi="Arial" w:cs="Arial"/>
          <w:sz w:val="22"/>
          <w:szCs w:val="22"/>
        </w:rPr>
      </w:pPr>
      <w:r w:rsidRPr="00CD33A7">
        <w:rPr>
          <w:rFonts w:ascii="Arial" w:hAnsi="Arial" w:cs="Arial"/>
          <w:sz w:val="22"/>
          <w:szCs w:val="22"/>
        </w:rPr>
        <w:t>Retains control over major decisions.</w:t>
      </w:r>
    </w:p>
    <w:p w14:paraId="06B2E7EA" w14:textId="77777777" w:rsidR="00856601" w:rsidRPr="00CD33A7" w:rsidRDefault="00856601" w:rsidP="00856601">
      <w:pPr>
        <w:pStyle w:val="NormalWeb"/>
        <w:numPr>
          <w:ilvl w:val="0"/>
          <w:numId w:val="4"/>
        </w:numPr>
        <w:spacing w:line="360" w:lineRule="auto"/>
        <w:rPr>
          <w:rFonts w:ascii="Arial" w:hAnsi="Arial" w:cs="Arial"/>
          <w:sz w:val="22"/>
          <w:szCs w:val="22"/>
        </w:rPr>
      </w:pPr>
      <w:r w:rsidRPr="00CD33A7">
        <w:rPr>
          <w:rFonts w:ascii="Arial" w:hAnsi="Arial" w:cs="Arial"/>
          <w:sz w:val="22"/>
          <w:szCs w:val="22"/>
        </w:rPr>
        <w:t>Attracts investors focused on financial returns rather than strategic input.</w:t>
      </w:r>
    </w:p>
    <w:p w14:paraId="2C8CE5BC" w14:textId="4495FA7E" w:rsidR="00254F13" w:rsidRDefault="00B76C4E" w:rsidP="00BA4792">
      <w:pPr>
        <w:pStyle w:val="NormalWeb"/>
        <w:spacing w:line="360" w:lineRule="auto"/>
        <w:ind w:firstLine="720"/>
        <w:rPr>
          <w:rFonts w:ascii="Arial" w:hAnsi="Arial" w:cs="Arial"/>
          <w:sz w:val="22"/>
          <w:szCs w:val="22"/>
        </w:rPr>
      </w:pPr>
      <w:r>
        <w:rPr>
          <w:noProof/>
        </w:rPr>
        <w:drawing>
          <wp:inline distT="0" distB="0" distL="0" distR="0" wp14:anchorId="1EA95874" wp14:editId="5586B044">
            <wp:extent cx="4381500" cy="24413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92564" cy="2447550"/>
                    </a:xfrm>
                    <a:prstGeom prst="rect">
                      <a:avLst/>
                    </a:prstGeom>
                  </pic:spPr>
                </pic:pic>
              </a:graphicData>
            </a:graphic>
          </wp:inline>
        </w:drawing>
      </w:r>
    </w:p>
    <w:p w14:paraId="34A3F858" w14:textId="09D78D27" w:rsidR="008243A4" w:rsidRDefault="008243A4" w:rsidP="008243A4">
      <w:pPr>
        <w:pStyle w:val="NormalWeb"/>
        <w:spacing w:line="360" w:lineRule="auto"/>
        <w:ind w:firstLine="720"/>
        <w:rPr>
          <w:rFonts w:ascii="Arial" w:hAnsi="Arial" w:cs="Arial"/>
          <w:sz w:val="22"/>
          <w:szCs w:val="22"/>
        </w:rPr>
      </w:pPr>
      <w:r>
        <w:rPr>
          <w:rFonts w:ascii="Arial" w:hAnsi="Arial" w:cs="Arial"/>
          <w:sz w:val="22"/>
          <w:szCs w:val="22"/>
        </w:rPr>
        <w:t xml:space="preserve">Source of </w:t>
      </w:r>
      <w:hyperlink r:id="rId12" w:history="1">
        <w:r w:rsidRPr="002F4197">
          <w:rPr>
            <w:rStyle w:val="Hyperlink"/>
            <w:rFonts w:ascii="Arial" w:hAnsi="Arial" w:cs="Arial"/>
            <w:sz w:val="22"/>
            <w:szCs w:val="22"/>
          </w:rPr>
          <w:t>https://fastercapital.com/content/Dual-Class-Shares--A-Closer-Look-at-B-Shares-in-Dual-Class-Structures.html</w:t>
        </w:r>
      </w:hyperlink>
    </w:p>
    <w:p w14:paraId="55D524F9" w14:textId="0921CACE" w:rsidR="008243A4" w:rsidRDefault="00856601" w:rsidP="00950571">
      <w:pPr>
        <w:pStyle w:val="NormalWeb"/>
        <w:spacing w:line="360" w:lineRule="auto"/>
        <w:ind w:firstLine="720"/>
        <w:rPr>
          <w:rFonts w:ascii="Arial" w:hAnsi="Arial" w:cs="Arial"/>
          <w:sz w:val="22"/>
          <w:szCs w:val="22"/>
        </w:rPr>
      </w:pPr>
      <w:r w:rsidRPr="007D63A6">
        <w:rPr>
          <w:rFonts w:ascii="Arial" w:hAnsi="Arial" w:cs="Arial"/>
          <w:sz w:val="22"/>
          <w:szCs w:val="22"/>
        </w:rPr>
        <w:t>When investing in equities, it is important to be aware of the various types of shares that companies may offer. One structure gaining popularity</w:t>
      </w:r>
      <w:r w:rsidR="008243A4">
        <w:rPr>
          <w:rFonts w:ascii="Arial" w:hAnsi="Arial" w:cs="Arial"/>
          <w:sz w:val="22"/>
          <w:szCs w:val="22"/>
        </w:rPr>
        <w:t>-</w:t>
      </w:r>
      <w:r w:rsidRPr="007D63A6">
        <w:rPr>
          <w:rFonts w:ascii="Arial" w:hAnsi="Arial" w:cs="Arial"/>
          <w:sz w:val="22"/>
          <w:szCs w:val="22"/>
        </w:rPr>
        <w:t>particularly among technology firms</w:t>
      </w:r>
      <w:r w:rsidR="00950571" w:rsidRPr="007D63A6">
        <w:rPr>
          <w:rFonts w:ascii="Arial" w:hAnsi="Arial" w:cs="Arial"/>
          <w:sz w:val="22"/>
          <w:szCs w:val="22"/>
        </w:rPr>
        <w:t>-</w:t>
      </w:r>
      <w:r w:rsidRPr="007D63A6">
        <w:rPr>
          <w:rFonts w:ascii="Arial" w:hAnsi="Arial" w:cs="Arial"/>
          <w:sz w:val="22"/>
          <w:szCs w:val="22"/>
        </w:rPr>
        <w:t xml:space="preserve">is the </w:t>
      </w:r>
      <w:r w:rsidRPr="007D63A6">
        <w:rPr>
          <w:rStyle w:val="Strong"/>
          <w:rFonts w:ascii="Arial" w:hAnsi="Arial" w:cs="Arial"/>
          <w:sz w:val="22"/>
          <w:szCs w:val="22"/>
        </w:rPr>
        <w:t>dual-class share structure</w:t>
      </w:r>
      <w:r w:rsidRPr="007D63A6">
        <w:rPr>
          <w:rFonts w:ascii="Arial" w:hAnsi="Arial" w:cs="Arial"/>
          <w:sz w:val="22"/>
          <w:szCs w:val="22"/>
        </w:rPr>
        <w:t xml:space="preserve">. This involves the issuance of two distinct classes of shares, commonly labelled as </w:t>
      </w:r>
      <w:r w:rsidRPr="007D63A6">
        <w:rPr>
          <w:rStyle w:val="Strong"/>
          <w:rFonts w:ascii="Arial" w:hAnsi="Arial" w:cs="Arial"/>
          <w:sz w:val="22"/>
          <w:szCs w:val="22"/>
        </w:rPr>
        <w:t>Class A and Class B</w:t>
      </w:r>
      <w:r w:rsidRPr="007D63A6">
        <w:rPr>
          <w:rFonts w:ascii="Arial" w:hAnsi="Arial" w:cs="Arial"/>
          <w:sz w:val="22"/>
          <w:szCs w:val="22"/>
        </w:rPr>
        <w:t xml:space="preserve">. </w:t>
      </w:r>
    </w:p>
    <w:p w14:paraId="7EE3C9A5" w14:textId="36A0E745" w:rsidR="00B76C4E" w:rsidRPr="007D63A6" w:rsidRDefault="00856601" w:rsidP="00950571">
      <w:pPr>
        <w:pStyle w:val="NormalWeb"/>
        <w:spacing w:line="360" w:lineRule="auto"/>
        <w:ind w:firstLine="720"/>
        <w:rPr>
          <w:rFonts w:ascii="Arial" w:hAnsi="Arial" w:cs="Arial"/>
          <w:sz w:val="22"/>
          <w:szCs w:val="22"/>
        </w:rPr>
      </w:pPr>
      <w:r w:rsidRPr="007D63A6">
        <w:rPr>
          <w:rFonts w:ascii="Arial" w:hAnsi="Arial" w:cs="Arial"/>
          <w:sz w:val="22"/>
          <w:szCs w:val="22"/>
        </w:rPr>
        <w:t xml:space="preserve">Typically, </w:t>
      </w:r>
      <w:r w:rsidRPr="007D63A6">
        <w:rPr>
          <w:rStyle w:val="Strong"/>
          <w:rFonts w:ascii="Arial" w:hAnsi="Arial" w:cs="Arial"/>
          <w:sz w:val="22"/>
          <w:szCs w:val="22"/>
        </w:rPr>
        <w:t>Class A shares</w:t>
      </w:r>
      <w:r w:rsidRPr="007D63A6">
        <w:rPr>
          <w:rFonts w:ascii="Arial" w:hAnsi="Arial" w:cs="Arial"/>
          <w:sz w:val="22"/>
          <w:szCs w:val="22"/>
        </w:rPr>
        <w:t xml:space="preserve"> are available to public investors and carry limited voting rights, whereas </w:t>
      </w:r>
      <w:r w:rsidRPr="007D63A6">
        <w:rPr>
          <w:rStyle w:val="Strong"/>
          <w:rFonts w:ascii="Arial" w:hAnsi="Arial" w:cs="Arial"/>
          <w:sz w:val="22"/>
          <w:szCs w:val="22"/>
        </w:rPr>
        <w:t>Class B shares</w:t>
      </w:r>
      <w:r w:rsidRPr="007D63A6">
        <w:rPr>
          <w:rFonts w:ascii="Arial" w:hAnsi="Arial" w:cs="Arial"/>
          <w:sz w:val="22"/>
          <w:szCs w:val="22"/>
        </w:rPr>
        <w:t xml:space="preserve"> are often retained by company founders, executives, or insiders and provide enhanced voting power. This section explores the key attributes and </w:t>
      </w:r>
      <w:r w:rsidRPr="007D63A6">
        <w:rPr>
          <w:rFonts w:ascii="Arial" w:hAnsi="Arial" w:cs="Arial"/>
          <w:sz w:val="22"/>
          <w:szCs w:val="22"/>
        </w:rPr>
        <w:lastRenderedPageBreak/>
        <w:t xml:space="preserve">differences between these share classes, focusing on aspects such as </w:t>
      </w:r>
      <w:r w:rsidRPr="007D63A6">
        <w:rPr>
          <w:rStyle w:val="Strong"/>
          <w:rFonts w:ascii="Arial" w:hAnsi="Arial" w:cs="Arial"/>
          <w:b w:val="0"/>
          <w:bCs w:val="0"/>
          <w:sz w:val="22"/>
          <w:szCs w:val="22"/>
        </w:rPr>
        <w:t>voting rights, dividend entitlements, liquidity, and</w:t>
      </w:r>
      <w:r w:rsidRPr="007D63A6">
        <w:rPr>
          <w:rStyle w:val="Strong"/>
          <w:rFonts w:ascii="Arial" w:hAnsi="Arial" w:cs="Arial"/>
          <w:sz w:val="22"/>
          <w:szCs w:val="22"/>
        </w:rPr>
        <w:t xml:space="preserve"> </w:t>
      </w:r>
      <w:r w:rsidRPr="007D63A6">
        <w:rPr>
          <w:rStyle w:val="Strong"/>
          <w:rFonts w:ascii="Arial" w:hAnsi="Arial" w:cs="Arial"/>
          <w:b w:val="0"/>
          <w:bCs w:val="0"/>
          <w:sz w:val="22"/>
          <w:szCs w:val="22"/>
        </w:rPr>
        <w:t>market pricing</w:t>
      </w:r>
      <w:r w:rsidRPr="007D63A6">
        <w:rPr>
          <w:rFonts w:ascii="Arial" w:hAnsi="Arial" w:cs="Arial"/>
          <w:b/>
          <w:bCs/>
          <w:sz w:val="22"/>
          <w:szCs w:val="22"/>
        </w:rPr>
        <w:t>.</w:t>
      </w:r>
      <w:r w:rsidRPr="007D63A6">
        <w:rPr>
          <w:rFonts w:ascii="Arial" w:hAnsi="Arial" w:cs="Arial"/>
          <w:sz w:val="22"/>
          <w:szCs w:val="22"/>
        </w:rPr>
        <w:t xml:space="preserve"> Understanding these elements is crucial for shaping an effective investment strategy and ensuring alignment with your financial goals and risk tolerance.</w:t>
      </w:r>
    </w:p>
    <w:p w14:paraId="1AAFBC56" w14:textId="43180F60" w:rsidR="00254F13" w:rsidRPr="003C27A4" w:rsidRDefault="00254F13" w:rsidP="003C27A4">
      <w:pPr>
        <w:pStyle w:val="Heading2"/>
        <w:numPr>
          <w:ilvl w:val="2"/>
          <w:numId w:val="6"/>
        </w:numPr>
        <w:spacing w:line="360" w:lineRule="auto"/>
        <w:rPr>
          <w:rStyle w:val="Strong"/>
          <w:rFonts w:ascii="Arial" w:hAnsi="Arial" w:cs="Arial"/>
          <w:color w:val="auto"/>
          <w:sz w:val="24"/>
          <w:szCs w:val="24"/>
        </w:rPr>
      </w:pPr>
      <w:bookmarkStart w:id="8" w:name="_Toc201327596"/>
      <w:r w:rsidRPr="003C27A4">
        <w:rPr>
          <w:rStyle w:val="Strong"/>
          <w:rFonts w:ascii="Arial" w:hAnsi="Arial" w:cs="Arial"/>
          <w:color w:val="auto"/>
          <w:sz w:val="24"/>
          <w:szCs w:val="24"/>
        </w:rPr>
        <w:t>Shareholder Agreements</w:t>
      </w:r>
      <w:bookmarkEnd w:id="8"/>
    </w:p>
    <w:p w14:paraId="0D12B6E9" w14:textId="295F6E4B" w:rsidR="003C27A4" w:rsidRPr="003C27A4" w:rsidRDefault="003C27A4" w:rsidP="003C27A4">
      <w:pPr>
        <w:spacing w:line="360" w:lineRule="auto"/>
        <w:ind w:firstLine="720"/>
        <w:rPr>
          <w:rFonts w:ascii="Arial" w:hAnsi="Arial" w:cs="Arial"/>
        </w:rPr>
      </w:pPr>
      <w:r w:rsidRPr="003C27A4">
        <w:rPr>
          <w:rFonts w:ascii="Arial" w:hAnsi="Arial" w:cs="Arial"/>
        </w:rPr>
        <w:t>A shareholders' agreement is a legally binding contract among a company's shareholders that outlines their roles, responsibilities, and how the business will be managed. It often includes terms for handling disputes, safeguarding the interests of minority shareholders, and setting rules for the buying and selling of shares</w:t>
      </w:r>
      <w:sdt>
        <w:sdtPr>
          <w:rPr>
            <w:rFonts w:ascii="Arial" w:hAnsi="Arial" w:cs="Arial"/>
          </w:rPr>
          <w:id w:val="-874074508"/>
          <w:citation/>
        </w:sdtPr>
        <w:sdtEndPr/>
        <w:sdtContent>
          <w:r w:rsidR="004415D7">
            <w:rPr>
              <w:rFonts w:ascii="Arial" w:hAnsi="Arial" w:cs="Arial"/>
            </w:rPr>
            <w:fldChar w:fldCharType="begin"/>
          </w:r>
          <w:r w:rsidR="004415D7">
            <w:rPr>
              <w:rFonts w:ascii="Arial" w:hAnsi="Arial" w:cs="Arial"/>
              <w:lang w:val="en-US"/>
            </w:rPr>
            <w:instrText xml:space="preserve"> CITATION Dja23 \l 1033 </w:instrText>
          </w:r>
          <w:r w:rsidR="004415D7">
            <w:rPr>
              <w:rFonts w:ascii="Arial" w:hAnsi="Arial" w:cs="Arial"/>
            </w:rPr>
            <w:fldChar w:fldCharType="separate"/>
          </w:r>
          <w:r w:rsidR="00B0719A">
            <w:rPr>
              <w:rFonts w:ascii="Arial" w:hAnsi="Arial" w:cs="Arial"/>
              <w:noProof/>
              <w:lang w:val="en-US"/>
            </w:rPr>
            <w:t xml:space="preserve"> </w:t>
          </w:r>
          <w:r w:rsidR="00B0719A" w:rsidRPr="00B0719A">
            <w:rPr>
              <w:rFonts w:ascii="Arial" w:hAnsi="Arial" w:cs="Arial"/>
              <w:noProof/>
              <w:lang w:val="en-US"/>
            </w:rPr>
            <w:t>(Djamane, 2023)</w:t>
          </w:r>
          <w:r w:rsidR="004415D7">
            <w:rPr>
              <w:rFonts w:ascii="Arial" w:hAnsi="Arial" w:cs="Arial"/>
            </w:rPr>
            <w:fldChar w:fldCharType="end"/>
          </w:r>
        </w:sdtContent>
      </w:sdt>
      <w:r w:rsidRPr="003C27A4">
        <w:rPr>
          <w:rFonts w:ascii="Arial" w:hAnsi="Arial" w:cs="Arial"/>
        </w:rPr>
        <w:t>.</w:t>
      </w:r>
    </w:p>
    <w:p w14:paraId="62D8F958" w14:textId="77777777" w:rsidR="00254F13" w:rsidRPr="00CD33A7" w:rsidRDefault="00254F13" w:rsidP="00CD33A7">
      <w:pPr>
        <w:pStyle w:val="NormalWeb"/>
        <w:spacing w:line="360" w:lineRule="auto"/>
        <w:rPr>
          <w:rFonts w:ascii="Arial" w:hAnsi="Arial" w:cs="Arial"/>
          <w:sz w:val="22"/>
          <w:szCs w:val="22"/>
        </w:rPr>
      </w:pPr>
      <w:r w:rsidRPr="00CD33A7">
        <w:rPr>
          <w:rFonts w:ascii="Arial" w:hAnsi="Arial" w:cs="Arial"/>
          <w:sz w:val="22"/>
          <w:szCs w:val="22"/>
        </w:rPr>
        <w:t>A legally binding shareholder agreement can preserve control rights through:</w:t>
      </w:r>
    </w:p>
    <w:p w14:paraId="38E29776" w14:textId="77777777" w:rsidR="00254F13" w:rsidRPr="00CD33A7" w:rsidRDefault="00254F13" w:rsidP="00CD33A7">
      <w:pPr>
        <w:pStyle w:val="NormalWeb"/>
        <w:numPr>
          <w:ilvl w:val="0"/>
          <w:numId w:val="5"/>
        </w:numPr>
        <w:spacing w:line="360" w:lineRule="auto"/>
        <w:rPr>
          <w:rFonts w:ascii="Arial" w:hAnsi="Arial" w:cs="Arial"/>
          <w:sz w:val="22"/>
          <w:szCs w:val="22"/>
        </w:rPr>
      </w:pPr>
      <w:r w:rsidRPr="00CD33A7">
        <w:rPr>
          <w:rFonts w:ascii="Arial" w:hAnsi="Arial" w:cs="Arial"/>
          <w:sz w:val="22"/>
          <w:szCs w:val="22"/>
        </w:rPr>
        <w:t>Board appointment rights.</w:t>
      </w:r>
    </w:p>
    <w:p w14:paraId="67D95252" w14:textId="77777777" w:rsidR="00254F13" w:rsidRPr="00CD33A7" w:rsidRDefault="00254F13" w:rsidP="00CD33A7">
      <w:pPr>
        <w:pStyle w:val="NormalWeb"/>
        <w:numPr>
          <w:ilvl w:val="0"/>
          <w:numId w:val="5"/>
        </w:numPr>
        <w:spacing w:line="360" w:lineRule="auto"/>
        <w:rPr>
          <w:rFonts w:ascii="Arial" w:hAnsi="Arial" w:cs="Arial"/>
          <w:sz w:val="22"/>
          <w:szCs w:val="22"/>
        </w:rPr>
      </w:pPr>
      <w:r w:rsidRPr="00CD33A7">
        <w:rPr>
          <w:rFonts w:ascii="Arial" w:hAnsi="Arial" w:cs="Arial"/>
          <w:sz w:val="22"/>
          <w:szCs w:val="22"/>
        </w:rPr>
        <w:t>Pre-emption rights on share transfers.</w:t>
      </w:r>
    </w:p>
    <w:p w14:paraId="1738066F" w14:textId="77777777" w:rsidR="00254F13" w:rsidRPr="00CD33A7" w:rsidRDefault="00254F13" w:rsidP="00CD33A7">
      <w:pPr>
        <w:pStyle w:val="NormalWeb"/>
        <w:numPr>
          <w:ilvl w:val="0"/>
          <w:numId w:val="5"/>
        </w:numPr>
        <w:spacing w:line="360" w:lineRule="auto"/>
        <w:rPr>
          <w:rFonts w:ascii="Arial" w:hAnsi="Arial" w:cs="Arial"/>
          <w:sz w:val="22"/>
          <w:szCs w:val="22"/>
        </w:rPr>
      </w:pPr>
      <w:r w:rsidRPr="00CD33A7">
        <w:rPr>
          <w:rFonts w:ascii="Arial" w:hAnsi="Arial" w:cs="Arial"/>
          <w:sz w:val="22"/>
          <w:szCs w:val="22"/>
        </w:rPr>
        <w:t>Veto powers on key decisions (e.g., acquisitions, dividend changes).</w:t>
      </w:r>
    </w:p>
    <w:p w14:paraId="5B5B805A" w14:textId="335B1D91" w:rsidR="00254F13" w:rsidRPr="007D63A6" w:rsidRDefault="00254F13" w:rsidP="00CD33A7">
      <w:pPr>
        <w:pStyle w:val="Heading2"/>
        <w:numPr>
          <w:ilvl w:val="2"/>
          <w:numId w:val="6"/>
        </w:numPr>
        <w:rPr>
          <w:color w:val="auto"/>
          <w:sz w:val="24"/>
          <w:szCs w:val="24"/>
        </w:rPr>
      </w:pPr>
      <w:bookmarkStart w:id="9" w:name="_Toc201327597"/>
      <w:r w:rsidRPr="007D63A6">
        <w:rPr>
          <w:rStyle w:val="Strong"/>
          <w:rFonts w:ascii="Arial" w:hAnsi="Arial" w:cs="Arial"/>
          <w:color w:val="auto"/>
          <w:sz w:val="24"/>
          <w:szCs w:val="24"/>
        </w:rPr>
        <w:t>Board Composition</w:t>
      </w:r>
      <w:bookmarkEnd w:id="9"/>
    </w:p>
    <w:p w14:paraId="6057E718" w14:textId="4082E696" w:rsidR="00254F13" w:rsidRPr="00CD33A7" w:rsidRDefault="00254F13" w:rsidP="00CD33A7">
      <w:pPr>
        <w:pStyle w:val="NormalWeb"/>
        <w:spacing w:line="360" w:lineRule="auto"/>
        <w:rPr>
          <w:rFonts w:ascii="Arial" w:hAnsi="Arial" w:cs="Arial"/>
          <w:sz w:val="22"/>
          <w:szCs w:val="22"/>
        </w:rPr>
      </w:pPr>
      <w:r w:rsidRPr="00CD33A7">
        <w:rPr>
          <w:rFonts w:ascii="Arial" w:hAnsi="Arial" w:cs="Arial"/>
          <w:sz w:val="22"/>
          <w:szCs w:val="22"/>
        </w:rPr>
        <w:t xml:space="preserve">The family should ensure continued presence on the board and seek key leadership roles (e.g., Chair or CEO). While AIM does not mandate board composition, having independent non-executive directors alongside family </w:t>
      </w:r>
      <w:r w:rsidR="00CD33A7" w:rsidRPr="00CD33A7">
        <w:rPr>
          <w:rFonts w:ascii="Arial" w:hAnsi="Arial" w:cs="Arial"/>
          <w:sz w:val="22"/>
          <w:szCs w:val="22"/>
        </w:rPr>
        <w:t>executives’</w:t>
      </w:r>
      <w:r w:rsidRPr="00CD33A7">
        <w:rPr>
          <w:rFonts w:ascii="Arial" w:hAnsi="Arial" w:cs="Arial"/>
          <w:sz w:val="22"/>
          <w:szCs w:val="22"/>
        </w:rPr>
        <w:t xml:space="preserve"> balances governance and control.</w:t>
      </w:r>
    </w:p>
    <w:p w14:paraId="27495ADD" w14:textId="2D0D7989" w:rsidR="00254F13" w:rsidRPr="007D63A6" w:rsidRDefault="00254F13" w:rsidP="00CD33A7">
      <w:pPr>
        <w:pStyle w:val="Heading2"/>
        <w:numPr>
          <w:ilvl w:val="2"/>
          <w:numId w:val="6"/>
        </w:numPr>
        <w:rPr>
          <w:color w:val="auto"/>
          <w:sz w:val="24"/>
          <w:szCs w:val="24"/>
        </w:rPr>
      </w:pPr>
      <w:bookmarkStart w:id="10" w:name="_Toc201327598"/>
      <w:r w:rsidRPr="007D63A6">
        <w:rPr>
          <w:rStyle w:val="Strong"/>
          <w:rFonts w:ascii="Arial" w:hAnsi="Arial" w:cs="Arial"/>
          <w:color w:val="auto"/>
          <w:sz w:val="24"/>
          <w:szCs w:val="24"/>
        </w:rPr>
        <w:t>Staggered (Classified) Board</w:t>
      </w:r>
      <w:bookmarkEnd w:id="10"/>
    </w:p>
    <w:p w14:paraId="3309C29E" w14:textId="2148A79F" w:rsidR="004415D7" w:rsidRDefault="004415D7" w:rsidP="00B405F7">
      <w:pPr>
        <w:pStyle w:val="NormalWeb"/>
        <w:spacing w:line="360" w:lineRule="auto"/>
        <w:ind w:firstLine="720"/>
        <w:rPr>
          <w:rFonts w:ascii="Arial" w:hAnsi="Arial" w:cs="Arial"/>
          <w:sz w:val="22"/>
          <w:szCs w:val="22"/>
        </w:rPr>
      </w:pPr>
      <w:r>
        <w:rPr>
          <w:noProof/>
        </w:rPr>
        <w:drawing>
          <wp:anchor distT="0" distB="0" distL="114300" distR="114300" simplePos="0" relativeHeight="251659264" behindDoc="1" locked="0" layoutInCell="1" allowOverlap="1" wp14:anchorId="2FC29D4D" wp14:editId="237415F1">
            <wp:simplePos x="0" y="0"/>
            <wp:positionH relativeFrom="column">
              <wp:posOffset>-390525</wp:posOffset>
            </wp:positionH>
            <wp:positionV relativeFrom="paragraph">
              <wp:posOffset>430530</wp:posOffset>
            </wp:positionV>
            <wp:extent cx="4097655" cy="2276475"/>
            <wp:effectExtent l="0" t="0" r="0" b="9525"/>
            <wp:wrapSquare wrapText="bothSides"/>
            <wp:docPr id="4" name="Picture 4" descr="staggered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ggered boar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97655" cy="2276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4F13" w:rsidRPr="00CD33A7">
        <w:rPr>
          <w:rFonts w:ascii="Arial" w:hAnsi="Arial" w:cs="Arial"/>
          <w:sz w:val="22"/>
          <w:szCs w:val="22"/>
        </w:rPr>
        <w:t>Introducing a staggered board</w:t>
      </w:r>
      <w:r w:rsidR="00950571">
        <w:rPr>
          <w:rFonts w:ascii="Arial" w:hAnsi="Arial" w:cs="Arial"/>
          <w:sz w:val="22"/>
          <w:szCs w:val="22"/>
        </w:rPr>
        <w:t>-</w:t>
      </w:r>
      <w:r w:rsidR="00254F13" w:rsidRPr="00CD33A7">
        <w:rPr>
          <w:rFonts w:ascii="Arial" w:hAnsi="Arial" w:cs="Arial"/>
          <w:sz w:val="22"/>
          <w:szCs w:val="22"/>
        </w:rPr>
        <w:t>where directors serve overlapping terms</w:t>
      </w:r>
      <w:r w:rsidR="00856601">
        <w:rPr>
          <w:rFonts w:ascii="Arial" w:hAnsi="Arial" w:cs="Arial"/>
          <w:sz w:val="22"/>
          <w:szCs w:val="22"/>
        </w:rPr>
        <w:t>-</w:t>
      </w:r>
      <w:r w:rsidR="00254F13" w:rsidRPr="00CD33A7">
        <w:rPr>
          <w:rFonts w:ascii="Arial" w:hAnsi="Arial" w:cs="Arial"/>
          <w:sz w:val="22"/>
          <w:szCs w:val="22"/>
        </w:rPr>
        <w:t>limits the ability of</w:t>
      </w:r>
      <w:r>
        <w:rPr>
          <w:rFonts w:ascii="Arial" w:hAnsi="Arial" w:cs="Arial"/>
          <w:sz w:val="22"/>
          <w:szCs w:val="22"/>
        </w:rPr>
        <w:t xml:space="preserve"> </w:t>
      </w:r>
      <w:r w:rsidR="00254F13" w:rsidRPr="00CD33A7">
        <w:rPr>
          <w:rFonts w:ascii="Arial" w:hAnsi="Arial" w:cs="Arial"/>
          <w:sz w:val="22"/>
          <w:szCs w:val="22"/>
        </w:rPr>
        <w:t>new shareholders to quickly alter board composition, preserving continuity and strategic direction.</w:t>
      </w:r>
      <w:r w:rsidRPr="004415D7">
        <w:t xml:space="preserve"> </w:t>
      </w:r>
      <w:r w:rsidRPr="004415D7">
        <w:rPr>
          <w:rFonts w:ascii="Arial" w:hAnsi="Arial" w:cs="Arial"/>
          <w:sz w:val="22"/>
          <w:szCs w:val="22"/>
        </w:rPr>
        <w:t>Staggered board terms are significant because they serve as a strategic defence against hostile takeovers</w:t>
      </w:r>
      <w:sdt>
        <w:sdtPr>
          <w:rPr>
            <w:rFonts w:ascii="Arial" w:hAnsi="Arial" w:cs="Arial"/>
            <w:sz w:val="22"/>
            <w:szCs w:val="22"/>
          </w:rPr>
          <w:id w:val="-1516144224"/>
          <w:citation/>
        </w:sdtPr>
        <w:sdtEndPr/>
        <w:sdtContent>
          <w:r w:rsidR="00B405F7">
            <w:rPr>
              <w:rFonts w:ascii="Arial" w:hAnsi="Arial" w:cs="Arial"/>
              <w:sz w:val="22"/>
              <w:szCs w:val="22"/>
            </w:rPr>
            <w:fldChar w:fldCharType="begin"/>
          </w:r>
          <w:r w:rsidR="00B405F7">
            <w:rPr>
              <w:rFonts w:ascii="Arial" w:hAnsi="Arial" w:cs="Arial"/>
              <w:sz w:val="22"/>
              <w:szCs w:val="22"/>
              <w:lang w:val="en-US"/>
            </w:rPr>
            <w:instrText xml:space="preserve">CITATION Wal23 \l 1033 </w:instrText>
          </w:r>
          <w:r w:rsidR="00B405F7">
            <w:rPr>
              <w:rFonts w:ascii="Arial" w:hAnsi="Arial" w:cs="Arial"/>
              <w:sz w:val="22"/>
              <w:szCs w:val="22"/>
            </w:rPr>
            <w:fldChar w:fldCharType="separate"/>
          </w:r>
          <w:r w:rsidR="00B0719A">
            <w:rPr>
              <w:rFonts w:ascii="Arial" w:hAnsi="Arial" w:cs="Arial"/>
              <w:noProof/>
              <w:sz w:val="22"/>
              <w:szCs w:val="22"/>
              <w:lang w:val="en-US"/>
            </w:rPr>
            <w:t xml:space="preserve"> </w:t>
          </w:r>
          <w:r w:rsidR="00B0719A" w:rsidRPr="00B0719A">
            <w:rPr>
              <w:rFonts w:ascii="Arial" w:hAnsi="Arial" w:cs="Arial"/>
              <w:noProof/>
              <w:sz w:val="22"/>
              <w:szCs w:val="22"/>
              <w:lang w:val="en-US"/>
            </w:rPr>
            <w:t>(WallStreetMojo, 2023)</w:t>
          </w:r>
          <w:r w:rsidR="00B405F7">
            <w:rPr>
              <w:rFonts w:ascii="Arial" w:hAnsi="Arial" w:cs="Arial"/>
              <w:sz w:val="22"/>
              <w:szCs w:val="22"/>
            </w:rPr>
            <w:fldChar w:fldCharType="end"/>
          </w:r>
        </w:sdtContent>
      </w:sdt>
      <w:r w:rsidRPr="004415D7">
        <w:rPr>
          <w:rFonts w:ascii="Arial" w:hAnsi="Arial" w:cs="Arial"/>
          <w:sz w:val="22"/>
          <w:szCs w:val="22"/>
        </w:rPr>
        <w:t xml:space="preserve">. </w:t>
      </w:r>
    </w:p>
    <w:p w14:paraId="2E05DBFC" w14:textId="4E91B9ED" w:rsidR="004415D7" w:rsidRDefault="004415D7" w:rsidP="00856601">
      <w:pPr>
        <w:pStyle w:val="NormalWeb"/>
        <w:spacing w:line="360" w:lineRule="auto"/>
        <w:ind w:firstLine="720"/>
        <w:rPr>
          <w:rFonts w:ascii="Arial" w:hAnsi="Arial" w:cs="Arial"/>
          <w:sz w:val="22"/>
          <w:szCs w:val="22"/>
        </w:rPr>
      </w:pPr>
      <w:r>
        <w:rPr>
          <w:rFonts w:ascii="Arial" w:hAnsi="Arial" w:cs="Arial"/>
          <w:sz w:val="22"/>
          <w:szCs w:val="22"/>
        </w:rPr>
        <w:t xml:space="preserve">Source of </w:t>
      </w:r>
      <w:hyperlink r:id="rId14" w:history="1">
        <w:r w:rsidRPr="002F4197">
          <w:rPr>
            <w:rStyle w:val="Hyperlink"/>
            <w:rFonts w:ascii="Arial" w:hAnsi="Arial" w:cs="Arial"/>
            <w:sz w:val="22"/>
            <w:szCs w:val="22"/>
          </w:rPr>
          <w:t>https://www.wallstreetmojo.com/staggered-board/</w:t>
        </w:r>
      </w:hyperlink>
    </w:p>
    <w:p w14:paraId="603ADA63" w14:textId="77777777" w:rsidR="004415D7" w:rsidRPr="00CD33A7" w:rsidRDefault="004415D7" w:rsidP="00856601">
      <w:pPr>
        <w:pStyle w:val="NormalWeb"/>
        <w:spacing w:line="360" w:lineRule="auto"/>
        <w:ind w:firstLine="720"/>
        <w:rPr>
          <w:rFonts w:ascii="Arial" w:hAnsi="Arial" w:cs="Arial"/>
          <w:sz w:val="22"/>
          <w:szCs w:val="22"/>
        </w:rPr>
      </w:pPr>
    </w:p>
    <w:p w14:paraId="33C03466" w14:textId="1FAFD38C" w:rsidR="00BC339E" w:rsidRDefault="00856601" w:rsidP="00950571">
      <w:pPr>
        <w:pStyle w:val="Heading1"/>
        <w:numPr>
          <w:ilvl w:val="1"/>
          <w:numId w:val="6"/>
        </w:numPr>
        <w:spacing w:line="360" w:lineRule="auto"/>
        <w:rPr>
          <w:rFonts w:ascii="Arial" w:hAnsi="Arial" w:cs="Arial"/>
          <w:b/>
          <w:bCs/>
          <w:color w:val="auto"/>
          <w:sz w:val="28"/>
          <w:szCs w:val="28"/>
        </w:rPr>
      </w:pPr>
      <w:bookmarkStart w:id="11" w:name="_Toc201327599"/>
      <w:r w:rsidRPr="00856601">
        <w:rPr>
          <w:rFonts w:ascii="Arial" w:hAnsi="Arial" w:cs="Arial"/>
          <w:b/>
          <w:bCs/>
          <w:color w:val="auto"/>
          <w:sz w:val="28"/>
          <w:szCs w:val="28"/>
        </w:rPr>
        <w:t>C. Director Remuneration: Principles and Structures</w:t>
      </w:r>
      <w:bookmarkEnd w:id="11"/>
    </w:p>
    <w:p w14:paraId="236FFBE1" w14:textId="281E8A8F" w:rsidR="00950571" w:rsidRPr="00950571" w:rsidRDefault="00950571" w:rsidP="00973645">
      <w:pPr>
        <w:spacing w:line="360" w:lineRule="auto"/>
        <w:ind w:firstLine="720"/>
        <w:rPr>
          <w:rFonts w:ascii="Arial" w:hAnsi="Arial" w:cs="Arial"/>
        </w:rPr>
      </w:pPr>
      <w:r w:rsidRPr="00950571">
        <w:rPr>
          <w:rFonts w:ascii="Arial" w:hAnsi="Arial" w:cs="Arial"/>
        </w:rPr>
        <w:t>Directors’ remuneration refers to the total compensation awarded to company directors, covering both fixed elements (such as salary and pensions) and variable components (like bonuses, share options, and long-term incentive plans). The Remuneration Committee, a key governance body in publicly listed companies, is responsible for designing and monitoring remuneration policies to ensure they are fair, competitive, and aligned with company performance.</w:t>
      </w:r>
    </w:p>
    <w:p w14:paraId="1A1EA4EE" w14:textId="77777777" w:rsidR="00950571" w:rsidRPr="00950571" w:rsidRDefault="00950571" w:rsidP="00950571">
      <w:pPr>
        <w:spacing w:line="360" w:lineRule="auto"/>
        <w:ind w:firstLine="720"/>
        <w:rPr>
          <w:rFonts w:ascii="Arial" w:hAnsi="Arial" w:cs="Arial"/>
        </w:rPr>
      </w:pPr>
      <w:r w:rsidRPr="00950571">
        <w:rPr>
          <w:rFonts w:ascii="Arial" w:hAnsi="Arial" w:cs="Arial"/>
        </w:rPr>
        <w:t>The UK Corporate Governance Code outlines best practices to promote transparency, accountability, and fairness in directors’ pay. Companies are required to meet specific disclosure requirements, including publishing an Annual Remuneration Report that details pay structures, performance links, and policy compliance. Shareholder engagement is essential in approving and reviewing these policies.</w:t>
      </w:r>
    </w:p>
    <w:p w14:paraId="483703AB" w14:textId="6A75C3D0" w:rsidR="00950571" w:rsidRPr="00950571" w:rsidRDefault="00950571" w:rsidP="00950571">
      <w:pPr>
        <w:spacing w:line="360" w:lineRule="auto"/>
        <w:ind w:firstLine="720"/>
        <w:rPr>
          <w:rFonts w:ascii="Arial" w:hAnsi="Arial" w:cs="Arial"/>
        </w:rPr>
      </w:pPr>
      <w:r w:rsidRPr="00950571">
        <w:rPr>
          <w:rFonts w:ascii="Arial" w:hAnsi="Arial" w:cs="Arial"/>
        </w:rPr>
        <w:t>Effective remuneration frameworks rely on performance metrics to assess directors’ contributions and to ensure alignment with long-term corporate goals. Tools such as share options and Long-Term Incentive Plans (LTIPs) are commonly used to motivate strategic leadership. To address potential risks, companies may implement malus and clawback provisions, allowing adjustments or recovery of bonuses in cases of poor performance or misconduct.</w:t>
      </w:r>
    </w:p>
    <w:p w14:paraId="7765A34E" w14:textId="6759A15D" w:rsidR="00856601" w:rsidRDefault="00950571" w:rsidP="00950571">
      <w:pPr>
        <w:spacing w:line="360" w:lineRule="auto"/>
        <w:ind w:firstLine="720"/>
        <w:rPr>
          <w:rFonts w:ascii="Arial" w:hAnsi="Arial" w:cs="Arial"/>
        </w:rPr>
      </w:pPr>
      <w:r w:rsidRPr="00950571">
        <w:rPr>
          <w:rFonts w:ascii="Arial" w:hAnsi="Arial" w:cs="Arial"/>
        </w:rPr>
        <w:t>To ensure fairness and market competitiveness, benchmarking against industry standards is employed. At the same time, companies must be cautious of excessive pay, which can lead to reputational risk and shareholder dissatisfaction</w:t>
      </w:r>
      <w:sdt>
        <w:sdtPr>
          <w:rPr>
            <w:rFonts w:ascii="Arial" w:hAnsi="Arial" w:cs="Arial"/>
          </w:rPr>
          <w:id w:val="-457178586"/>
          <w:citation/>
        </w:sdtPr>
        <w:sdtEndPr/>
        <w:sdtContent>
          <w:r w:rsidR="003870A2">
            <w:rPr>
              <w:rFonts w:ascii="Arial" w:hAnsi="Arial" w:cs="Arial"/>
            </w:rPr>
            <w:fldChar w:fldCharType="begin"/>
          </w:r>
          <w:r w:rsidR="003870A2">
            <w:rPr>
              <w:rFonts w:ascii="Arial" w:hAnsi="Arial" w:cs="Arial"/>
              <w:lang w:val="en-US"/>
            </w:rPr>
            <w:instrText xml:space="preserve"> CITATION Con14 \l 1033 </w:instrText>
          </w:r>
          <w:r w:rsidR="003870A2">
            <w:rPr>
              <w:rFonts w:ascii="Arial" w:hAnsi="Arial" w:cs="Arial"/>
            </w:rPr>
            <w:fldChar w:fldCharType="separate"/>
          </w:r>
          <w:r w:rsidR="00B0719A">
            <w:rPr>
              <w:rFonts w:ascii="Arial" w:hAnsi="Arial" w:cs="Arial"/>
              <w:noProof/>
              <w:lang w:val="en-US"/>
            </w:rPr>
            <w:t xml:space="preserve"> </w:t>
          </w:r>
          <w:r w:rsidR="00B0719A" w:rsidRPr="00B0719A">
            <w:rPr>
              <w:rFonts w:ascii="Arial" w:hAnsi="Arial" w:cs="Arial"/>
              <w:noProof/>
              <w:lang w:val="en-US"/>
            </w:rPr>
            <w:t>(Conyon, 2014)</w:t>
          </w:r>
          <w:r w:rsidR="003870A2">
            <w:rPr>
              <w:rFonts w:ascii="Arial" w:hAnsi="Arial" w:cs="Arial"/>
            </w:rPr>
            <w:fldChar w:fldCharType="end"/>
          </w:r>
        </w:sdtContent>
      </w:sdt>
      <w:r w:rsidRPr="00950571">
        <w:rPr>
          <w:rFonts w:ascii="Arial" w:hAnsi="Arial" w:cs="Arial"/>
        </w:rPr>
        <w:t>. Awareness of conflicts of interest and strict compliance with regulatory standards are crucial in maintaining stakeholder trust and corporate integrity</w:t>
      </w:r>
      <w:sdt>
        <w:sdtPr>
          <w:rPr>
            <w:rFonts w:ascii="Arial" w:hAnsi="Arial" w:cs="Arial"/>
          </w:rPr>
          <w:id w:val="1505545249"/>
          <w:citation/>
        </w:sdtPr>
        <w:sdtEndPr/>
        <w:sdtContent>
          <w:r w:rsidR="007479E2">
            <w:rPr>
              <w:rFonts w:ascii="Arial" w:hAnsi="Arial" w:cs="Arial"/>
            </w:rPr>
            <w:fldChar w:fldCharType="begin"/>
          </w:r>
          <w:r w:rsidR="007479E2">
            <w:rPr>
              <w:rFonts w:ascii="Arial" w:hAnsi="Arial" w:cs="Arial"/>
              <w:lang w:val="en-US"/>
            </w:rPr>
            <w:instrText xml:space="preserve"> CITATION Sol20 \l 1033 </w:instrText>
          </w:r>
          <w:r w:rsidR="007479E2">
            <w:rPr>
              <w:rFonts w:ascii="Arial" w:hAnsi="Arial" w:cs="Arial"/>
            </w:rPr>
            <w:fldChar w:fldCharType="separate"/>
          </w:r>
          <w:r w:rsidR="00B0719A">
            <w:rPr>
              <w:rFonts w:ascii="Arial" w:hAnsi="Arial" w:cs="Arial"/>
              <w:noProof/>
              <w:lang w:val="en-US"/>
            </w:rPr>
            <w:t xml:space="preserve"> </w:t>
          </w:r>
          <w:r w:rsidR="00B0719A" w:rsidRPr="00B0719A">
            <w:rPr>
              <w:rFonts w:ascii="Arial" w:hAnsi="Arial" w:cs="Arial"/>
              <w:noProof/>
              <w:lang w:val="en-US"/>
            </w:rPr>
            <w:t>(Solomon, 2020)</w:t>
          </w:r>
          <w:r w:rsidR="007479E2">
            <w:rPr>
              <w:rFonts w:ascii="Arial" w:hAnsi="Arial" w:cs="Arial"/>
            </w:rPr>
            <w:fldChar w:fldCharType="end"/>
          </w:r>
        </w:sdtContent>
      </w:sdt>
      <w:r w:rsidRPr="00950571">
        <w:rPr>
          <w:rFonts w:ascii="Arial" w:hAnsi="Arial" w:cs="Arial"/>
        </w:rPr>
        <w:t>.</w:t>
      </w:r>
    </w:p>
    <w:p w14:paraId="6651957F" w14:textId="77777777" w:rsidR="00B405F7" w:rsidRDefault="00B405F7" w:rsidP="00950571">
      <w:pPr>
        <w:spacing w:line="360" w:lineRule="auto"/>
        <w:ind w:firstLine="720"/>
        <w:rPr>
          <w:rFonts w:ascii="Arial" w:hAnsi="Arial" w:cs="Arial"/>
        </w:rPr>
      </w:pPr>
    </w:p>
    <w:p w14:paraId="09A0D1EF" w14:textId="62E11C00" w:rsidR="00950571" w:rsidRDefault="00950571" w:rsidP="007D63A6">
      <w:pPr>
        <w:pStyle w:val="Heading1"/>
        <w:numPr>
          <w:ilvl w:val="1"/>
          <w:numId w:val="6"/>
        </w:numPr>
        <w:spacing w:line="360" w:lineRule="auto"/>
        <w:rPr>
          <w:rFonts w:ascii="Arial" w:hAnsi="Arial" w:cs="Arial"/>
          <w:b/>
          <w:bCs/>
          <w:color w:val="auto"/>
          <w:sz w:val="28"/>
          <w:szCs w:val="28"/>
        </w:rPr>
      </w:pPr>
      <w:bookmarkStart w:id="12" w:name="_Toc201327600"/>
      <w:r w:rsidRPr="00950571">
        <w:rPr>
          <w:rFonts w:ascii="Arial" w:hAnsi="Arial" w:cs="Arial"/>
          <w:b/>
          <w:bCs/>
          <w:color w:val="auto"/>
          <w:sz w:val="28"/>
          <w:szCs w:val="28"/>
        </w:rPr>
        <w:t>D. Institutional Differences: UK vs Shanghai vs the Netherlands</w:t>
      </w:r>
      <w:bookmarkEnd w:id="12"/>
    </w:p>
    <w:p w14:paraId="70FC174B" w14:textId="77777777" w:rsidR="00B405F7" w:rsidRPr="00B405F7" w:rsidRDefault="00B405F7" w:rsidP="00B405F7"/>
    <w:p w14:paraId="61565413" w14:textId="12169CA6" w:rsidR="00950571" w:rsidRDefault="00950571" w:rsidP="003C27A4">
      <w:pPr>
        <w:spacing w:line="360" w:lineRule="auto"/>
        <w:ind w:firstLine="720"/>
        <w:rPr>
          <w:rFonts w:ascii="Arial" w:hAnsi="Arial" w:cs="Arial"/>
        </w:rPr>
      </w:pPr>
      <w:r w:rsidRPr="003347F3">
        <w:rPr>
          <w:rFonts w:ascii="Arial" w:hAnsi="Arial" w:cs="Arial"/>
        </w:rPr>
        <w:t>The decision to list in the UK, China, or the Netherlands affects governance, legal protections, and board obligations.</w:t>
      </w:r>
    </w:p>
    <w:p w14:paraId="08843E49" w14:textId="77777777" w:rsidR="00B405F7" w:rsidRPr="003347F3" w:rsidRDefault="00B405F7" w:rsidP="003C27A4">
      <w:pPr>
        <w:spacing w:line="360" w:lineRule="auto"/>
        <w:ind w:firstLine="720"/>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3347F3" w:rsidRPr="003347F3" w14:paraId="329A5140" w14:textId="77777777" w:rsidTr="003347F3">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1"/>
            </w:tblGrid>
            <w:tr w:rsidR="003347F3" w:rsidRPr="003347F3" w14:paraId="08CCF18B" w14:textId="77777777" w:rsidTr="003347F3">
              <w:trPr>
                <w:tblHeader/>
                <w:tblCellSpacing w:w="15" w:type="dxa"/>
              </w:trPr>
              <w:tc>
                <w:tcPr>
                  <w:tcW w:w="0" w:type="auto"/>
                  <w:vAlign w:val="center"/>
                  <w:hideMark/>
                </w:tcPr>
                <w:p w14:paraId="1490781B" w14:textId="77777777" w:rsidR="003347F3" w:rsidRPr="003347F3" w:rsidRDefault="003347F3" w:rsidP="003347F3">
                  <w:pPr>
                    <w:spacing w:after="0" w:line="240" w:lineRule="auto"/>
                    <w:jc w:val="center"/>
                    <w:rPr>
                      <w:rFonts w:ascii="Arial" w:eastAsia="Times New Roman" w:hAnsi="Arial" w:cs="Arial"/>
                      <w:b/>
                      <w:bCs/>
                      <w:lang w:eastAsia="en-GB"/>
                    </w:rPr>
                  </w:pPr>
                  <w:r w:rsidRPr="003347F3">
                    <w:rPr>
                      <w:rFonts w:ascii="Arial" w:eastAsia="Times New Roman" w:hAnsi="Arial" w:cs="Arial"/>
                      <w:b/>
                      <w:bCs/>
                      <w:lang w:eastAsia="en-GB"/>
                    </w:rPr>
                    <w:lastRenderedPageBreak/>
                    <w:t>Criteria</w:t>
                  </w:r>
                </w:p>
              </w:tc>
            </w:tr>
          </w:tbl>
          <w:p w14:paraId="1F955569" w14:textId="77777777" w:rsidR="003347F3" w:rsidRPr="003347F3" w:rsidRDefault="003347F3" w:rsidP="00950571">
            <w:pPr>
              <w:rPr>
                <w:rFonts w:ascii="Arial" w:hAnsi="Arial" w:cs="Arial"/>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04"/>
              <w:gridCol w:w="81"/>
            </w:tblGrid>
            <w:tr w:rsidR="003347F3" w:rsidRPr="003347F3" w14:paraId="2426D468" w14:textId="77777777" w:rsidTr="00FC64A9">
              <w:trPr>
                <w:tblHeader/>
                <w:tblCellSpacing w:w="15" w:type="dxa"/>
              </w:trPr>
              <w:tc>
                <w:tcPr>
                  <w:tcW w:w="0" w:type="auto"/>
                  <w:vAlign w:val="center"/>
                  <w:hideMark/>
                </w:tcPr>
                <w:p w14:paraId="559692C8" w14:textId="77777777" w:rsidR="003347F3" w:rsidRPr="003347F3" w:rsidRDefault="003347F3" w:rsidP="003347F3">
                  <w:pPr>
                    <w:spacing w:after="0" w:line="240" w:lineRule="auto"/>
                    <w:jc w:val="center"/>
                    <w:rPr>
                      <w:rFonts w:ascii="Arial" w:eastAsia="Times New Roman" w:hAnsi="Arial" w:cs="Arial"/>
                      <w:b/>
                      <w:bCs/>
                      <w:lang w:eastAsia="en-GB"/>
                    </w:rPr>
                  </w:pPr>
                  <w:r w:rsidRPr="003347F3">
                    <w:rPr>
                      <w:rFonts w:ascii="Arial" w:eastAsia="Times New Roman" w:hAnsi="Arial" w:cs="Arial"/>
                      <w:b/>
                      <w:bCs/>
                      <w:lang w:eastAsia="en-GB"/>
                    </w:rPr>
                    <w:t>UK (AIM)</w:t>
                  </w:r>
                </w:p>
              </w:tc>
              <w:tc>
                <w:tcPr>
                  <w:tcW w:w="0" w:type="auto"/>
                  <w:vAlign w:val="center"/>
                  <w:hideMark/>
                </w:tcPr>
                <w:p w14:paraId="0C89F91F" w14:textId="4F0A7B6A" w:rsidR="003347F3" w:rsidRPr="003347F3" w:rsidRDefault="003347F3" w:rsidP="003347F3">
                  <w:pPr>
                    <w:spacing w:after="0" w:line="240" w:lineRule="auto"/>
                    <w:jc w:val="center"/>
                    <w:rPr>
                      <w:rFonts w:ascii="Arial" w:eastAsia="Times New Roman" w:hAnsi="Arial" w:cs="Arial"/>
                      <w:b/>
                      <w:bCs/>
                      <w:lang w:eastAsia="en-GB"/>
                    </w:rPr>
                  </w:pPr>
                </w:p>
              </w:tc>
            </w:tr>
          </w:tbl>
          <w:p w14:paraId="3EFA5484" w14:textId="77777777" w:rsidR="003347F3" w:rsidRPr="003347F3" w:rsidRDefault="003347F3" w:rsidP="00950571">
            <w:pPr>
              <w:rPr>
                <w:rFonts w:ascii="Arial" w:hAnsi="Arial" w:cs="Arial"/>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957"/>
            </w:tblGrid>
            <w:tr w:rsidR="003347F3" w:rsidRPr="003347F3" w14:paraId="6FF9CA56" w14:textId="77777777" w:rsidTr="00FC64A9">
              <w:trPr>
                <w:tblHeader/>
                <w:tblCellSpacing w:w="15" w:type="dxa"/>
              </w:trPr>
              <w:tc>
                <w:tcPr>
                  <w:tcW w:w="0" w:type="auto"/>
                  <w:vAlign w:val="center"/>
                  <w:hideMark/>
                </w:tcPr>
                <w:p w14:paraId="00AF71D4" w14:textId="602D6161" w:rsidR="003347F3" w:rsidRPr="003347F3" w:rsidRDefault="003347F3" w:rsidP="003347F3">
                  <w:pPr>
                    <w:spacing w:after="0" w:line="240" w:lineRule="auto"/>
                    <w:jc w:val="center"/>
                    <w:rPr>
                      <w:rFonts w:ascii="Arial" w:eastAsia="Times New Roman" w:hAnsi="Arial" w:cs="Arial"/>
                      <w:b/>
                      <w:bCs/>
                      <w:lang w:eastAsia="en-GB"/>
                    </w:rPr>
                  </w:pPr>
                </w:p>
              </w:tc>
              <w:tc>
                <w:tcPr>
                  <w:tcW w:w="0" w:type="auto"/>
                  <w:vAlign w:val="center"/>
                  <w:hideMark/>
                </w:tcPr>
                <w:p w14:paraId="65AE6F89" w14:textId="77777777" w:rsidR="003347F3" w:rsidRPr="003347F3" w:rsidRDefault="003347F3" w:rsidP="003347F3">
                  <w:pPr>
                    <w:spacing w:after="0" w:line="240" w:lineRule="auto"/>
                    <w:jc w:val="center"/>
                    <w:rPr>
                      <w:rFonts w:ascii="Arial" w:eastAsia="Times New Roman" w:hAnsi="Arial" w:cs="Arial"/>
                      <w:b/>
                      <w:bCs/>
                      <w:lang w:eastAsia="en-GB"/>
                    </w:rPr>
                  </w:pPr>
                  <w:r w:rsidRPr="003347F3">
                    <w:rPr>
                      <w:rFonts w:ascii="Arial" w:eastAsia="Times New Roman" w:hAnsi="Arial" w:cs="Arial"/>
                      <w:b/>
                      <w:bCs/>
                      <w:lang w:eastAsia="en-GB"/>
                    </w:rPr>
                    <w:t>Shanghai Stock Exchange</w:t>
                  </w:r>
                </w:p>
              </w:tc>
            </w:tr>
          </w:tbl>
          <w:p w14:paraId="24892EB6" w14:textId="77777777" w:rsidR="003347F3" w:rsidRPr="003347F3" w:rsidRDefault="003347F3" w:rsidP="00950571">
            <w:pPr>
              <w:rPr>
                <w:rFonts w:ascii="Arial" w:hAnsi="Arial" w:cs="Arial"/>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3347F3" w:rsidRPr="003347F3" w14:paraId="43778C07" w14:textId="77777777" w:rsidTr="00FC64A9">
              <w:trPr>
                <w:tblHeader/>
                <w:tblCellSpacing w:w="15" w:type="dxa"/>
              </w:trPr>
              <w:tc>
                <w:tcPr>
                  <w:tcW w:w="0" w:type="auto"/>
                  <w:vAlign w:val="center"/>
                  <w:hideMark/>
                </w:tcPr>
                <w:p w14:paraId="6D71D7FA" w14:textId="77777777" w:rsidR="003347F3" w:rsidRPr="003347F3" w:rsidRDefault="003347F3" w:rsidP="003347F3">
                  <w:pPr>
                    <w:spacing w:after="0" w:line="240" w:lineRule="auto"/>
                    <w:jc w:val="center"/>
                    <w:rPr>
                      <w:rFonts w:ascii="Arial" w:eastAsia="Times New Roman" w:hAnsi="Arial" w:cs="Arial"/>
                      <w:b/>
                      <w:bCs/>
                      <w:lang w:eastAsia="en-GB"/>
                    </w:rPr>
                  </w:pPr>
                  <w:r w:rsidRPr="003347F3">
                    <w:rPr>
                      <w:rFonts w:ascii="Arial" w:eastAsia="Times New Roman" w:hAnsi="Arial" w:cs="Arial"/>
                      <w:b/>
                      <w:bCs/>
                      <w:lang w:eastAsia="en-GB"/>
                    </w:rPr>
                    <w:t>Netherlands (Euronext Amsterdam)</w:t>
                  </w:r>
                </w:p>
              </w:tc>
            </w:tr>
          </w:tbl>
          <w:p w14:paraId="3DD1BF07" w14:textId="77777777" w:rsidR="003347F3" w:rsidRPr="003347F3" w:rsidRDefault="003347F3" w:rsidP="00950571">
            <w:pPr>
              <w:rPr>
                <w:rFonts w:ascii="Arial" w:hAnsi="Arial" w:cs="Arial"/>
              </w:rPr>
            </w:pPr>
          </w:p>
        </w:tc>
      </w:tr>
      <w:tr w:rsidR="003347F3" w:rsidRPr="003347F3" w14:paraId="78A34DE8" w14:textId="77777777" w:rsidTr="003347F3">
        <w:tc>
          <w:tcPr>
            <w:tcW w:w="2254" w:type="dxa"/>
          </w:tcPr>
          <w:p w14:paraId="652BD8B1" w14:textId="25366949" w:rsidR="003347F3" w:rsidRPr="003347F3" w:rsidRDefault="003347F3" w:rsidP="00950571">
            <w:pPr>
              <w:rPr>
                <w:rFonts w:ascii="Arial" w:hAnsi="Arial" w:cs="Arial"/>
              </w:rPr>
            </w:pPr>
            <w:r w:rsidRPr="003347F3">
              <w:rPr>
                <w:rFonts w:ascii="Arial" w:hAnsi="Arial" w:cs="Arial"/>
              </w:rPr>
              <w:t>Legal System</w:t>
            </w:r>
          </w:p>
        </w:tc>
        <w:tc>
          <w:tcPr>
            <w:tcW w:w="2254" w:type="dxa"/>
          </w:tcPr>
          <w:p w14:paraId="5E24F356" w14:textId="091A7995" w:rsidR="003347F3" w:rsidRPr="003347F3" w:rsidRDefault="003347F3" w:rsidP="00950571">
            <w:pPr>
              <w:rPr>
                <w:rFonts w:ascii="Arial" w:hAnsi="Arial" w:cs="Arial"/>
              </w:rPr>
            </w:pPr>
            <w:r w:rsidRPr="003347F3">
              <w:rPr>
                <w:rFonts w:ascii="Arial" w:hAnsi="Arial" w:cs="Arial"/>
              </w:rPr>
              <w:t>Common law</w:t>
            </w: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347F3" w:rsidRPr="003347F3" w14:paraId="41CCA0B6" w14:textId="77777777" w:rsidTr="003347F3">
              <w:trPr>
                <w:tblCellSpacing w:w="15" w:type="dxa"/>
              </w:trPr>
              <w:tc>
                <w:tcPr>
                  <w:tcW w:w="0" w:type="auto"/>
                  <w:vAlign w:val="center"/>
                  <w:hideMark/>
                </w:tcPr>
                <w:p w14:paraId="51B9039E" w14:textId="77777777" w:rsidR="003347F3" w:rsidRPr="003347F3" w:rsidRDefault="003347F3" w:rsidP="003347F3">
                  <w:pPr>
                    <w:spacing w:after="0" w:line="240" w:lineRule="auto"/>
                    <w:rPr>
                      <w:rFonts w:ascii="Arial" w:eastAsia="Times New Roman" w:hAnsi="Arial" w:cs="Arial"/>
                      <w:lang w:eastAsia="en-GB"/>
                    </w:rPr>
                  </w:pPr>
                </w:p>
              </w:tc>
            </w:tr>
          </w:tbl>
          <w:p w14:paraId="623E3790" w14:textId="77777777" w:rsidR="003347F3" w:rsidRPr="003347F3" w:rsidRDefault="003347F3" w:rsidP="003347F3">
            <w:pPr>
              <w:rPr>
                <w:rFonts w:ascii="Arial" w:eastAsia="Times New Roman" w:hAnsi="Arial" w:cs="Arial"/>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7"/>
            </w:tblGrid>
            <w:tr w:rsidR="003347F3" w:rsidRPr="003347F3" w14:paraId="2FE9517C" w14:textId="77777777" w:rsidTr="003347F3">
              <w:trPr>
                <w:tblCellSpacing w:w="15" w:type="dxa"/>
              </w:trPr>
              <w:tc>
                <w:tcPr>
                  <w:tcW w:w="0" w:type="auto"/>
                  <w:vAlign w:val="center"/>
                  <w:hideMark/>
                </w:tcPr>
                <w:p w14:paraId="07E67A2A" w14:textId="77777777" w:rsidR="003347F3" w:rsidRPr="003347F3" w:rsidRDefault="003347F3" w:rsidP="003347F3">
                  <w:pPr>
                    <w:spacing w:after="0" w:line="240" w:lineRule="auto"/>
                    <w:rPr>
                      <w:rFonts w:ascii="Arial" w:eastAsia="Times New Roman" w:hAnsi="Arial" w:cs="Arial"/>
                      <w:lang w:eastAsia="en-GB"/>
                    </w:rPr>
                  </w:pPr>
                  <w:r w:rsidRPr="003347F3">
                    <w:rPr>
                      <w:rFonts w:ascii="Arial" w:eastAsia="Times New Roman" w:hAnsi="Arial" w:cs="Arial"/>
                      <w:lang w:eastAsia="en-GB"/>
                    </w:rPr>
                    <w:t>Civil law</w:t>
                  </w:r>
                </w:p>
              </w:tc>
            </w:tr>
          </w:tbl>
          <w:p w14:paraId="4A981FCE" w14:textId="77777777" w:rsidR="003347F3" w:rsidRPr="003347F3" w:rsidRDefault="003347F3" w:rsidP="00950571">
            <w:pPr>
              <w:rPr>
                <w:rFonts w:ascii="Arial" w:hAnsi="Arial" w:cs="Arial"/>
              </w:rPr>
            </w:pPr>
          </w:p>
        </w:tc>
        <w:tc>
          <w:tcPr>
            <w:tcW w:w="2254" w:type="dxa"/>
          </w:tcPr>
          <w:p w14:paraId="4908FB73" w14:textId="1EB38708" w:rsidR="003347F3" w:rsidRPr="003347F3" w:rsidRDefault="003347F3" w:rsidP="00950571">
            <w:pPr>
              <w:rPr>
                <w:rFonts w:ascii="Arial" w:hAnsi="Arial" w:cs="Arial"/>
              </w:rPr>
            </w:pPr>
            <w:r w:rsidRPr="003347F3">
              <w:rPr>
                <w:rFonts w:ascii="Arial" w:hAnsi="Arial" w:cs="Arial"/>
              </w:rPr>
              <w:t>Civil law</w:t>
            </w:r>
          </w:p>
        </w:tc>
      </w:tr>
      <w:tr w:rsidR="003347F3" w:rsidRPr="003347F3" w14:paraId="4C6B8C15" w14:textId="77777777" w:rsidTr="003347F3">
        <w:tc>
          <w:tcPr>
            <w:tcW w:w="2254" w:type="dxa"/>
          </w:tcPr>
          <w:p w14:paraId="2BF0A309" w14:textId="2E0953FA" w:rsidR="003347F3" w:rsidRPr="003347F3" w:rsidRDefault="003347F3" w:rsidP="00950571">
            <w:pPr>
              <w:rPr>
                <w:rFonts w:ascii="Arial" w:hAnsi="Arial" w:cs="Arial"/>
              </w:rPr>
            </w:pPr>
            <w:r w:rsidRPr="003347F3">
              <w:rPr>
                <w:rFonts w:ascii="Arial" w:hAnsi="Arial" w:cs="Arial"/>
              </w:rPr>
              <w:t>Board Structure</w:t>
            </w:r>
          </w:p>
        </w:tc>
        <w:tc>
          <w:tcPr>
            <w:tcW w:w="2254" w:type="dxa"/>
          </w:tcPr>
          <w:p w14:paraId="49AB5D85" w14:textId="5BB95108" w:rsidR="003347F3" w:rsidRPr="003347F3" w:rsidRDefault="003347F3" w:rsidP="00950571">
            <w:pPr>
              <w:rPr>
                <w:rFonts w:ascii="Arial" w:hAnsi="Arial" w:cs="Arial"/>
              </w:rPr>
            </w:pPr>
            <w:r w:rsidRPr="003347F3">
              <w:rPr>
                <w:rFonts w:ascii="Arial" w:hAnsi="Arial" w:cs="Arial"/>
              </w:rPr>
              <w:t>Unitary (executives &amp; NEDs)</w:t>
            </w:r>
          </w:p>
        </w:tc>
        <w:tc>
          <w:tcPr>
            <w:tcW w:w="2254" w:type="dxa"/>
          </w:tcPr>
          <w:p w14:paraId="4E2F9B92" w14:textId="3DF2DE19" w:rsidR="003347F3" w:rsidRPr="003347F3" w:rsidRDefault="003347F3" w:rsidP="00950571">
            <w:pPr>
              <w:rPr>
                <w:rFonts w:ascii="Arial" w:hAnsi="Arial" w:cs="Arial"/>
              </w:rPr>
            </w:pPr>
            <w:r w:rsidRPr="003347F3">
              <w:rPr>
                <w:rFonts w:ascii="Arial" w:hAnsi="Arial" w:cs="Arial"/>
              </w:rPr>
              <w:t>Mandatory dual-board</w:t>
            </w:r>
          </w:p>
        </w:tc>
        <w:tc>
          <w:tcPr>
            <w:tcW w:w="2254" w:type="dxa"/>
          </w:tcPr>
          <w:p w14:paraId="13700B3B" w14:textId="0FD833FB" w:rsidR="003347F3" w:rsidRPr="003347F3" w:rsidRDefault="003347F3" w:rsidP="00950571">
            <w:pPr>
              <w:rPr>
                <w:rFonts w:ascii="Arial" w:hAnsi="Arial" w:cs="Arial"/>
              </w:rPr>
            </w:pPr>
            <w:r w:rsidRPr="003347F3">
              <w:rPr>
                <w:rFonts w:ascii="Arial" w:hAnsi="Arial" w:cs="Arial"/>
              </w:rPr>
              <w:t>Dual-board recommended</w:t>
            </w:r>
          </w:p>
        </w:tc>
      </w:tr>
      <w:tr w:rsidR="003347F3" w:rsidRPr="003347F3" w14:paraId="2F255200" w14:textId="77777777" w:rsidTr="003347F3">
        <w:tc>
          <w:tcPr>
            <w:tcW w:w="2254" w:type="dxa"/>
          </w:tcPr>
          <w:p w14:paraId="54E9DD91" w14:textId="21D311A1" w:rsidR="003347F3" w:rsidRPr="003347F3" w:rsidRDefault="003347F3" w:rsidP="00950571">
            <w:pPr>
              <w:rPr>
                <w:rFonts w:ascii="Arial" w:hAnsi="Arial" w:cs="Arial"/>
              </w:rPr>
            </w:pPr>
            <w:r w:rsidRPr="003347F3">
              <w:rPr>
                <w:rFonts w:ascii="Arial" w:hAnsi="Arial" w:cs="Arial"/>
              </w:rPr>
              <w:t>Shareholder Rights</w:t>
            </w:r>
          </w:p>
        </w:tc>
        <w:tc>
          <w:tcPr>
            <w:tcW w:w="2254" w:type="dxa"/>
          </w:tcPr>
          <w:p w14:paraId="2AE5D8A5" w14:textId="65D3010C" w:rsidR="003347F3" w:rsidRPr="003347F3" w:rsidRDefault="003347F3" w:rsidP="00950571">
            <w:pPr>
              <w:rPr>
                <w:rFonts w:ascii="Arial" w:hAnsi="Arial" w:cs="Arial"/>
              </w:rPr>
            </w:pPr>
            <w:r w:rsidRPr="003347F3">
              <w:rPr>
                <w:rFonts w:ascii="Arial" w:hAnsi="Arial" w:cs="Arial"/>
              </w:rPr>
              <w:t>Strong</w:t>
            </w:r>
          </w:p>
        </w:tc>
        <w:tc>
          <w:tcPr>
            <w:tcW w:w="2254" w:type="dxa"/>
          </w:tcPr>
          <w:p w14:paraId="4EB50B08" w14:textId="628C2A65" w:rsidR="003347F3" w:rsidRPr="003347F3" w:rsidRDefault="003347F3" w:rsidP="00950571">
            <w:pPr>
              <w:rPr>
                <w:rFonts w:ascii="Arial" w:hAnsi="Arial" w:cs="Arial"/>
              </w:rPr>
            </w:pPr>
            <w:r w:rsidRPr="003347F3">
              <w:rPr>
                <w:rFonts w:ascii="Arial" w:hAnsi="Arial" w:cs="Arial"/>
              </w:rPr>
              <w:t>Historically weak</w:t>
            </w:r>
          </w:p>
        </w:tc>
        <w:tc>
          <w:tcPr>
            <w:tcW w:w="2254" w:type="dxa"/>
          </w:tcPr>
          <w:p w14:paraId="12750AA0" w14:textId="46EB9CB6" w:rsidR="003347F3" w:rsidRPr="003347F3" w:rsidRDefault="003347F3" w:rsidP="00950571">
            <w:pPr>
              <w:rPr>
                <w:rFonts w:ascii="Arial" w:hAnsi="Arial" w:cs="Arial"/>
              </w:rPr>
            </w:pPr>
            <w:r w:rsidRPr="003347F3">
              <w:rPr>
                <w:rFonts w:ascii="Arial" w:hAnsi="Arial" w:cs="Arial"/>
              </w:rPr>
              <w:t>Strong (EU protected)</w:t>
            </w:r>
          </w:p>
        </w:tc>
      </w:tr>
      <w:tr w:rsidR="003347F3" w:rsidRPr="003347F3" w14:paraId="2AD01B95" w14:textId="77777777" w:rsidTr="003347F3">
        <w:tc>
          <w:tcPr>
            <w:tcW w:w="2254" w:type="dxa"/>
          </w:tcPr>
          <w:p w14:paraId="45C7947B" w14:textId="6F318F8F" w:rsidR="003347F3" w:rsidRPr="003347F3" w:rsidRDefault="003347F3" w:rsidP="00950571">
            <w:pPr>
              <w:rPr>
                <w:rFonts w:ascii="Arial" w:hAnsi="Arial" w:cs="Arial"/>
              </w:rPr>
            </w:pPr>
            <w:r w:rsidRPr="003347F3">
              <w:rPr>
                <w:rFonts w:ascii="Arial" w:hAnsi="Arial" w:cs="Arial"/>
              </w:rPr>
              <w:t>Dual-Class Shares</w:t>
            </w: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347F3" w:rsidRPr="003347F3" w14:paraId="7A203F99" w14:textId="77777777" w:rsidTr="003347F3">
              <w:trPr>
                <w:tblCellSpacing w:w="15" w:type="dxa"/>
              </w:trPr>
              <w:tc>
                <w:tcPr>
                  <w:tcW w:w="0" w:type="auto"/>
                  <w:vAlign w:val="center"/>
                  <w:hideMark/>
                </w:tcPr>
                <w:p w14:paraId="6CD9C9D1" w14:textId="77777777" w:rsidR="003347F3" w:rsidRPr="003347F3" w:rsidRDefault="003347F3" w:rsidP="003347F3">
                  <w:pPr>
                    <w:spacing w:after="0" w:line="240" w:lineRule="auto"/>
                    <w:rPr>
                      <w:rFonts w:ascii="Arial" w:eastAsia="Times New Roman" w:hAnsi="Arial" w:cs="Arial"/>
                      <w:lang w:eastAsia="en-GB"/>
                    </w:rPr>
                  </w:pPr>
                </w:p>
              </w:tc>
            </w:tr>
          </w:tbl>
          <w:p w14:paraId="4234C758" w14:textId="77777777" w:rsidR="003347F3" w:rsidRPr="003347F3" w:rsidRDefault="003347F3" w:rsidP="003347F3">
            <w:pPr>
              <w:rPr>
                <w:rFonts w:ascii="Arial" w:eastAsia="Times New Roman" w:hAnsi="Arial" w:cs="Arial"/>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2"/>
            </w:tblGrid>
            <w:tr w:rsidR="003347F3" w:rsidRPr="003347F3" w14:paraId="3BC2A157" w14:textId="77777777" w:rsidTr="003347F3">
              <w:trPr>
                <w:tblCellSpacing w:w="15" w:type="dxa"/>
              </w:trPr>
              <w:tc>
                <w:tcPr>
                  <w:tcW w:w="0" w:type="auto"/>
                  <w:vAlign w:val="center"/>
                  <w:hideMark/>
                </w:tcPr>
                <w:p w14:paraId="7DD0510F" w14:textId="77777777" w:rsidR="003347F3" w:rsidRPr="003347F3" w:rsidRDefault="003347F3" w:rsidP="003347F3">
                  <w:pPr>
                    <w:spacing w:after="0" w:line="240" w:lineRule="auto"/>
                    <w:rPr>
                      <w:rFonts w:ascii="Arial" w:eastAsia="Times New Roman" w:hAnsi="Arial" w:cs="Arial"/>
                      <w:lang w:eastAsia="en-GB"/>
                    </w:rPr>
                  </w:pPr>
                  <w:r w:rsidRPr="003347F3">
                    <w:rPr>
                      <w:rFonts w:ascii="Arial" w:eastAsia="Times New Roman" w:hAnsi="Arial" w:cs="Arial"/>
                      <w:lang w:eastAsia="en-GB"/>
                    </w:rPr>
                    <w:t>Permitted</w:t>
                  </w:r>
                </w:p>
              </w:tc>
            </w:tr>
          </w:tbl>
          <w:p w14:paraId="1497FB4B" w14:textId="77777777" w:rsidR="003347F3" w:rsidRPr="003347F3" w:rsidRDefault="003347F3" w:rsidP="00950571">
            <w:pPr>
              <w:rPr>
                <w:rFonts w:ascii="Arial" w:hAnsi="Arial" w:cs="Arial"/>
              </w:rPr>
            </w:pPr>
          </w:p>
        </w:tc>
        <w:tc>
          <w:tcPr>
            <w:tcW w:w="2254" w:type="dxa"/>
          </w:tcPr>
          <w:p w14:paraId="25902019" w14:textId="19EDE43B" w:rsidR="003347F3" w:rsidRPr="003347F3" w:rsidRDefault="003347F3" w:rsidP="00950571">
            <w:pPr>
              <w:rPr>
                <w:rFonts w:ascii="Arial" w:hAnsi="Arial" w:cs="Arial"/>
              </w:rPr>
            </w:pPr>
            <w:r w:rsidRPr="003347F3">
              <w:rPr>
                <w:rFonts w:ascii="Arial" w:hAnsi="Arial" w:cs="Arial"/>
              </w:rPr>
              <w:t>Restricted</w:t>
            </w:r>
          </w:p>
        </w:tc>
        <w:tc>
          <w:tcPr>
            <w:tcW w:w="2254" w:type="dxa"/>
          </w:tcPr>
          <w:p w14:paraId="252C2D3C" w14:textId="0BEE4422" w:rsidR="003347F3" w:rsidRPr="003347F3" w:rsidRDefault="003347F3" w:rsidP="00950571">
            <w:pPr>
              <w:rPr>
                <w:rFonts w:ascii="Arial" w:hAnsi="Arial" w:cs="Arial"/>
              </w:rPr>
            </w:pPr>
            <w:r w:rsidRPr="003347F3">
              <w:rPr>
                <w:rFonts w:ascii="Arial" w:hAnsi="Arial" w:cs="Arial"/>
              </w:rPr>
              <w:t>Permitted with justification</w:t>
            </w:r>
          </w:p>
        </w:tc>
      </w:tr>
      <w:tr w:rsidR="003347F3" w:rsidRPr="003347F3" w14:paraId="5D5B3F58" w14:textId="77777777" w:rsidTr="003347F3">
        <w:tc>
          <w:tcPr>
            <w:tcW w:w="2254" w:type="dxa"/>
          </w:tcPr>
          <w:p w14:paraId="0CBEF33B" w14:textId="297DD815" w:rsidR="003347F3" w:rsidRPr="003347F3" w:rsidRDefault="003347F3" w:rsidP="00950571">
            <w:pPr>
              <w:rPr>
                <w:rFonts w:ascii="Arial" w:hAnsi="Arial" w:cs="Arial"/>
              </w:rPr>
            </w:pPr>
            <w:r w:rsidRPr="003347F3">
              <w:rPr>
                <w:rFonts w:ascii="Arial" w:hAnsi="Arial" w:cs="Arial"/>
              </w:rPr>
              <w:t>Regulatory Focus</w:t>
            </w:r>
          </w:p>
        </w:tc>
        <w:tc>
          <w:tcPr>
            <w:tcW w:w="2254" w:type="dxa"/>
          </w:tcPr>
          <w:p w14:paraId="1485D895" w14:textId="18CF74DB" w:rsidR="003347F3" w:rsidRPr="003347F3" w:rsidRDefault="003347F3" w:rsidP="00950571">
            <w:pPr>
              <w:rPr>
                <w:rFonts w:ascii="Arial" w:hAnsi="Arial" w:cs="Arial"/>
              </w:rPr>
            </w:pPr>
            <w:r w:rsidRPr="003347F3">
              <w:rPr>
                <w:rFonts w:ascii="Arial" w:hAnsi="Arial" w:cs="Arial"/>
              </w:rPr>
              <w:t>Shareholder value</w:t>
            </w:r>
          </w:p>
        </w:tc>
        <w:tc>
          <w:tcPr>
            <w:tcW w:w="2254" w:type="dxa"/>
          </w:tcPr>
          <w:p w14:paraId="6DD27DCE" w14:textId="3C647AEE" w:rsidR="003347F3" w:rsidRPr="003347F3" w:rsidRDefault="003347F3" w:rsidP="00950571">
            <w:pPr>
              <w:rPr>
                <w:rFonts w:ascii="Arial" w:hAnsi="Arial" w:cs="Arial"/>
              </w:rPr>
            </w:pPr>
            <w:r w:rsidRPr="003347F3">
              <w:rPr>
                <w:rFonts w:ascii="Arial" w:hAnsi="Arial" w:cs="Arial"/>
              </w:rPr>
              <w:t>State and social stability</w:t>
            </w:r>
          </w:p>
        </w:tc>
        <w:tc>
          <w:tcPr>
            <w:tcW w:w="2254" w:type="dxa"/>
          </w:tcPr>
          <w:p w14:paraId="3F313216" w14:textId="09DEF745" w:rsidR="003347F3" w:rsidRPr="003347F3" w:rsidRDefault="003347F3" w:rsidP="00950571">
            <w:pPr>
              <w:rPr>
                <w:rFonts w:ascii="Arial" w:hAnsi="Arial" w:cs="Arial"/>
              </w:rPr>
            </w:pPr>
            <w:r w:rsidRPr="003347F3">
              <w:rPr>
                <w:rFonts w:ascii="Arial" w:hAnsi="Arial" w:cs="Arial"/>
              </w:rPr>
              <w:t>Stakeholder-oriented</w:t>
            </w:r>
          </w:p>
        </w:tc>
      </w:tr>
      <w:tr w:rsidR="003347F3" w:rsidRPr="003347F3" w14:paraId="7969D564" w14:textId="77777777" w:rsidTr="003347F3">
        <w:tc>
          <w:tcPr>
            <w:tcW w:w="2254" w:type="dxa"/>
          </w:tcPr>
          <w:p w14:paraId="109A0C81" w14:textId="29A386FD" w:rsidR="003347F3" w:rsidRPr="003347F3" w:rsidRDefault="003347F3" w:rsidP="00950571">
            <w:pPr>
              <w:rPr>
                <w:rFonts w:ascii="Arial" w:hAnsi="Arial" w:cs="Arial"/>
              </w:rPr>
            </w:pPr>
            <w:r w:rsidRPr="003347F3">
              <w:rPr>
                <w:rFonts w:ascii="Arial" w:hAnsi="Arial" w:cs="Arial"/>
              </w:rPr>
              <w:t>Reporting Standards</w:t>
            </w:r>
          </w:p>
        </w:tc>
        <w:tc>
          <w:tcPr>
            <w:tcW w:w="2254" w:type="dxa"/>
          </w:tcPr>
          <w:p w14:paraId="00DE7C2C" w14:textId="350005DC" w:rsidR="003347F3" w:rsidRPr="003347F3" w:rsidRDefault="003347F3" w:rsidP="00950571">
            <w:pPr>
              <w:rPr>
                <w:rFonts w:ascii="Arial" w:hAnsi="Arial" w:cs="Arial"/>
              </w:rPr>
            </w:pPr>
            <w:r w:rsidRPr="003347F3">
              <w:rPr>
                <w:rFonts w:ascii="Arial" w:hAnsi="Arial" w:cs="Arial"/>
              </w:rPr>
              <w:t>IFRS, flexible for AIM</w:t>
            </w:r>
          </w:p>
        </w:tc>
        <w:tc>
          <w:tcPr>
            <w:tcW w:w="2254" w:type="dxa"/>
          </w:tcPr>
          <w:p w14:paraId="724E4626" w14:textId="5606921E" w:rsidR="003347F3" w:rsidRPr="003347F3" w:rsidRDefault="003347F3" w:rsidP="00950571">
            <w:pPr>
              <w:rPr>
                <w:rFonts w:ascii="Arial" w:hAnsi="Arial" w:cs="Arial"/>
              </w:rPr>
            </w:pPr>
            <w:r w:rsidRPr="003347F3">
              <w:rPr>
                <w:rFonts w:ascii="Arial" w:hAnsi="Arial" w:cs="Arial"/>
              </w:rPr>
              <w:t>Chinese GAAP, State oversight</w:t>
            </w:r>
          </w:p>
        </w:tc>
        <w:tc>
          <w:tcPr>
            <w:tcW w:w="2254" w:type="dxa"/>
          </w:tcPr>
          <w:p w14:paraId="3FE6196A" w14:textId="64045F37" w:rsidR="003347F3" w:rsidRPr="003347F3" w:rsidRDefault="003347F3" w:rsidP="00950571">
            <w:pPr>
              <w:rPr>
                <w:rFonts w:ascii="Arial" w:hAnsi="Arial" w:cs="Arial"/>
              </w:rPr>
            </w:pPr>
            <w:r w:rsidRPr="003347F3">
              <w:rPr>
                <w:rFonts w:ascii="Arial" w:hAnsi="Arial" w:cs="Arial"/>
              </w:rPr>
              <w:t>IFRS, EU-mandated</w:t>
            </w:r>
          </w:p>
        </w:tc>
      </w:tr>
      <w:tr w:rsidR="003347F3" w:rsidRPr="003347F3" w14:paraId="1169871D" w14:textId="77777777" w:rsidTr="003347F3">
        <w:tc>
          <w:tcPr>
            <w:tcW w:w="2254" w:type="dxa"/>
          </w:tcPr>
          <w:p w14:paraId="6C2C4E05" w14:textId="37F4AFAB" w:rsidR="003347F3" w:rsidRPr="003347F3" w:rsidRDefault="003347F3" w:rsidP="00950571">
            <w:pPr>
              <w:rPr>
                <w:rFonts w:ascii="Arial" w:hAnsi="Arial" w:cs="Arial"/>
              </w:rPr>
            </w:pPr>
            <w:r w:rsidRPr="003347F3">
              <w:rPr>
                <w:rFonts w:ascii="Arial" w:hAnsi="Arial" w:cs="Arial"/>
              </w:rPr>
              <w:t>Institutional Culture</w:t>
            </w:r>
          </w:p>
        </w:tc>
        <w:tc>
          <w:tcPr>
            <w:tcW w:w="2254" w:type="dxa"/>
          </w:tcPr>
          <w:p w14:paraId="7AB9F6D8" w14:textId="158EF3F9" w:rsidR="003347F3" w:rsidRPr="003347F3" w:rsidRDefault="003347F3" w:rsidP="00950571">
            <w:pPr>
              <w:rPr>
                <w:rFonts w:ascii="Arial" w:hAnsi="Arial" w:cs="Arial"/>
              </w:rPr>
            </w:pPr>
            <w:r w:rsidRPr="003347F3">
              <w:rPr>
                <w:rFonts w:ascii="Arial" w:hAnsi="Arial" w:cs="Arial"/>
              </w:rPr>
              <w:t>Transparency, independence</w:t>
            </w:r>
          </w:p>
        </w:tc>
        <w:tc>
          <w:tcPr>
            <w:tcW w:w="2254" w:type="dxa"/>
          </w:tcPr>
          <w:p w14:paraId="4B3FC55D" w14:textId="5F81084A" w:rsidR="003347F3" w:rsidRPr="003347F3" w:rsidRDefault="003347F3" w:rsidP="00950571">
            <w:pPr>
              <w:rPr>
                <w:rFonts w:ascii="Arial" w:hAnsi="Arial" w:cs="Arial"/>
              </w:rPr>
            </w:pPr>
            <w:r w:rsidRPr="003347F3">
              <w:rPr>
                <w:rFonts w:ascii="Arial" w:hAnsi="Arial" w:cs="Arial"/>
              </w:rPr>
              <w:t>State control, hierarchical</w:t>
            </w:r>
          </w:p>
        </w:tc>
        <w:tc>
          <w:tcPr>
            <w:tcW w:w="2254" w:type="dxa"/>
          </w:tcPr>
          <w:p w14:paraId="6883553A" w14:textId="2442B078" w:rsidR="003347F3" w:rsidRPr="003347F3" w:rsidRDefault="003347F3" w:rsidP="00950571">
            <w:pPr>
              <w:rPr>
                <w:rFonts w:ascii="Arial" w:hAnsi="Arial" w:cs="Arial"/>
              </w:rPr>
            </w:pPr>
            <w:r w:rsidRPr="003347F3">
              <w:rPr>
                <w:rFonts w:ascii="Arial" w:hAnsi="Arial" w:cs="Arial"/>
              </w:rPr>
              <w:t>Consensus-based</w:t>
            </w:r>
          </w:p>
        </w:tc>
      </w:tr>
    </w:tbl>
    <w:p w14:paraId="35DB349D" w14:textId="77777777" w:rsidR="003347F3" w:rsidRPr="003347F3" w:rsidRDefault="003347F3" w:rsidP="003347F3">
      <w:pPr>
        <w:pStyle w:val="Heading4"/>
        <w:spacing w:line="360" w:lineRule="auto"/>
        <w:rPr>
          <w:rFonts w:ascii="Arial" w:hAnsi="Arial" w:cs="Arial"/>
          <w:color w:val="auto"/>
        </w:rPr>
      </w:pPr>
      <w:r w:rsidRPr="003347F3">
        <w:rPr>
          <w:rStyle w:val="Strong"/>
          <w:rFonts w:ascii="Arial" w:hAnsi="Arial" w:cs="Arial"/>
          <w:color w:val="auto"/>
        </w:rPr>
        <w:t>Implications</w:t>
      </w:r>
    </w:p>
    <w:p w14:paraId="357E324B" w14:textId="72881016" w:rsidR="003347F3" w:rsidRPr="003347F3" w:rsidRDefault="003347F3" w:rsidP="003347F3">
      <w:pPr>
        <w:pStyle w:val="NormalWeb"/>
        <w:numPr>
          <w:ilvl w:val="0"/>
          <w:numId w:val="7"/>
        </w:numPr>
        <w:spacing w:line="360" w:lineRule="auto"/>
        <w:rPr>
          <w:rFonts w:ascii="Arial" w:hAnsi="Arial" w:cs="Arial"/>
          <w:sz w:val="22"/>
          <w:szCs w:val="22"/>
        </w:rPr>
      </w:pPr>
      <w:r w:rsidRPr="003347F3">
        <w:rPr>
          <w:rStyle w:val="Strong"/>
          <w:rFonts w:ascii="Arial" w:hAnsi="Arial" w:cs="Arial"/>
          <w:sz w:val="22"/>
          <w:szCs w:val="22"/>
        </w:rPr>
        <w:t>Shanghai</w:t>
      </w:r>
      <w:r w:rsidRPr="003347F3">
        <w:rPr>
          <w:rFonts w:ascii="Arial" w:hAnsi="Arial" w:cs="Arial"/>
          <w:sz w:val="22"/>
          <w:szCs w:val="22"/>
        </w:rPr>
        <w:t xml:space="preserve"> offers access to capital but entails complex regulatory approvals and possible state intervention. Foreign ownership is restricted, and governance reforms are still evolving</w:t>
      </w:r>
      <w:sdt>
        <w:sdtPr>
          <w:rPr>
            <w:rFonts w:ascii="Arial" w:hAnsi="Arial" w:cs="Arial"/>
            <w:sz w:val="22"/>
            <w:szCs w:val="22"/>
          </w:rPr>
          <w:id w:val="-115453171"/>
          <w:citation/>
        </w:sdtPr>
        <w:sdtEndPr/>
        <w:sdtContent>
          <w:r w:rsidR="00456568">
            <w:rPr>
              <w:rFonts w:ascii="Arial" w:hAnsi="Arial" w:cs="Arial"/>
              <w:sz w:val="22"/>
              <w:szCs w:val="22"/>
            </w:rPr>
            <w:fldChar w:fldCharType="begin"/>
          </w:r>
          <w:r w:rsidR="00456568">
            <w:rPr>
              <w:rFonts w:ascii="Arial" w:hAnsi="Arial" w:cs="Arial"/>
              <w:sz w:val="22"/>
              <w:szCs w:val="22"/>
              <w:lang w:val="en-US"/>
            </w:rPr>
            <w:instrText xml:space="preserve"> CITATION OEC22 \l 1033 </w:instrText>
          </w:r>
          <w:r w:rsidR="00456568">
            <w:rPr>
              <w:rFonts w:ascii="Arial" w:hAnsi="Arial" w:cs="Arial"/>
              <w:sz w:val="22"/>
              <w:szCs w:val="22"/>
            </w:rPr>
            <w:fldChar w:fldCharType="separate"/>
          </w:r>
          <w:r w:rsidR="00B0719A">
            <w:rPr>
              <w:rFonts w:ascii="Arial" w:hAnsi="Arial" w:cs="Arial"/>
              <w:noProof/>
              <w:sz w:val="22"/>
              <w:szCs w:val="22"/>
              <w:lang w:val="en-US"/>
            </w:rPr>
            <w:t xml:space="preserve"> </w:t>
          </w:r>
          <w:r w:rsidR="00B0719A" w:rsidRPr="00B0719A">
            <w:rPr>
              <w:rFonts w:ascii="Arial" w:hAnsi="Arial" w:cs="Arial"/>
              <w:noProof/>
              <w:sz w:val="22"/>
              <w:szCs w:val="22"/>
              <w:lang w:val="en-US"/>
            </w:rPr>
            <w:t>(OECD, 2022)</w:t>
          </w:r>
          <w:r w:rsidR="00456568">
            <w:rPr>
              <w:rFonts w:ascii="Arial" w:hAnsi="Arial" w:cs="Arial"/>
              <w:sz w:val="22"/>
              <w:szCs w:val="22"/>
            </w:rPr>
            <w:fldChar w:fldCharType="end"/>
          </w:r>
        </w:sdtContent>
      </w:sdt>
      <w:r w:rsidR="00456568">
        <w:rPr>
          <w:rFonts w:ascii="Arial" w:hAnsi="Arial" w:cs="Arial"/>
          <w:sz w:val="22"/>
          <w:szCs w:val="22"/>
        </w:rPr>
        <w:t>.</w:t>
      </w:r>
    </w:p>
    <w:p w14:paraId="455C371F" w14:textId="77777777" w:rsidR="003347F3" w:rsidRPr="003347F3" w:rsidRDefault="003347F3" w:rsidP="003347F3">
      <w:pPr>
        <w:pStyle w:val="NormalWeb"/>
        <w:numPr>
          <w:ilvl w:val="0"/>
          <w:numId w:val="7"/>
        </w:numPr>
        <w:spacing w:line="360" w:lineRule="auto"/>
        <w:rPr>
          <w:rFonts w:ascii="Arial" w:hAnsi="Arial" w:cs="Arial"/>
          <w:sz w:val="22"/>
          <w:szCs w:val="22"/>
        </w:rPr>
      </w:pPr>
      <w:r w:rsidRPr="003347F3">
        <w:rPr>
          <w:rStyle w:val="Strong"/>
          <w:rFonts w:ascii="Arial" w:hAnsi="Arial" w:cs="Arial"/>
          <w:sz w:val="22"/>
          <w:szCs w:val="22"/>
        </w:rPr>
        <w:t>Netherlands</w:t>
      </w:r>
      <w:r w:rsidRPr="003347F3">
        <w:rPr>
          <w:rFonts w:ascii="Arial" w:hAnsi="Arial" w:cs="Arial"/>
          <w:sz w:val="22"/>
          <w:szCs w:val="22"/>
        </w:rPr>
        <w:t xml:space="preserve"> promotes strong investor protection and sustainability but may introduce constraints through stakeholder obligations and EU regulations.</w:t>
      </w:r>
    </w:p>
    <w:p w14:paraId="7DBB6BDC" w14:textId="77777777" w:rsidR="003347F3" w:rsidRPr="003347F3" w:rsidRDefault="003347F3" w:rsidP="003347F3">
      <w:pPr>
        <w:pStyle w:val="NormalWeb"/>
        <w:numPr>
          <w:ilvl w:val="0"/>
          <w:numId w:val="7"/>
        </w:numPr>
        <w:spacing w:line="360" w:lineRule="auto"/>
        <w:rPr>
          <w:rFonts w:ascii="Arial" w:hAnsi="Arial" w:cs="Arial"/>
          <w:sz w:val="22"/>
          <w:szCs w:val="22"/>
        </w:rPr>
      </w:pPr>
      <w:r w:rsidRPr="003347F3">
        <w:rPr>
          <w:rStyle w:val="Strong"/>
          <w:rFonts w:ascii="Arial" w:hAnsi="Arial" w:cs="Arial"/>
          <w:sz w:val="22"/>
          <w:szCs w:val="22"/>
        </w:rPr>
        <w:t>UK AIM</w:t>
      </w:r>
      <w:r w:rsidRPr="003347F3">
        <w:rPr>
          <w:rFonts w:ascii="Arial" w:hAnsi="Arial" w:cs="Arial"/>
          <w:sz w:val="22"/>
          <w:szCs w:val="22"/>
        </w:rPr>
        <w:t xml:space="preserve"> provides a familiar legal environment, flexibility in governance structures, and allows dual-class shares, making it ideal for a family seeking control.</w:t>
      </w:r>
    </w:p>
    <w:p w14:paraId="2DFDCA2C" w14:textId="74ED88EA" w:rsidR="003347F3" w:rsidRPr="003347F3" w:rsidRDefault="003347F3" w:rsidP="003347F3">
      <w:pPr>
        <w:pStyle w:val="Heading1"/>
        <w:numPr>
          <w:ilvl w:val="0"/>
          <w:numId w:val="6"/>
        </w:numPr>
        <w:jc w:val="center"/>
        <w:rPr>
          <w:color w:val="auto"/>
        </w:rPr>
      </w:pPr>
      <w:bookmarkStart w:id="13" w:name="_Toc201327601"/>
      <w:r w:rsidRPr="003347F3">
        <w:rPr>
          <w:rStyle w:val="Strong"/>
          <w:rFonts w:ascii="Arial" w:hAnsi="Arial" w:cs="Arial"/>
          <w:color w:val="auto"/>
        </w:rPr>
        <w:t>Conclusion</w:t>
      </w:r>
      <w:bookmarkEnd w:id="13"/>
    </w:p>
    <w:p w14:paraId="7C41BB78" w14:textId="77777777" w:rsidR="003347F3" w:rsidRPr="008243A4" w:rsidRDefault="003347F3" w:rsidP="008243A4">
      <w:pPr>
        <w:pStyle w:val="NormalWeb"/>
        <w:spacing w:line="360" w:lineRule="auto"/>
        <w:ind w:firstLine="480"/>
        <w:rPr>
          <w:rFonts w:ascii="Arial" w:hAnsi="Arial" w:cs="Arial"/>
          <w:sz w:val="22"/>
          <w:szCs w:val="22"/>
        </w:rPr>
      </w:pPr>
      <w:r w:rsidRPr="008243A4">
        <w:rPr>
          <w:rFonts w:ascii="Arial" w:hAnsi="Arial" w:cs="Arial"/>
          <w:sz w:val="22"/>
          <w:szCs w:val="22"/>
        </w:rPr>
        <w:t>The transition to public ownership is a defining moment for any business, particularly a family-run firm. With only 30% shareholding post-IPO, strategic control is at risk without proactive measures. This report has demonstrated the vital importance of adopting robust corporate governance practices in line with the UK Corporate Governance Code and agency theory to mitigate shareholder-manager conflicts. Control mechanisms such as dual-class shares, structured boards, and binding agreements offer effective ways to balance investor appeal and family influence. The comparative analysis of institutional differences strongly favours AIM as the optimal listing venue.</w:t>
      </w:r>
    </w:p>
    <w:p w14:paraId="7AC86200" w14:textId="77777777" w:rsidR="007479E2" w:rsidRPr="007479E2" w:rsidRDefault="007479E2" w:rsidP="007479E2">
      <w:pPr>
        <w:spacing w:before="100" w:beforeAutospacing="1" w:after="100" w:afterAutospacing="1" w:line="360" w:lineRule="auto"/>
        <w:ind w:firstLine="480"/>
        <w:rPr>
          <w:rFonts w:ascii="Arial" w:eastAsia="Times New Roman" w:hAnsi="Arial" w:cs="Arial"/>
          <w:lang w:eastAsia="en-GB"/>
        </w:rPr>
      </w:pPr>
      <w:r w:rsidRPr="007479E2">
        <w:rPr>
          <w:rFonts w:ascii="Arial" w:eastAsia="Times New Roman" w:hAnsi="Arial" w:cs="Arial"/>
          <w:lang w:eastAsia="en-GB"/>
        </w:rPr>
        <w:t xml:space="preserve">Remuneration structures for directors must strike a balance between </w:t>
      </w:r>
      <w:r w:rsidRPr="007479E2">
        <w:rPr>
          <w:rFonts w:ascii="Arial" w:eastAsia="Times New Roman" w:hAnsi="Arial" w:cs="Arial"/>
          <w:b/>
          <w:bCs/>
          <w:lang w:eastAsia="en-GB"/>
        </w:rPr>
        <w:t>attracting and retaining leadership talent</w:t>
      </w:r>
      <w:r w:rsidRPr="007479E2">
        <w:rPr>
          <w:rFonts w:ascii="Arial" w:eastAsia="Times New Roman" w:hAnsi="Arial" w:cs="Arial"/>
          <w:lang w:eastAsia="en-GB"/>
        </w:rPr>
        <w:t xml:space="preserve"> and </w:t>
      </w:r>
      <w:r w:rsidRPr="007479E2">
        <w:rPr>
          <w:rFonts w:ascii="Arial" w:eastAsia="Times New Roman" w:hAnsi="Arial" w:cs="Arial"/>
          <w:b/>
          <w:bCs/>
          <w:lang w:eastAsia="en-GB"/>
        </w:rPr>
        <w:t>ensuring accountability</w:t>
      </w:r>
      <w:r w:rsidRPr="007479E2">
        <w:rPr>
          <w:rFonts w:ascii="Arial" w:eastAsia="Times New Roman" w:hAnsi="Arial" w:cs="Arial"/>
          <w:lang w:eastAsia="en-GB"/>
        </w:rPr>
        <w:t xml:space="preserve">. Fixed and variable pay components should be clearly linked to measurable performance targets. The role of an independent Remuneration Committee becomes crucial in achieving fairness, transparency, </w:t>
      </w:r>
      <w:r w:rsidRPr="007479E2">
        <w:rPr>
          <w:rFonts w:ascii="Arial" w:eastAsia="Times New Roman" w:hAnsi="Arial" w:cs="Arial"/>
          <w:lang w:eastAsia="en-GB"/>
        </w:rPr>
        <w:lastRenderedPageBreak/>
        <w:t>and alignment with long-term corporate goals, while adhering to governance codes and maintaining shareholder trust.</w:t>
      </w:r>
    </w:p>
    <w:p w14:paraId="74649FE5" w14:textId="77777777" w:rsidR="007479E2" w:rsidRPr="007479E2" w:rsidRDefault="007479E2" w:rsidP="007479E2">
      <w:pPr>
        <w:spacing w:before="100" w:beforeAutospacing="1" w:after="100" w:afterAutospacing="1" w:line="360" w:lineRule="auto"/>
        <w:ind w:firstLine="480"/>
        <w:rPr>
          <w:rFonts w:ascii="Arial" w:eastAsia="Times New Roman" w:hAnsi="Arial" w:cs="Arial"/>
          <w:lang w:eastAsia="en-GB"/>
        </w:rPr>
      </w:pPr>
      <w:r w:rsidRPr="007479E2">
        <w:rPr>
          <w:rFonts w:ascii="Arial" w:eastAsia="Times New Roman" w:hAnsi="Arial" w:cs="Arial"/>
          <w:lang w:eastAsia="en-GB"/>
        </w:rPr>
        <w:t xml:space="preserve">Additionally, the possibility of listing in </w:t>
      </w:r>
      <w:r w:rsidRPr="007479E2">
        <w:rPr>
          <w:rFonts w:ascii="Arial" w:eastAsia="Times New Roman" w:hAnsi="Arial" w:cs="Arial"/>
          <w:b/>
          <w:bCs/>
          <w:lang w:eastAsia="en-GB"/>
        </w:rPr>
        <w:t>Shanghai</w:t>
      </w:r>
      <w:r w:rsidRPr="007479E2">
        <w:rPr>
          <w:rFonts w:ascii="Arial" w:eastAsia="Times New Roman" w:hAnsi="Arial" w:cs="Arial"/>
          <w:lang w:eastAsia="en-GB"/>
        </w:rPr>
        <w:t xml:space="preserve"> or </w:t>
      </w:r>
      <w:r w:rsidRPr="007479E2">
        <w:rPr>
          <w:rFonts w:ascii="Arial" w:eastAsia="Times New Roman" w:hAnsi="Arial" w:cs="Arial"/>
          <w:b/>
          <w:bCs/>
          <w:lang w:eastAsia="en-GB"/>
        </w:rPr>
        <w:t>The Netherlands</w:t>
      </w:r>
      <w:r w:rsidRPr="007479E2">
        <w:rPr>
          <w:rFonts w:ascii="Arial" w:eastAsia="Times New Roman" w:hAnsi="Arial" w:cs="Arial"/>
          <w:lang w:eastAsia="en-GB"/>
        </w:rPr>
        <w:t xml:space="preserve"> introduces institutional variations that the board must carefully assess. Differences in legal systems, regulatory</w:t>
      </w:r>
      <w:r w:rsidRPr="007479E2">
        <w:rPr>
          <w:rFonts w:ascii="Arial" w:eastAsia="Times New Roman" w:hAnsi="Arial" w:cs="Arial"/>
          <w:b/>
          <w:bCs/>
          <w:lang w:eastAsia="en-GB"/>
        </w:rPr>
        <w:t xml:space="preserve"> </w:t>
      </w:r>
      <w:r w:rsidRPr="007479E2">
        <w:rPr>
          <w:rFonts w:ascii="Arial" w:eastAsia="Times New Roman" w:hAnsi="Arial" w:cs="Arial"/>
          <w:lang w:eastAsia="en-GB"/>
        </w:rPr>
        <w:t>frameworks, investor protection standards, and corporate governance norms may affect not only compliance but also investor perception and operational strategy. The UK model promotes a principles-based approach with strong emphasis on disclosure and</w:t>
      </w:r>
      <w:r w:rsidRPr="007479E2">
        <w:rPr>
          <w:rFonts w:ascii="Arial" w:eastAsia="Times New Roman" w:hAnsi="Arial" w:cs="Arial"/>
          <w:b/>
          <w:bCs/>
          <w:lang w:eastAsia="en-GB"/>
        </w:rPr>
        <w:t xml:space="preserve"> </w:t>
      </w:r>
      <w:r w:rsidRPr="007479E2">
        <w:rPr>
          <w:rFonts w:ascii="Arial" w:eastAsia="Times New Roman" w:hAnsi="Arial" w:cs="Arial"/>
          <w:lang w:eastAsia="en-GB"/>
        </w:rPr>
        <w:t>shareholder rights, while other jurisdictions may prioritize different regulatory mechanisms.</w:t>
      </w:r>
    </w:p>
    <w:p w14:paraId="535704CF" w14:textId="77777777" w:rsidR="007479E2" w:rsidRPr="007479E2" w:rsidRDefault="007479E2" w:rsidP="007479E2">
      <w:pPr>
        <w:spacing w:before="100" w:beforeAutospacing="1" w:after="100" w:afterAutospacing="1" w:line="360" w:lineRule="auto"/>
        <w:ind w:firstLine="480"/>
        <w:rPr>
          <w:rFonts w:ascii="Arial" w:eastAsia="Times New Roman" w:hAnsi="Arial" w:cs="Arial"/>
          <w:lang w:eastAsia="en-GB"/>
        </w:rPr>
      </w:pPr>
      <w:r w:rsidRPr="007479E2">
        <w:rPr>
          <w:rFonts w:ascii="Arial" w:eastAsia="Times New Roman" w:hAnsi="Arial" w:cs="Arial"/>
          <w:lang w:eastAsia="en-GB"/>
        </w:rPr>
        <w:t>Ultimately, the transition to a public company requires a more structured, transparent, and accountable governance environment. By implementing robust governance policies, maintaining fair and performance-aligned remuneration practices, and making informed strategic decisions about ownership and listing jurisdiction, the company can position itself for sustainable growth and long-term shareholder value creation.</w:t>
      </w:r>
    </w:p>
    <w:p w14:paraId="53C126EC" w14:textId="67806AC2" w:rsidR="00950571" w:rsidRDefault="00950571" w:rsidP="00950571"/>
    <w:p w14:paraId="448C8C49" w14:textId="5EEEB75E" w:rsidR="00456568" w:rsidRDefault="00456568" w:rsidP="00950571"/>
    <w:p w14:paraId="06FD6BBE" w14:textId="6E216067" w:rsidR="00456568" w:rsidRDefault="00456568" w:rsidP="00950571"/>
    <w:p w14:paraId="117C3CA1" w14:textId="662EA941" w:rsidR="007479E2" w:rsidRDefault="007479E2" w:rsidP="00950571"/>
    <w:p w14:paraId="2720085E" w14:textId="12EDCB41" w:rsidR="007479E2" w:rsidRDefault="007479E2" w:rsidP="00950571"/>
    <w:p w14:paraId="479B2C91" w14:textId="27099A1C" w:rsidR="007479E2" w:rsidRDefault="007479E2" w:rsidP="00950571"/>
    <w:p w14:paraId="3669D912" w14:textId="15B96A86" w:rsidR="007479E2" w:rsidRDefault="007479E2" w:rsidP="00950571"/>
    <w:p w14:paraId="05384823" w14:textId="5B3415B2" w:rsidR="007479E2" w:rsidRDefault="007479E2" w:rsidP="00950571"/>
    <w:p w14:paraId="7831233B" w14:textId="102178E9" w:rsidR="007479E2" w:rsidRDefault="007479E2" w:rsidP="00950571"/>
    <w:p w14:paraId="6F283A77" w14:textId="7557CD6E" w:rsidR="007479E2" w:rsidRDefault="007479E2" w:rsidP="00950571"/>
    <w:p w14:paraId="4470EBDF" w14:textId="3B15AE0B" w:rsidR="007479E2" w:rsidRDefault="007479E2" w:rsidP="00950571"/>
    <w:p w14:paraId="49C2A247" w14:textId="4AD8662B" w:rsidR="007479E2" w:rsidRDefault="007479E2" w:rsidP="00950571"/>
    <w:p w14:paraId="6AD45A6F" w14:textId="6F9E33DB" w:rsidR="007479E2" w:rsidRDefault="007479E2" w:rsidP="00950571"/>
    <w:p w14:paraId="2338492E" w14:textId="77777777" w:rsidR="007479E2" w:rsidRDefault="007479E2" w:rsidP="00950571"/>
    <w:p w14:paraId="2BD2E40C" w14:textId="54837B52" w:rsidR="00456568" w:rsidRDefault="00456568" w:rsidP="00950571"/>
    <w:p w14:paraId="531EE642" w14:textId="63745A46" w:rsidR="00456568" w:rsidRDefault="00456568" w:rsidP="00950571"/>
    <w:bookmarkStart w:id="14" w:name="_Toc201327602" w:displacedByCustomXml="next"/>
    <w:sdt>
      <w:sdtPr>
        <w:rPr>
          <w:rFonts w:asciiTheme="minorHAnsi" w:eastAsiaTheme="minorHAnsi" w:hAnsiTheme="minorHAnsi" w:cstheme="minorBidi"/>
          <w:color w:val="auto"/>
          <w:sz w:val="22"/>
          <w:szCs w:val="22"/>
        </w:rPr>
        <w:id w:val="-1769696473"/>
        <w:docPartObj>
          <w:docPartGallery w:val="Bibliographies"/>
          <w:docPartUnique/>
        </w:docPartObj>
      </w:sdtPr>
      <w:sdtEndPr/>
      <w:sdtContent>
        <w:p w14:paraId="584D6C8F" w14:textId="33728418" w:rsidR="00456568" w:rsidRDefault="00456568">
          <w:pPr>
            <w:pStyle w:val="Heading1"/>
          </w:pPr>
          <w:r>
            <w:t>References</w:t>
          </w:r>
          <w:bookmarkEnd w:id="14"/>
        </w:p>
        <w:sdt>
          <w:sdtPr>
            <w:id w:val="-573587230"/>
            <w:bibliography/>
          </w:sdtPr>
          <w:sdtEndPr/>
          <w:sdtContent>
            <w:p w14:paraId="46370E0D" w14:textId="77777777" w:rsidR="00B0719A" w:rsidRDefault="00456568" w:rsidP="00B0719A">
              <w:pPr>
                <w:pStyle w:val="Bibliography"/>
                <w:rPr>
                  <w:noProof/>
                  <w:sz w:val="24"/>
                  <w:szCs w:val="24"/>
                </w:rPr>
              </w:pPr>
              <w:r>
                <w:fldChar w:fldCharType="begin"/>
              </w:r>
              <w:r>
                <w:instrText xml:space="preserve"> BIBLIOGRAPHY </w:instrText>
              </w:r>
              <w:r>
                <w:fldChar w:fldCharType="separate"/>
              </w:r>
              <w:r w:rsidR="00B0719A">
                <w:rPr>
                  <w:noProof/>
                </w:rPr>
                <w:t xml:space="preserve">Banton, C., 2025. Shareholder vs. Stakeholder: What’s the Difference?. </w:t>
              </w:r>
              <w:r w:rsidR="00B0719A">
                <w:rPr>
                  <w:i/>
                  <w:iCs/>
                  <w:noProof/>
                </w:rPr>
                <w:t>https://www.investopedia.com/ask/answers/08/difference-between-a-shareholder-and-a-stakeholder.asp.</w:t>
              </w:r>
            </w:p>
            <w:p w14:paraId="4922D320" w14:textId="77777777" w:rsidR="00B0719A" w:rsidRDefault="00B0719A" w:rsidP="00B0719A">
              <w:pPr>
                <w:pStyle w:val="Bibliography"/>
                <w:rPr>
                  <w:noProof/>
                </w:rPr>
              </w:pPr>
              <w:r>
                <w:rPr>
                  <w:noProof/>
                </w:rPr>
                <w:t xml:space="preserve">Bebchuk, L. &amp;. F. J., 2004. </w:t>
              </w:r>
              <w:r>
                <w:rPr>
                  <w:i/>
                  <w:iCs/>
                  <w:noProof/>
                </w:rPr>
                <w:t xml:space="preserve">Pay Without Performance: The Unfulfilled Promise of Executive Compensation.. </w:t>
              </w:r>
              <w:r>
                <w:rPr>
                  <w:noProof/>
                </w:rPr>
                <w:t>s.l.: Harvard University Press.</w:t>
              </w:r>
            </w:p>
            <w:p w14:paraId="580A5AA0" w14:textId="77777777" w:rsidR="00B0719A" w:rsidRDefault="00B0719A" w:rsidP="00B0719A">
              <w:pPr>
                <w:pStyle w:val="Bibliography"/>
                <w:rPr>
                  <w:noProof/>
                </w:rPr>
              </w:pPr>
              <w:r>
                <w:rPr>
                  <w:noProof/>
                </w:rPr>
                <w:t xml:space="preserve">Conyon, M., 2014. Executive compensation and board governance in US firms.. </w:t>
              </w:r>
              <w:r>
                <w:rPr>
                  <w:i/>
                  <w:iCs/>
                  <w:noProof/>
                </w:rPr>
                <w:t xml:space="preserve">The Economic Journal, </w:t>
              </w:r>
              <w:r>
                <w:rPr>
                  <w:noProof/>
                </w:rPr>
                <w:t>24(574), p. F60–F89.</w:t>
              </w:r>
            </w:p>
            <w:p w14:paraId="20438A76" w14:textId="77777777" w:rsidR="00B0719A" w:rsidRDefault="00B0719A" w:rsidP="00B0719A">
              <w:pPr>
                <w:pStyle w:val="Bibliography"/>
                <w:rPr>
                  <w:noProof/>
                </w:rPr>
              </w:pPr>
              <w:r>
                <w:rPr>
                  <w:noProof/>
                </w:rPr>
                <w:t xml:space="preserve">Djamane, D., 2023. </w:t>
              </w:r>
              <w:r>
                <w:rPr>
                  <w:i/>
                  <w:iCs/>
                  <w:noProof/>
                </w:rPr>
                <w:t xml:space="preserve">The Key Elements of a Shareholders Agreement: A Comprehensive Guide. </w:t>
              </w:r>
              <w:r>
                <w:rPr>
                  <w:noProof/>
                </w:rPr>
                <w:t xml:space="preserve">[Online] </w:t>
              </w:r>
              <w:r>
                <w:rPr>
                  <w:noProof/>
                </w:rPr>
                <w:br/>
                <w:t xml:space="preserve">Available at: </w:t>
              </w:r>
              <w:r>
                <w:rPr>
                  <w:noProof/>
                  <w:u w:val="single"/>
                </w:rPr>
                <w:t>https://www.linkedin.com/pulse/key-elements-shareholders-agreement-comprehensive-guide-djamane-1f/</w:t>
              </w:r>
              <w:r>
                <w:rPr>
                  <w:noProof/>
                </w:rPr>
                <w:br/>
                <w:t>[Accessed 18 June 2023].</w:t>
              </w:r>
            </w:p>
            <w:p w14:paraId="5A239EA4" w14:textId="77777777" w:rsidR="00B0719A" w:rsidRDefault="00B0719A" w:rsidP="00B0719A">
              <w:pPr>
                <w:pStyle w:val="Bibliography"/>
                <w:rPr>
                  <w:noProof/>
                </w:rPr>
              </w:pPr>
              <w:r>
                <w:rPr>
                  <w:noProof/>
                </w:rPr>
                <w:t xml:space="preserve">Jensen, M. a. M. W., 1976. Theory of the firm: Managerial behavior, agency costs and ownership structure.. </w:t>
              </w:r>
              <w:r>
                <w:rPr>
                  <w:i/>
                  <w:iCs/>
                  <w:noProof/>
                </w:rPr>
                <w:t xml:space="preserve">Journal of Financial Economics, </w:t>
              </w:r>
              <w:r>
                <w:rPr>
                  <w:noProof/>
                </w:rPr>
                <w:t>4(3), p. 305–360.</w:t>
              </w:r>
            </w:p>
            <w:p w14:paraId="2389E840" w14:textId="77777777" w:rsidR="00B0719A" w:rsidRDefault="00B0719A" w:rsidP="00B0719A">
              <w:pPr>
                <w:pStyle w:val="Bibliography"/>
                <w:rPr>
                  <w:noProof/>
                </w:rPr>
              </w:pPr>
              <w:r>
                <w:rPr>
                  <w:noProof/>
                </w:rPr>
                <w:t xml:space="preserve">LSE, 2023. </w:t>
              </w:r>
              <w:r>
                <w:rPr>
                  <w:i/>
                  <w:iCs/>
                  <w:noProof/>
                </w:rPr>
                <w:t xml:space="preserve">AIM Rules for Companies. London Stock Exchange. </w:t>
              </w:r>
              <w:r>
                <w:rPr>
                  <w:noProof/>
                </w:rPr>
                <w:t xml:space="preserve">[Online] </w:t>
              </w:r>
              <w:r>
                <w:rPr>
                  <w:noProof/>
                </w:rPr>
                <w:br/>
                <w:t xml:space="preserve">Available at: </w:t>
              </w:r>
              <w:r>
                <w:rPr>
                  <w:noProof/>
                  <w:u w:val="single"/>
                </w:rPr>
                <w:t>https://www.londonstockexchange.com/aim</w:t>
              </w:r>
              <w:r>
                <w:rPr>
                  <w:noProof/>
                </w:rPr>
                <w:br/>
                <w:t>[Accessed 10 June 2025].</w:t>
              </w:r>
            </w:p>
            <w:p w14:paraId="7C9F9D96" w14:textId="77777777" w:rsidR="00B0719A" w:rsidRDefault="00B0719A" w:rsidP="00B0719A">
              <w:pPr>
                <w:pStyle w:val="Bibliography"/>
                <w:rPr>
                  <w:noProof/>
                </w:rPr>
              </w:pPr>
              <w:r>
                <w:rPr>
                  <w:noProof/>
                </w:rPr>
                <w:t xml:space="preserve">OECD, 2022. Corporate Governance in China: The Role of the State.. </w:t>
              </w:r>
              <w:r>
                <w:rPr>
                  <w:i/>
                  <w:iCs/>
                  <w:noProof/>
                </w:rPr>
                <w:t>OECD Publishing.</w:t>
              </w:r>
            </w:p>
            <w:p w14:paraId="126D887E" w14:textId="77777777" w:rsidR="00B0719A" w:rsidRDefault="00B0719A" w:rsidP="00B0719A">
              <w:pPr>
                <w:pStyle w:val="Bibliography"/>
                <w:rPr>
                  <w:noProof/>
                </w:rPr>
              </w:pPr>
              <w:r>
                <w:rPr>
                  <w:noProof/>
                </w:rPr>
                <w:t xml:space="preserve">Shleifer, A. a. V. R., 1997. A survey of corporate governance.. </w:t>
              </w:r>
              <w:r>
                <w:rPr>
                  <w:i/>
                  <w:iCs/>
                  <w:noProof/>
                </w:rPr>
                <w:t xml:space="preserve">The Journal of Finance, </w:t>
              </w:r>
              <w:r>
                <w:rPr>
                  <w:noProof/>
                </w:rPr>
                <w:t>2(52), p. 737–783.</w:t>
              </w:r>
            </w:p>
            <w:p w14:paraId="0F1A0D23" w14:textId="77777777" w:rsidR="00B0719A" w:rsidRDefault="00B0719A" w:rsidP="00B0719A">
              <w:pPr>
                <w:pStyle w:val="Bibliography"/>
                <w:rPr>
                  <w:noProof/>
                </w:rPr>
              </w:pPr>
              <w:r>
                <w:rPr>
                  <w:noProof/>
                </w:rPr>
                <w:t xml:space="preserve">Solomon, J., 2020. Corporate Governance and Accountability. 5th ed. Chichester: Wiley.. </w:t>
              </w:r>
            </w:p>
            <w:p w14:paraId="7576B680" w14:textId="77777777" w:rsidR="00B0719A" w:rsidRDefault="00B0719A" w:rsidP="00B0719A">
              <w:pPr>
                <w:pStyle w:val="Bibliography"/>
                <w:rPr>
                  <w:noProof/>
                </w:rPr>
              </w:pPr>
              <w:r>
                <w:rPr>
                  <w:noProof/>
                </w:rPr>
                <w:t xml:space="preserve">Tricker, B., 2019. Corporate Governance: Principles, Policies, and Practices.. </w:t>
              </w:r>
              <w:r>
                <w:rPr>
                  <w:i/>
                  <w:iCs/>
                  <w:noProof/>
                </w:rPr>
                <w:t>4th ed. Oxford: Oxford University Press.</w:t>
              </w:r>
            </w:p>
            <w:p w14:paraId="664454F1" w14:textId="77777777" w:rsidR="00B0719A" w:rsidRDefault="00B0719A" w:rsidP="00B0719A">
              <w:pPr>
                <w:pStyle w:val="Bibliography"/>
                <w:rPr>
                  <w:noProof/>
                </w:rPr>
              </w:pPr>
              <w:r>
                <w:rPr>
                  <w:noProof/>
                </w:rPr>
                <w:t xml:space="preserve">WallStreetMojo, 2023. </w:t>
              </w:r>
              <w:r>
                <w:rPr>
                  <w:i/>
                  <w:iCs/>
                  <w:noProof/>
                </w:rPr>
                <w:t xml:space="preserve">Staggered Board. </w:t>
              </w:r>
              <w:r>
                <w:rPr>
                  <w:noProof/>
                </w:rPr>
                <w:t xml:space="preserve">[Online] </w:t>
              </w:r>
              <w:r>
                <w:rPr>
                  <w:noProof/>
                </w:rPr>
                <w:br/>
                <w:t xml:space="preserve">Available at: </w:t>
              </w:r>
              <w:r>
                <w:rPr>
                  <w:noProof/>
                  <w:u w:val="single"/>
                </w:rPr>
                <w:t>https://www.wallstreetmojo.com/wallstreetmojo-team/wallstreetmojo-editorial-team/</w:t>
              </w:r>
              <w:r>
                <w:rPr>
                  <w:noProof/>
                </w:rPr>
                <w:br/>
                <w:t>[Accessed 12 April 2023].</w:t>
              </w:r>
            </w:p>
            <w:p w14:paraId="2D4A7F98" w14:textId="188EA592" w:rsidR="00456568" w:rsidRDefault="00456568" w:rsidP="00B0719A">
              <w:r>
                <w:rPr>
                  <w:b/>
                  <w:bCs/>
                  <w:noProof/>
                </w:rPr>
                <w:fldChar w:fldCharType="end"/>
              </w:r>
            </w:p>
          </w:sdtContent>
        </w:sdt>
      </w:sdtContent>
    </w:sdt>
    <w:p w14:paraId="01B829A4" w14:textId="77777777" w:rsidR="00456568" w:rsidRPr="00950571" w:rsidRDefault="00456568" w:rsidP="00950571"/>
    <w:sectPr w:rsidR="00456568" w:rsidRPr="0095057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D6F7B" w14:textId="77777777" w:rsidR="004D7B59" w:rsidRDefault="004D7B59" w:rsidP="00BC339E">
      <w:pPr>
        <w:spacing w:after="0" w:line="240" w:lineRule="auto"/>
      </w:pPr>
      <w:r>
        <w:separator/>
      </w:r>
    </w:p>
  </w:endnote>
  <w:endnote w:type="continuationSeparator" w:id="0">
    <w:p w14:paraId="01EB9ADC" w14:textId="77777777" w:rsidR="004D7B59" w:rsidRDefault="004D7B59" w:rsidP="00BC3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4551100"/>
      <w:docPartObj>
        <w:docPartGallery w:val="Page Numbers (Bottom of Page)"/>
        <w:docPartUnique/>
      </w:docPartObj>
    </w:sdtPr>
    <w:sdtEndPr>
      <w:rPr>
        <w:noProof/>
      </w:rPr>
    </w:sdtEndPr>
    <w:sdtContent>
      <w:p w14:paraId="5E946712" w14:textId="6B218A03" w:rsidR="00BC339E" w:rsidRDefault="00BC33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7D44B4" w14:textId="77777777" w:rsidR="00BC339E" w:rsidRDefault="00BC3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16021" w14:textId="77777777" w:rsidR="004D7B59" w:rsidRDefault="004D7B59" w:rsidP="00BC339E">
      <w:pPr>
        <w:spacing w:after="0" w:line="240" w:lineRule="auto"/>
      </w:pPr>
      <w:r>
        <w:separator/>
      </w:r>
    </w:p>
  </w:footnote>
  <w:footnote w:type="continuationSeparator" w:id="0">
    <w:p w14:paraId="068865EA" w14:textId="77777777" w:rsidR="004D7B59" w:rsidRDefault="004D7B59" w:rsidP="00BC3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80407"/>
    <w:multiLevelType w:val="multilevel"/>
    <w:tmpl w:val="399C5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AD4E49"/>
    <w:multiLevelType w:val="multilevel"/>
    <w:tmpl w:val="FC54E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D65F7"/>
    <w:multiLevelType w:val="multilevel"/>
    <w:tmpl w:val="EA28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52076B"/>
    <w:multiLevelType w:val="hybridMultilevel"/>
    <w:tmpl w:val="4E2C82BC"/>
    <w:lvl w:ilvl="0" w:tplc="039842F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F10E7A"/>
    <w:multiLevelType w:val="multilevel"/>
    <w:tmpl w:val="C3E25FF6"/>
    <w:lvl w:ilvl="0">
      <w:start w:val="2"/>
      <w:numFmt w:val="decimal"/>
      <w:lvlText w:val="%1."/>
      <w:lvlJc w:val="left"/>
      <w:pPr>
        <w:ind w:left="480" w:hanging="480"/>
      </w:pPr>
      <w:rPr>
        <w:rFonts w:ascii="Arial" w:hAnsi="Arial" w:cs="Arial" w:hint="default"/>
        <w:b/>
        <w:bCs/>
        <w:color w:val="auto"/>
        <w:sz w:val="28"/>
        <w:szCs w:val="28"/>
      </w:rPr>
    </w:lvl>
    <w:lvl w:ilvl="1">
      <w:start w:val="2"/>
      <w:numFmt w:val="decimal"/>
      <w:lvlText w:val="%1.%2."/>
      <w:lvlJc w:val="left"/>
      <w:pPr>
        <w:ind w:left="1440" w:hanging="720"/>
      </w:pPr>
      <w:rPr>
        <w:rFonts w:hint="default"/>
        <w:color w:val="auto"/>
      </w:rPr>
    </w:lvl>
    <w:lvl w:ilvl="2">
      <w:start w:val="1"/>
      <w:numFmt w:val="decimal"/>
      <w:lvlText w:val="%1.%2.%3."/>
      <w:lvlJc w:val="left"/>
      <w:pPr>
        <w:ind w:left="2705" w:hanging="720"/>
      </w:pPr>
      <w:rPr>
        <w:rFonts w:ascii="Arial" w:hAnsi="Arial" w:cs="Arial" w:hint="default"/>
        <w:b/>
        <w:bCs/>
        <w:color w:val="auto"/>
        <w:sz w:val="24"/>
        <w:szCs w:val="24"/>
      </w:rPr>
    </w:lvl>
    <w:lvl w:ilvl="3">
      <w:start w:val="1"/>
      <w:numFmt w:val="decimal"/>
      <w:lvlText w:val="%1.%2.%3.%4."/>
      <w:lvlJc w:val="left"/>
      <w:pPr>
        <w:ind w:left="3240" w:hanging="1080"/>
      </w:pPr>
      <w:rPr>
        <w:rFonts w:hint="default"/>
        <w:color w:val="auto"/>
      </w:rPr>
    </w:lvl>
    <w:lvl w:ilvl="4">
      <w:start w:val="1"/>
      <w:numFmt w:val="decimal"/>
      <w:lvlText w:val="%1.%2.%3.%4.%5."/>
      <w:lvlJc w:val="left"/>
      <w:pPr>
        <w:ind w:left="4320" w:hanging="144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7200" w:hanging="2160"/>
      </w:pPr>
      <w:rPr>
        <w:rFonts w:hint="default"/>
        <w:color w:val="auto"/>
      </w:rPr>
    </w:lvl>
    <w:lvl w:ilvl="8">
      <w:start w:val="1"/>
      <w:numFmt w:val="decimal"/>
      <w:lvlText w:val="%1.%2.%3.%4.%5.%6.%7.%8.%9."/>
      <w:lvlJc w:val="left"/>
      <w:pPr>
        <w:ind w:left="7920" w:hanging="2160"/>
      </w:pPr>
      <w:rPr>
        <w:rFonts w:hint="default"/>
        <w:color w:val="auto"/>
      </w:rPr>
    </w:lvl>
  </w:abstractNum>
  <w:abstractNum w:abstractNumId="5" w15:restartNumberingAfterBreak="0">
    <w:nsid w:val="75A63BB4"/>
    <w:multiLevelType w:val="multilevel"/>
    <w:tmpl w:val="5B28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624233"/>
    <w:multiLevelType w:val="multilevel"/>
    <w:tmpl w:val="E044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6CC"/>
    <w:rsid w:val="000F702E"/>
    <w:rsid w:val="00100F53"/>
    <w:rsid w:val="00203F57"/>
    <w:rsid w:val="00211289"/>
    <w:rsid w:val="00254F13"/>
    <w:rsid w:val="003347F3"/>
    <w:rsid w:val="003731A8"/>
    <w:rsid w:val="003870A2"/>
    <w:rsid w:val="003C27A4"/>
    <w:rsid w:val="004415D7"/>
    <w:rsid w:val="00456568"/>
    <w:rsid w:val="00484269"/>
    <w:rsid w:val="004C19A5"/>
    <w:rsid w:val="004D7B59"/>
    <w:rsid w:val="00571DAE"/>
    <w:rsid w:val="006806CC"/>
    <w:rsid w:val="007479E2"/>
    <w:rsid w:val="00772DA3"/>
    <w:rsid w:val="007D63A6"/>
    <w:rsid w:val="007F2599"/>
    <w:rsid w:val="008243A4"/>
    <w:rsid w:val="00856601"/>
    <w:rsid w:val="00937F0E"/>
    <w:rsid w:val="00950571"/>
    <w:rsid w:val="00973645"/>
    <w:rsid w:val="00AB0D7C"/>
    <w:rsid w:val="00B02767"/>
    <w:rsid w:val="00B0719A"/>
    <w:rsid w:val="00B405F7"/>
    <w:rsid w:val="00B40E9F"/>
    <w:rsid w:val="00B54438"/>
    <w:rsid w:val="00B76C4E"/>
    <w:rsid w:val="00BA4792"/>
    <w:rsid w:val="00BC339E"/>
    <w:rsid w:val="00CD33A7"/>
    <w:rsid w:val="00E94B11"/>
    <w:rsid w:val="00EE2A0A"/>
    <w:rsid w:val="00F77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150BF"/>
  <w15:chartTrackingRefBased/>
  <w15:docId w15:val="{D56E12B2-8831-4A81-848B-EDA898E9D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39E"/>
  </w:style>
  <w:style w:type="paragraph" w:styleId="Heading1">
    <w:name w:val="heading 1"/>
    <w:basedOn w:val="Normal"/>
    <w:next w:val="Normal"/>
    <w:link w:val="Heading1Char"/>
    <w:uiPriority w:val="9"/>
    <w:qFormat/>
    <w:rsid w:val="00BC33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2A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E2A0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EE2A0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3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39E"/>
  </w:style>
  <w:style w:type="paragraph" w:styleId="Footer">
    <w:name w:val="footer"/>
    <w:basedOn w:val="Normal"/>
    <w:link w:val="FooterChar"/>
    <w:uiPriority w:val="99"/>
    <w:unhideWhenUsed/>
    <w:rsid w:val="00BC3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39E"/>
  </w:style>
  <w:style w:type="character" w:customStyle="1" w:styleId="Heading1Char">
    <w:name w:val="Heading 1 Char"/>
    <w:basedOn w:val="DefaultParagraphFont"/>
    <w:link w:val="Heading1"/>
    <w:uiPriority w:val="9"/>
    <w:rsid w:val="00BC339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339E"/>
    <w:pPr>
      <w:outlineLvl w:val="9"/>
    </w:pPr>
    <w:rPr>
      <w:lang w:val="en-US"/>
    </w:rPr>
  </w:style>
  <w:style w:type="character" w:customStyle="1" w:styleId="Heading3Char">
    <w:name w:val="Heading 3 Char"/>
    <w:basedOn w:val="DefaultParagraphFont"/>
    <w:link w:val="Heading3"/>
    <w:uiPriority w:val="9"/>
    <w:rsid w:val="00EE2A0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E2A0A"/>
    <w:rPr>
      <w:b/>
      <w:bCs/>
    </w:rPr>
  </w:style>
  <w:style w:type="paragraph" w:styleId="NormalWeb">
    <w:name w:val="Normal (Web)"/>
    <w:basedOn w:val="Normal"/>
    <w:uiPriority w:val="99"/>
    <w:unhideWhenUsed/>
    <w:rsid w:val="00EE2A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E2A0A"/>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EE2A0A"/>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B02767"/>
    <w:pPr>
      <w:spacing w:after="100"/>
      <w:ind w:left="220"/>
    </w:pPr>
  </w:style>
  <w:style w:type="paragraph" w:styleId="TOC1">
    <w:name w:val="toc 1"/>
    <w:basedOn w:val="Normal"/>
    <w:next w:val="Normal"/>
    <w:autoRedefine/>
    <w:uiPriority w:val="39"/>
    <w:unhideWhenUsed/>
    <w:rsid w:val="00B02767"/>
    <w:pPr>
      <w:spacing w:after="100"/>
    </w:pPr>
  </w:style>
  <w:style w:type="paragraph" w:styleId="TOC3">
    <w:name w:val="toc 3"/>
    <w:basedOn w:val="Normal"/>
    <w:next w:val="Normal"/>
    <w:autoRedefine/>
    <w:uiPriority w:val="39"/>
    <w:unhideWhenUsed/>
    <w:rsid w:val="00B02767"/>
    <w:pPr>
      <w:spacing w:after="100"/>
      <w:ind w:left="440"/>
    </w:pPr>
  </w:style>
  <w:style w:type="character" w:styleId="Hyperlink">
    <w:name w:val="Hyperlink"/>
    <w:basedOn w:val="DefaultParagraphFont"/>
    <w:uiPriority w:val="99"/>
    <w:unhideWhenUsed/>
    <w:rsid w:val="00B02767"/>
    <w:rPr>
      <w:color w:val="0563C1" w:themeColor="hyperlink"/>
      <w:u w:val="single"/>
    </w:rPr>
  </w:style>
  <w:style w:type="paragraph" w:styleId="NoSpacing">
    <w:name w:val="No Spacing"/>
    <w:uiPriority w:val="1"/>
    <w:qFormat/>
    <w:rsid w:val="00CD33A7"/>
    <w:pPr>
      <w:spacing w:after="0" w:line="240" w:lineRule="auto"/>
    </w:pPr>
  </w:style>
  <w:style w:type="table" w:styleId="TableGrid">
    <w:name w:val="Table Grid"/>
    <w:basedOn w:val="TableNormal"/>
    <w:uiPriority w:val="39"/>
    <w:rsid w:val="003347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D63A6"/>
    <w:rPr>
      <w:color w:val="605E5C"/>
      <w:shd w:val="clear" w:color="auto" w:fill="E1DFDD"/>
    </w:rPr>
  </w:style>
  <w:style w:type="paragraph" w:styleId="Bibliography">
    <w:name w:val="Bibliography"/>
    <w:basedOn w:val="Normal"/>
    <w:next w:val="Normal"/>
    <w:uiPriority w:val="37"/>
    <w:unhideWhenUsed/>
    <w:rsid w:val="004565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8871">
      <w:bodyDiv w:val="1"/>
      <w:marLeft w:val="0"/>
      <w:marRight w:val="0"/>
      <w:marTop w:val="0"/>
      <w:marBottom w:val="0"/>
      <w:divBdr>
        <w:top w:val="none" w:sz="0" w:space="0" w:color="auto"/>
        <w:left w:val="none" w:sz="0" w:space="0" w:color="auto"/>
        <w:bottom w:val="none" w:sz="0" w:space="0" w:color="auto"/>
        <w:right w:val="none" w:sz="0" w:space="0" w:color="auto"/>
      </w:divBdr>
    </w:div>
    <w:div w:id="16276730">
      <w:bodyDiv w:val="1"/>
      <w:marLeft w:val="0"/>
      <w:marRight w:val="0"/>
      <w:marTop w:val="0"/>
      <w:marBottom w:val="0"/>
      <w:divBdr>
        <w:top w:val="none" w:sz="0" w:space="0" w:color="auto"/>
        <w:left w:val="none" w:sz="0" w:space="0" w:color="auto"/>
        <w:bottom w:val="none" w:sz="0" w:space="0" w:color="auto"/>
        <w:right w:val="none" w:sz="0" w:space="0" w:color="auto"/>
      </w:divBdr>
    </w:div>
    <w:div w:id="20278845">
      <w:bodyDiv w:val="1"/>
      <w:marLeft w:val="0"/>
      <w:marRight w:val="0"/>
      <w:marTop w:val="0"/>
      <w:marBottom w:val="0"/>
      <w:divBdr>
        <w:top w:val="none" w:sz="0" w:space="0" w:color="auto"/>
        <w:left w:val="none" w:sz="0" w:space="0" w:color="auto"/>
        <w:bottom w:val="none" w:sz="0" w:space="0" w:color="auto"/>
        <w:right w:val="none" w:sz="0" w:space="0" w:color="auto"/>
      </w:divBdr>
    </w:div>
    <w:div w:id="25369722">
      <w:bodyDiv w:val="1"/>
      <w:marLeft w:val="0"/>
      <w:marRight w:val="0"/>
      <w:marTop w:val="0"/>
      <w:marBottom w:val="0"/>
      <w:divBdr>
        <w:top w:val="none" w:sz="0" w:space="0" w:color="auto"/>
        <w:left w:val="none" w:sz="0" w:space="0" w:color="auto"/>
        <w:bottom w:val="none" w:sz="0" w:space="0" w:color="auto"/>
        <w:right w:val="none" w:sz="0" w:space="0" w:color="auto"/>
      </w:divBdr>
    </w:div>
    <w:div w:id="50347568">
      <w:bodyDiv w:val="1"/>
      <w:marLeft w:val="0"/>
      <w:marRight w:val="0"/>
      <w:marTop w:val="0"/>
      <w:marBottom w:val="0"/>
      <w:divBdr>
        <w:top w:val="none" w:sz="0" w:space="0" w:color="auto"/>
        <w:left w:val="none" w:sz="0" w:space="0" w:color="auto"/>
        <w:bottom w:val="none" w:sz="0" w:space="0" w:color="auto"/>
        <w:right w:val="none" w:sz="0" w:space="0" w:color="auto"/>
      </w:divBdr>
    </w:div>
    <w:div w:id="58747418">
      <w:bodyDiv w:val="1"/>
      <w:marLeft w:val="0"/>
      <w:marRight w:val="0"/>
      <w:marTop w:val="0"/>
      <w:marBottom w:val="0"/>
      <w:divBdr>
        <w:top w:val="none" w:sz="0" w:space="0" w:color="auto"/>
        <w:left w:val="none" w:sz="0" w:space="0" w:color="auto"/>
        <w:bottom w:val="none" w:sz="0" w:space="0" w:color="auto"/>
        <w:right w:val="none" w:sz="0" w:space="0" w:color="auto"/>
      </w:divBdr>
    </w:div>
    <w:div w:id="66466506">
      <w:bodyDiv w:val="1"/>
      <w:marLeft w:val="0"/>
      <w:marRight w:val="0"/>
      <w:marTop w:val="0"/>
      <w:marBottom w:val="0"/>
      <w:divBdr>
        <w:top w:val="none" w:sz="0" w:space="0" w:color="auto"/>
        <w:left w:val="none" w:sz="0" w:space="0" w:color="auto"/>
        <w:bottom w:val="none" w:sz="0" w:space="0" w:color="auto"/>
        <w:right w:val="none" w:sz="0" w:space="0" w:color="auto"/>
      </w:divBdr>
    </w:div>
    <w:div w:id="84418938">
      <w:bodyDiv w:val="1"/>
      <w:marLeft w:val="0"/>
      <w:marRight w:val="0"/>
      <w:marTop w:val="0"/>
      <w:marBottom w:val="0"/>
      <w:divBdr>
        <w:top w:val="none" w:sz="0" w:space="0" w:color="auto"/>
        <w:left w:val="none" w:sz="0" w:space="0" w:color="auto"/>
        <w:bottom w:val="none" w:sz="0" w:space="0" w:color="auto"/>
        <w:right w:val="none" w:sz="0" w:space="0" w:color="auto"/>
      </w:divBdr>
    </w:div>
    <w:div w:id="139345400">
      <w:bodyDiv w:val="1"/>
      <w:marLeft w:val="0"/>
      <w:marRight w:val="0"/>
      <w:marTop w:val="0"/>
      <w:marBottom w:val="0"/>
      <w:divBdr>
        <w:top w:val="none" w:sz="0" w:space="0" w:color="auto"/>
        <w:left w:val="none" w:sz="0" w:space="0" w:color="auto"/>
        <w:bottom w:val="none" w:sz="0" w:space="0" w:color="auto"/>
        <w:right w:val="none" w:sz="0" w:space="0" w:color="auto"/>
      </w:divBdr>
    </w:div>
    <w:div w:id="149254838">
      <w:bodyDiv w:val="1"/>
      <w:marLeft w:val="0"/>
      <w:marRight w:val="0"/>
      <w:marTop w:val="0"/>
      <w:marBottom w:val="0"/>
      <w:divBdr>
        <w:top w:val="none" w:sz="0" w:space="0" w:color="auto"/>
        <w:left w:val="none" w:sz="0" w:space="0" w:color="auto"/>
        <w:bottom w:val="none" w:sz="0" w:space="0" w:color="auto"/>
        <w:right w:val="none" w:sz="0" w:space="0" w:color="auto"/>
      </w:divBdr>
    </w:div>
    <w:div w:id="170682284">
      <w:bodyDiv w:val="1"/>
      <w:marLeft w:val="0"/>
      <w:marRight w:val="0"/>
      <w:marTop w:val="0"/>
      <w:marBottom w:val="0"/>
      <w:divBdr>
        <w:top w:val="none" w:sz="0" w:space="0" w:color="auto"/>
        <w:left w:val="none" w:sz="0" w:space="0" w:color="auto"/>
        <w:bottom w:val="none" w:sz="0" w:space="0" w:color="auto"/>
        <w:right w:val="none" w:sz="0" w:space="0" w:color="auto"/>
      </w:divBdr>
    </w:div>
    <w:div w:id="227812537">
      <w:bodyDiv w:val="1"/>
      <w:marLeft w:val="0"/>
      <w:marRight w:val="0"/>
      <w:marTop w:val="0"/>
      <w:marBottom w:val="0"/>
      <w:divBdr>
        <w:top w:val="none" w:sz="0" w:space="0" w:color="auto"/>
        <w:left w:val="none" w:sz="0" w:space="0" w:color="auto"/>
        <w:bottom w:val="none" w:sz="0" w:space="0" w:color="auto"/>
        <w:right w:val="none" w:sz="0" w:space="0" w:color="auto"/>
      </w:divBdr>
    </w:div>
    <w:div w:id="257756142">
      <w:bodyDiv w:val="1"/>
      <w:marLeft w:val="0"/>
      <w:marRight w:val="0"/>
      <w:marTop w:val="0"/>
      <w:marBottom w:val="0"/>
      <w:divBdr>
        <w:top w:val="none" w:sz="0" w:space="0" w:color="auto"/>
        <w:left w:val="none" w:sz="0" w:space="0" w:color="auto"/>
        <w:bottom w:val="none" w:sz="0" w:space="0" w:color="auto"/>
        <w:right w:val="none" w:sz="0" w:space="0" w:color="auto"/>
      </w:divBdr>
    </w:div>
    <w:div w:id="266163988">
      <w:bodyDiv w:val="1"/>
      <w:marLeft w:val="0"/>
      <w:marRight w:val="0"/>
      <w:marTop w:val="0"/>
      <w:marBottom w:val="0"/>
      <w:divBdr>
        <w:top w:val="none" w:sz="0" w:space="0" w:color="auto"/>
        <w:left w:val="none" w:sz="0" w:space="0" w:color="auto"/>
        <w:bottom w:val="none" w:sz="0" w:space="0" w:color="auto"/>
        <w:right w:val="none" w:sz="0" w:space="0" w:color="auto"/>
      </w:divBdr>
    </w:div>
    <w:div w:id="289166567">
      <w:bodyDiv w:val="1"/>
      <w:marLeft w:val="0"/>
      <w:marRight w:val="0"/>
      <w:marTop w:val="0"/>
      <w:marBottom w:val="0"/>
      <w:divBdr>
        <w:top w:val="none" w:sz="0" w:space="0" w:color="auto"/>
        <w:left w:val="none" w:sz="0" w:space="0" w:color="auto"/>
        <w:bottom w:val="none" w:sz="0" w:space="0" w:color="auto"/>
        <w:right w:val="none" w:sz="0" w:space="0" w:color="auto"/>
      </w:divBdr>
    </w:div>
    <w:div w:id="300159132">
      <w:bodyDiv w:val="1"/>
      <w:marLeft w:val="0"/>
      <w:marRight w:val="0"/>
      <w:marTop w:val="0"/>
      <w:marBottom w:val="0"/>
      <w:divBdr>
        <w:top w:val="none" w:sz="0" w:space="0" w:color="auto"/>
        <w:left w:val="none" w:sz="0" w:space="0" w:color="auto"/>
        <w:bottom w:val="none" w:sz="0" w:space="0" w:color="auto"/>
        <w:right w:val="none" w:sz="0" w:space="0" w:color="auto"/>
      </w:divBdr>
    </w:div>
    <w:div w:id="334576221">
      <w:bodyDiv w:val="1"/>
      <w:marLeft w:val="0"/>
      <w:marRight w:val="0"/>
      <w:marTop w:val="0"/>
      <w:marBottom w:val="0"/>
      <w:divBdr>
        <w:top w:val="none" w:sz="0" w:space="0" w:color="auto"/>
        <w:left w:val="none" w:sz="0" w:space="0" w:color="auto"/>
        <w:bottom w:val="none" w:sz="0" w:space="0" w:color="auto"/>
        <w:right w:val="none" w:sz="0" w:space="0" w:color="auto"/>
      </w:divBdr>
    </w:div>
    <w:div w:id="356854883">
      <w:bodyDiv w:val="1"/>
      <w:marLeft w:val="0"/>
      <w:marRight w:val="0"/>
      <w:marTop w:val="0"/>
      <w:marBottom w:val="0"/>
      <w:divBdr>
        <w:top w:val="none" w:sz="0" w:space="0" w:color="auto"/>
        <w:left w:val="none" w:sz="0" w:space="0" w:color="auto"/>
        <w:bottom w:val="none" w:sz="0" w:space="0" w:color="auto"/>
        <w:right w:val="none" w:sz="0" w:space="0" w:color="auto"/>
      </w:divBdr>
    </w:div>
    <w:div w:id="377583032">
      <w:bodyDiv w:val="1"/>
      <w:marLeft w:val="0"/>
      <w:marRight w:val="0"/>
      <w:marTop w:val="0"/>
      <w:marBottom w:val="0"/>
      <w:divBdr>
        <w:top w:val="none" w:sz="0" w:space="0" w:color="auto"/>
        <w:left w:val="none" w:sz="0" w:space="0" w:color="auto"/>
        <w:bottom w:val="none" w:sz="0" w:space="0" w:color="auto"/>
        <w:right w:val="none" w:sz="0" w:space="0" w:color="auto"/>
      </w:divBdr>
    </w:div>
    <w:div w:id="381683137">
      <w:bodyDiv w:val="1"/>
      <w:marLeft w:val="0"/>
      <w:marRight w:val="0"/>
      <w:marTop w:val="0"/>
      <w:marBottom w:val="0"/>
      <w:divBdr>
        <w:top w:val="none" w:sz="0" w:space="0" w:color="auto"/>
        <w:left w:val="none" w:sz="0" w:space="0" w:color="auto"/>
        <w:bottom w:val="none" w:sz="0" w:space="0" w:color="auto"/>
        <w:right w:val="none" w:sz="0" w:space="0" w:color="auto"/>
      </w:divBdr>
    </w:div>
    <w:div w:id="411315228">
      <w:bodyDiv w:val="1"/>
      <w:marLeft w:val="0"/>
      <w:marRight w:val="0"/>
      <w:marTop w:val="0"/>
      <w:marBottom w:val="0"/>
      <w:divBdr>
        <w:top w:val="none" w:sz="0" w:space="0" w:color="auto"/>
        <w:left w:val="none" w:sz="0" w:space="0" w:color="auto"/>
        <w:bottom w:val="none" w:sz="0" w:space="0" w:color="auto"/>
        <w:right w:val="none" w:sz="0" w:space="0" w:color="auto"/>
      </w:divBdr>
    </w:div>
    <w:div w:id="417100056">
      <w:bodyDiv w:val="1"/>
      <w:marLeft w:val="0"/>
      <w:marRight w:val="0"/>
      <w:marTop w:val="0"/>
      <w:marBottom w:val="0"/>
      <w:divBdr>
        <w:top w:val="none" w:sz="0" w:space="0" w:color="auto"/>
        <w:left w:val="none" w:sz="0" w:space="0" w:color="auto"/>
        <w:bottom w:val="none" w:sz="0" w:space="0" w:color="auto"/>
        <w:right w:val="none" w:sz="0" w:space="0" w:color="auto"/>
      </w:divBdr>
    </w:div>
    <w:div w:id="461075208">
      <w:bodyDiv w:val="1"/>
      <w:marLeft w:val="0"/>
      <w:marRight w:val="0"/>
      <w:marTop w:val="0"/>
      <w:marBottom w:val="0"/>
      <w:divBdr>
        <w:top w:val="none" w:sz="0" w:space="0" w:color="auto"/>
        <w:left w:val="none" w:sz="0" w:space="0" w:color="auto"/>
        <w:bottom w:val="none" w:sz="0" w:space="0" w:color="auto"/>
        <w:right w:val="none" w:sz="0" w:space="0" w:color="auto"/>
      </w:divBdr>
    </w:div>
    <w:div w:id="481506789">
      <w:bodyDiv w:val="1"/>
      <w:marLeft w:val="0"/>
      <w:marRight w:val="0"/>
      <w:marTop w:val="0"/>
      <w:marBottom w:val="0"/>
      <w:divBdr>
        <w:top w:val="none" w:sz="0" w:space="0" w:color="auto"/>
        <w:left w:val="none" w:sz="0" w:space="0" w:color="auto"/>
        <w:bottom w:val="none" w:sz="0" w:space="0" w:color="auto"/>
        <w:right w:val="none" w:sz="0" w:space="0" w:color="auto"/>
      </w:divBdr>
    </w:div>
    <w:div w:id="485435342">
      <w:bodyDiv w:val="1"/>
      <w:marLeft w:val="0"/>
      <w:marRight w:val="0"/>
      <w:marTop w:val="0"/>
      <w:marBottom w:val="0"/>
      <w:divBdr>
        <w:top w:val="none" w:sz="0" w:space="0" w:color="auto"/>
        <w:left w:val="none" w:sz="0" w:space="0" w:color="auto"/>
        <w:bottom w:val="none" w:sz="0" w:space="0" w:color="auto"/>
        <w:right w:val="none" w:sz="0" w:space="0" w:color="auto"/>
      </w:divBdr>
    </w:div>
    <w:div w:id="494347218">
      <w:bodyDiv w:val="1"/>
      <w:marLeft w:val="0"/>
      <w:marRight w:val="0"/>
      <w:marTop w:val="0"/>
      <w:marBottom w:val="0"/>
      <w:divBdr>
        <w:top w:val="none" w:sz="0" w:space="0" w:color="auto"/>
        <w:left w:val="none" w:sz="0" w:space="0" w:color="auto"/>
        <w:bottom w:val="none" w:sz="0" w:space="0" w:color="auto"/>
        <w:right w:val="none" w:sz="0" w:space="0" w:color="auto"/>
      </w:divBdr>
    </w:div>
    <w:div w:id="504172273">
      <w:bodyDiv w:val="1"/>
      <w:marLeft w:val="0"/>
      <w:marRight w:val="0"/>
      <w:marTop w:val="0"/>
      <w:marBottom w:val="0"/>
      <w:divBdr>
        <w:top w:val="none" w:sz="0" w:space="0" w:color="auto"/>
        <w:left w:val="none" w:sz="0" w:space="0" w:color="auto"/>
        <w:bottom w:val="none" w:sz="0" w:space="0" w:color="auto"/>
        <w:right w:val="none" w:sz="0" w:space="0" w:color="auto"/>
      </w:divBdr>
    </w:div>
    <w:div w:id="506093777">
      <w:bodyDiv w:val="1"/>
      <w:marLeft w:val="0"/>
      <w:marRight w:val="0"/>
      <w:marTop w:val="0"/>
      <w:marBottom w:val="0"/>
      <w:divBdr>
        <w:top w:val="none" w:sz="0" w:space="0" w:color="auto"/>
        <w:left w:val="none" w:sz="0" w:space="0" w:color="auto"/>
        <w:bottom w:val="none" w:sz="0" w:space="0" w:color="auto"/>
        <w:right w:val="none" w:sz="0" w:space="0" w:color="auto"/>
      </w:divBdr>
    </w:div>
    <w:div w:id="516771011">
      <w:bodyDiv w:val="1"/>
      <w:marLeft w:val="0"/>
      <w:marRight w:val="0"/>
      <w:marTop w:val="0"/>
      <w:marBottom w:val="0"/>
      <w:divBdr>
        <w:top w:val="none" w:sz="0" w:space="0" w:color="auto"/>
        <w:left w:val="none" w:sz="0" w:space="0" w:color="auto"/>
        <w:bottom w:val="none" w:sz="0" w:space="0" w:color="auto"/>
        <w:right w:val="none" w:sz="0" w:space="0" w:color="auto"/>
      </w:divBdr>
    </w:div>
    <w:div w:id="529072381">
      <w:bodyDiv w:val="1"/>
      <w:marLeft w:val="0"/>
      <w:marRight w:val="0"/>
      <w:marTop w:val="0"/>
      <w:marBottom w:val="0"/>
      <w:divBdr>
        <w:top w:val="none" w:sz="0" w:space="0" w:color="auto"/>
        <w:left w:val="none" w:sz="0" w:space="0" w:color="auto"/>
        <w:bottom w:val="none" w:sz="0" w:space="0" w:color="auto"/>
        <w:right w:val="none" w:sz="0" w:space="0" w:color="auto"/>
      </w:divBdr>
    </w:div>
    <w:div w:id="567763083">
      <w:bodyDiv w:val="1"/>
      <w:marLeft w:val="0"/>
      <w:marRight w:val="0"/>
      <w:marTop w:val="0"/>
      <w:marBottom w:val="0"/>
      <w:divBdr>
        <w:top w:val="none" w:sz="0" w:space="0" w:color="auto"/>
        <w:left w:val="none" w:sz="0" w:space="0" w:color="auto"/>
        <w:bottom w:val="none" w:sz="0" w:space="0" w:color="auto"/>
        <w:right w:val="none" w:sz="0" w:space="0" w:color="auto"/>
      </w:divBdr>
    </w:div>
    <w:div w:id="568926062">
      <w:bodyDiv w:val="1"/>
      <w:marLeft w:val="0"/>
      <w:marRight w:val="0"/>
      <w:marTop w:val="0"/>
      <w:marBottom w:val="0"/>
      <w:divBdr>
        <w:top w:val="none" w:sz="0" w:space="0" w:color="auto"/>
        <w:left w:val="none" w:sz="0" w:space="0" w:color="auto"/>
        <w:bottom w:val="none" w:sz="0" w:space="0" w:color="auto"/>
        <w:right w:val="none" w:sz="0" w:space="0" w:color="auto"/>
      </w:divBdr>
    </w:div>
    <w:div w:id="592208062">
      <w:bodyDiv w:val="1"/>
      <w:marLeft w:val="0"/>
      <w:marRight w:val="0"/>
      <w:marTop w:val="0"/>
      <w:marBottom w:val="0"/>
      <w:divBdr>
        <w:top w:val="none" w:sz="0" w:space="0" w:color="auto"/>
        <w:left w:val="none" w:sz="0" w:space="0" w:color="auto"/>
        <w:bottom w:val="none" w:sz="0" w:space="0" w:color="auto"/>
        <w:right w:val="none" w:sz="0" w:space="0" w:color="auto"/>
      </w:divBdr>
    </w:div>
    <w:div w:id="602149137">
      <w:bodyDiv w:val="1"/>
      <w:marLeft w:val="0"/>
      <w:marRight w:val="0"/>
      <w:marTop w:val="0"/>
      <w:marBottom w:val="0"/>
      <w:divBdr>
        <w:top w:val="none" w:sz="0" w:space="0" w:color="auto"/>
        <w:left w:val="none" w:sz="0" w:space="0" w:color="auto"/>
        <w:bottom w:val="none" w:sz="0" w:space="0" w:color="auto"/>
        <w:right w:val="none" w:sz="0" w:space="0" w:color="auto"/>
      </w:divBdr>
    </w:div>
    <w:div w:id="621886646">
      <w:bodyDiv w:val="1"/>
      <w:marLeft w:val="0"/>
      <w:marRight w:val="0"/>
      <w:marTop w:val="0"/>
      <w:marBottom w:val="0"/>
      <w:divBdr>
        <w:top w:val="none" w:sz="0" w:space="0" w:color="auto"/>
        <w:left w:val="none" w:sz="0" w:space="0" w:color="auto"/>
        <w:bottom w:val="none" w:sz="0" w:space="0" w:color="auto"/>
        <w:right w:val="none" w:sz="0" w:space="0" w:color="auto"/>
      </w:divBdr>
    </w:div>
    <w:div w:id="631639733">
      <w:bodyDiv w:val="1"/>
      <w:marLeft w:val="0"/>
      <w:marRight w:val="0"/>
      <w:marTop w:val="0"/>
      <w:marBottom w:val="0"/>
      <w:divBdr>
        <w:top w:val="none" w:sz="0" w:space="0" w:color="auto"/>
        <w:left w:val="none" w:sz="0" w:space="0" w:color="auto"/>
        <w:bottom w:val="none" w:sz="0" w:space="0" w:color="auto"/>
        <w:right w:val="none" w:sz="0" w:space="0" w:color="auto"/>
      </w:divBdr>
    </w:div>
    <w:div w:id="641429828">
      <w:bodyDiv w:val="1"/>
      <w:marLeft w:val="0"/>
      <w:marRight w:val="0"/>
      <w:marTop w:val="0"/>
      <w:marBottom w:val="0"/>
      <w:divBdr>
        <w:top w:val="none" w:sz="0" w:space="0" w:color="auto"/>
        <w:left w:val="none" w:sz="0" w:space="0" w:color="auto"/>
        <w:bottom w:val="none" w:sz="0" w:space="0" w:color="auto"/>
        <w:right w:val="none" w:sz="0" w:space="0" w:color="auto"/>
      </w:divBdr>
    </w:div>
    <w:div w:id="682585000">
      <w:bodyDiv w:val="1"/>
      <w:marLeft w:val="0"/>
      <w:marRight w:val="0"/>
      <w:marTop w:val="0"/>
      <w:marBottom w:val="0"/>
      <w:divBdr>
        <w:top w:val="none" w:sz="0" w:space="0" w:color="auto"/>
        <w:left w:val="none" w:sz="0" w:space="0" w:color="auto"/>
        <w:bottom w:val="none" w:sz="0" w:space="0" w:color="auto"/>
        <w:right w:val="none" w:sz="0" w:space="0" w:color="auto"/>
      </w:divBdr>
    </w:div>
    <w:div w:id="727798024">
      <w:bodyDiv w:val="1"/>
      <w:marLeft w:val="0"/>
      <w:marRight w:val="0"/>
      <w:marTop w:val="0"/>
      <w:marBottom w:val="0"/>
      <w:divBdr>
        <w:top w:val="none" w:sz="0" w:space="0" w:color="auto"/>
        <w:left w:val="none" w:sz="0" w:space="0" w:color="auto"/>
        <w:bottom w:val="none" w:sz="0" w:space="0" w:color="auto"/>
        <w:right w:val="none" w:sz="0" w:space="0" w:color="auto"/>
      </w:divBdr>
    </w:div>
    <w:div w:id="730881361">
      <w:bodyDiv w:val="1"/>
      <w:marLeft w:val="0"/>
      <w:marRight w:val="0"/>
      <w:marTop w:val="0"/>
      <w:marBottom w:val="0"/>
      <w:divBdr>
        <w:top w:val="none" w:sz="0" w:space="0" w:color="auto"/>
        <w:left w:val="none" w:sz="0" w:space="0" w:color="auto"/>
        <w:bottom w:val="none" w:sz="0" w:space="0" w:color="auto"/>
        <w:right w:val="none" w:sz="0" w:space="0" w:color="auto"/>
      </w:divBdr>
    </w:div>
    <w:div w:id="744298305">
      <w:bodyDiv w:val="1"/>
      <w:marLeft w:val="0"/>
      <w:marRight w:val="0"/>
      <w:marTop w:val="0"/>
      <w:marBottom w:val="0"/>
      <w:divBdr>
        <w:top w:val="none" w:sz="0" w:space="0" w:color="auto"/>
        <w:left w:val="none" w:sz="0" w:space="0" w:color="auto"/>
        <w:bottom w:val="none" w:sz="0" w:space="0" w:color="auto"/>
        <w:right w:val="none" w:sz="0" w:space="0" w:color="auto"/>
      </w:divBdr>
    </w:div>
    <w:div w:id="752505823">
      <w:bodyDiv w:val="1"/>
      <w:marLeft w:val="0"/>
      <w:marRight w:val="0"/>
      <w:marTop w:val="0"/>
      <w:marBottom w:val="0"/>
      <w:divBdr>
        <w:top w:val="none" w:sz="0" w:space="0" w:color="auto"/>
        <w:left w:val="none" w:sz="0" w:space="0" w:color="auto"/>
        <w:bottom w:val="none" w:sz="0" w:space="0" w:color="auto"/>
        <w:right w:val="none" w:sz="0" w:space="0" w:color="auto"/>
      </w:divBdr>
    </w:div>
    <w:div w:id="761686306">
      <w:bodyDiv w:val="1"/>
      <w:marLeft w:val="0"/>
      <w:marRight w:val="0"/>
      <w:marTop w:val="0"/>
      <w:marBottom w:val="0"/>
      <w:divBdr>
        <w:top w:val="none" w:sz="0" w:space="0" w:color="auto"/>
        <w:left w:val="none" w:sz="0" w:space="0" w:color="auto"/>
        <w:bottom w:val="none" w:sz="0" w:space="0" w:color="auto"/>
        <w:right w:val="none" w:sz="0" w:space="0" w:color="auto"/>
      </w:divBdr>
    </w:div>
    <w:div w:id="797724526">
      <w:bodyDiv w:val="1"/>
      <w:marLeft w:val="0"/>
      <w:marRight w:val="0"/>
      <w:marTop w:val="0"/>
      <w:marBottom w:val="0"/>
      <w:divBdr>
        <w:top w:val="none" w:sz="0" w:space="0" w:color="auto"/>
        <w:left w:val="none" w:sz="0" w:space="0" w:color="auto"/>
        <w:bottom w:val="none" w:sz="0" w:space="0" w:color="auto"/>
        <w:right w:val="none" w:sz="0" w:space="0" w:color="auto"/>
      </w:divBdr>
    </w:div>
    <w:div w:id="810562573">
      <w:bodyDiv w:val="1"/>
      <w:marLeft w:val="0"/>
      <w:marRight w:val="0"/>
      <w:marTop w:val="0"/>
      <w:marBottom w:val="0"/>
      <w:divBdr>
        <w:top w:val="none" w:sz="0" w:space="0" w:color="auto"/>
        <w:left w:val="none" w:sz="0" w:space="0" w:color="auto"/>
        <w:bottom w:val="none" w:sz="0" w:space="0" w:color="auto"/>
        <w:right w:val="none" w:sz="0" w:space="0" w:color="auto"/>
      </w:divBdr>
    </w:div>
    <w:div w:id="844395220">
      <w:bodyDiv w:val="1"/>
      <w:marLeft w:val="0"/>
      <w:marRight w:val="0"/>
      <w:marTop w:val="0"/>
      <w:marBottom w:val="0"/>
      <w:divBdr>
        <w:top w:val="none" w:sz="0" w:space="0" w:color="auto"/>
        <w:left w:val="none" w:sz="0" w:space="0" w:color="auto"/>
        <w:bottom w:val="none" w:sz="0" w:space="0" w:color="auto"/>
        <w:right w:val="none" w:sz="0" w:space="0" w:color="auto"/>
      </w:divBdr>
    </w:div>
    <w:div w:id="866481262">
      <w:bodyDiv w:val="1"/>
      <w:marLeft w:val="0"/>
      <w:marRight w:val="0"/>
      <w:marTop w:val="0"/>
      <w:marBottom w:val="0"/>
      <w:divBdr>
        <w:top w:val="none" w:sz="0" w:space="0" w:color="auto"/>
        <w:left w:val="none" w:sz="0" w:space="0" w:color="auto"/>
        <w:bottom w:val="none" w:sz="0" w:space="0" w:color="auto"/>
        <w:right w:val="none" w:sz="0" w:space="0" w:color="auto"/>
      </w:divBdr>
    </w:div>
    <w:div w:id="880673387">
      <w:bodyDiv w:val="1"/>
      <w:marLeft w:val="0"/>
      <w:marRight w:val="0"/>
      <w:marTop w:val="0"/>
      <w:marBottom w:val="0"/>
      <w:divBdr>
        <w:top w:val="none" w:sz="0" w:space="0" w:color="auto"/>
        <w:left w:val="none" w:sz="0" w:space="0" w:color="auto"/>
        <w:bottom w:val="none" w:sz="0" w:space="0" w:color="auto"/>
        <w:right w:val="none" w:sz="0" w:space="0" w:color="auto"/>
      </w:divBdr>
    </w:div>
    <w:div w:id="893272107">
      <w:bodyDiv w:val="1"/>
      <w:marLeft w:val="0"/>
      <w:marRight w:val="0"/>
      <w:marTop w:val="0"/>
      <w:marBottom w:val="0"/>
      <w:divBdr>
        <w:top w:val="none" w:sz="0" w:space="0" w:color="auto"/>
        <w:left w:val="none" w:sz="0" w:space="0" w:color="auto"/>
        <w:bottom w:val="none" w:sz="0" w:space="0" w:color="auto"/>
        <w:right w:val="none" w:sz="0" w:space="0" w:color="auto"/>
      </w:divBdr>
    </w:div>
    <w:div w:id="954872844">
      <w:bodyDiv w:val="1"/>
      <w:marLeft w:val="0"/>
      <w:marRight w:val="0"/>
      <w:marTop w:val="0"/>
      <w:marBottom w:val="0"/>
      <w:divBdr>
        <w:top w:val="none" w:sz="0" w:space="0" w:color="auto"/>
        <w:left w:val="none" w:sz="0" w:space="0" w:color="auto"/>
        <w:bottom w:val="none" w:sz="0" w:space="0" w:color="auto"/>
        <w:right w:val="none" w:sz="0" w:space="0" w:color="auto"/>
      </w:divBdr>
    </w:div>
    <w:div w:id="966669424">
      <w:bodyDiv w:val="1"/>
      <w:marLeft w:val="0"/>
      <w:marRight w:val="0"/>
      <w:marTop w:val="0"/>
      <w:marBottom w:val="0"/>
      <w:divBdr>
        <w:top w:val="none" w:sz="0" w:space="0" w:color="auto"/>
        <w:left w:val="none" w:sz="0" w:space="0" w:color="auto"/>
        <w:bottom w:val="none" w:sz="0" w:space="0" w:color="auto"/>
        <w:right w:val="none" w:sz="0" w:space="0" w:color="auto"/>
      </w:divBdr>
    </w:div>
    <w:div w:id="986326116">
      <w:bodyDiv w:val="1"/>
      <w:marLeft w:val="0"/>
      <w:marRight w:val="0"/>
      <w:marTop w:val="0"/>
      <w:marBottom w:val="0"/>
      <w:divBdr>
        <w:top w:val="none" w:sz="0" w:space="0" w:color="auto"/>
        <w:left w:val="none" w:sz="0" w:space="0" w:color="auto"/>
        <w:bottom w:val="none" w:sz="0" w:space="0" w:color="auto"/>
        <w:right w:val="none" w:sz="0" w:space="0" w:color="auto"/>
      </w:divBdr>
    </w:div>
    <w:div w:id="1020199284">
      <w:bodyDiv w:val="1"/>
      <w:marLeft w:val="0"/>
      <w:marRight w:val="0"/>
      <w:marTop w:val="0"/>
      <w:marBottom w:val="0"/>
      <w:divBdr>
        <w:top w:val="none" w:sz="0" w:space="0" w:color="auto"/>
        <w:left w:val="none" w:sz="0" w:space="0" w:color="auto"/>
        <w:bottom w:val="none" w:sz="0" w:space="0" w:color="auto"/>
        <w:right w:val="none" w:sz="0" w:space="0" w:color="auto"/>
      </w:divBdr>
    </w:div>
    <w:div w:id="1020206252">
      <w:bodyDiv w:val="1"/>
      <w:marLeft w:val="0"/>
      <w:marRight w:val="0"/>
      <w:marTop w:val="0"/>
      <w:marBottom w:val="0"/>
      <w:divBdr>
        <w:top w:val="none" w:sz="0" w:space="0" w:color="auto"/>
        <w:left w:val="none" w:sz="0" w:space="0" w:color="auto"/>
        <w:bottom w:val="none" w:sz="0" w:space="0" w:color="auto"/>
        <w:right w:val="none" w:sz="0" w:space="0" w:color="auto"/>
      </w:divBdr>
    </w:div>
    <w:div w:id="1039014037">
      <w:bodyDiv w:val="1"/>
      <w:marLeft w:val="0"/>
      <w:marRight w:val="0"/>
      <w:marTop w:val="0"/>
      <w:marBottom w:val="0"/>
      <w:divBdr>
        <w:top w:val="none" w:sz="0" w:space="0" w:color="auto"/>
        <w:left w:val="none" w:sz="0" w:space="0" w:color="auto"/>
        <w:bottom w:val="none" w:sz="0" w:space="0" w:color="auto"/>
        <w:right w:val="none" w:sz="0" w:space="0" w:color="auto"/>
      </w:divBdr>
    </w:div>
    <w:div w:id="1049066857">
      <w:bodyDiv w:val="1"/>
      <w:marLeft w:val="0"/>
      <w:marRight w:val="0"/>
      <w:marTop w:val="0"/>
      <w:marBottom w:val="0"/>
      <w:divBdr>
        <w:top w:val="none" w:sz="0" w:space="0" w:color="auto"/>
        <w:left w:val="none" w:sz="0" w:space="0" w:color="auto"/>
        <w:bottom w:val="none" w:sz="0" w:space="0" w:color="auto"/>
        <w:right w:val="none" w:sz="0" w:space="0" w:color="auto"/>
      </w:divBdr>
    </w:div>
    <w:div w:id="1057044840">
      <w:bodyDiv w:val="1"/>
      <w:marLeft w:val="0"/>
      <w:marRight w:val="0"/>
      <w:marTop w:val="0"/>
      <w:marBottom w:val="0"/>
      <w:divBdr>
        <w:top w:val="none" w:sz="0" w:space="0" w:color="auto"/>
        <w:left w:val="none" w:sz="0" w:space="0" w:color="auto"/>
        <w:bottom w:val="none" w:sz="0" w:space="0" w:color="auto"/>
        <w:right w:val="none" w:sz="0" w:space="0" w:color="auto"/>
      </w:divBdr>
    </w:div>
    <w:div w:id="1065185276">
      <w:bodyDiv w:val="1"/>
      <w:marLeft w:val="0"/>
      <w:marRight w:val="0"/>
      <w:marTop w:val="0"/>
      <w:marBottom w:val="0"/>
      <w:divBdr>
        <w:top w:val="none" w:sz="0" w:space="0" w:color="auto"/>
        <w:left w:val="none" w:sz="0" w:space="0" w:color="auto"/>
        <w:bottom w:val="none" w:sz="0" w:space="0" w:color="auto"/>
        <w:right w:val="none" w:sz="0" w:space="0" w:color="auto"/>
      </w:divBdr>
    </w:div>
    <w:div w:id="1069573962">
      <w:bodyDiv w:val="1"/>
      <w:marLeft w:val="0"/>
      <w:marRight w:val="0"/>
      <w:marTop w:val="0"/>
      <w:marBottom w:val="0"/>
      <w:divBdr>
        <w:top w:val="none" w:sz="0" w:space="0" w:color="auto"/>
        <w:left w:val="none" w:sz="0" w:space="0" w:color="auto"/>
        <w:bottom w:val="none" w:sz="0" w:space="0" w:color="auto"/>
        <w:right w:val="none" w:sz="0" w:space="0" w:color="auto"/>
      </w:divBdr>
    </w:div>
    <w:div w:id="1071736603">
      <w:bodyDiv w:val="1"/>
      <w:marLeft w:val="0"/>
      <w:marRight w:val="0"/>
      <w:marTop w:val="0"/>
      <w:marBottom w:val="0"/>
      <w:divBdr>
        <w:top w:val="none" w:sz="0" w:space="0" w:color="auto"/>
        <w:left w:val="none" w:sz="0" w:space="0" w:color="auto"/>
        <w:bottom w:val="none" w:sz="0" w:space="0" w:color="auto"/>
        <w:right w:val="none" w:sz="0" w:space="0" w:color="auto"/>
      </w:divBdr>
    </w:div>
    <w:div w:id="1078405796">
      <w:bodyDiv w:val="1"/>
      <w:marLeft w:val="0"/>
      <w:marRight w:val="0"/>
      <w:marTop w:val="0"/>
      <w:marBottom w:val="0"/>
      <w:divBdr>
        <w:top w:val="none" w:sz="0" w:space="0" w:color="auto"/>
        <w:left w:val="none" w:sz="0" w:space="0" w:color="auto"/>
        <w:bottom w:val="none" w:sz="0" w:space="0" w:color="auto"/>
        <w:right w:val="none" w:sz="0" w:space="0" w:color="auto"/>
      </w:divBdr>
    </w:div>
    <w:div w:id="1081487406">
      <w:bodyDiv w:val="1"/>
      <w:marLeft w:val="0"/>
      <w:marRight w:val="0"/>
      <w:marTop w:val="0"/>
      <w:marBottom w:val="0"/>
      <w:divBdr>
        <w:top w:val="none" w:sz="0" w:space="0" w:color="auto"/>
        <w:left w:val="none" w:sz="0" w:space="0" w:color="auto"/>
        <w:bottom w:val="none" w:sz="0" w:space="0" w:color="auto"/>
        <w:right w:val="none" w:sz="0" w:space="0" w:color="auto"/>
      </w:divBdr>
    </w:div>
    <w:div w:id="1091974745">
      <w:bodyDiv w:val="1"/>
      <w:marLeft w:val="0"/>
      <w:marRight w:val="0"/>
      <w:marTop w:val="0"/>
      <w:marBottom w:val="0"/>
      <w:divBdr>
        <w:top w:val="none" w:sz="0" w:space="0" w:color="auto"/>
        <w:left w:val="none" w:sz="0" w:space="0" w:color="auto"/>
        <w:bottom w:val="none" w:sz="0" w:space="0" w:color="auto"/>
        <w:right w:val="none" w:sz="0" w:space="0" w:color="auto"/>
      </w:divBdr>
    </w:div>
    <w:div w:id="1094862352">
      <w:bodyDiv w:val="1"/>
      <w:marLeft w:val="0"/>
      <w:marRight w:val="0"/>
      <w:marTop w:val="0"/>
      <w:marBottom w:val="0"/>
      <w:divBdr>
        <w:top w:val="none" w:sz="0" w:space="0" w:color="auto"/>
        <w:left w:val="none" w:sz="0" w:space="0" w:color="auto"/>
        <w:bottom w:val="none" w:sz="0" w:space="0" w:color="auto"/>
        <w:right w:val="none" w:sz="0" w:space="0" w:color="auto"/>
      </w:divBdr>
    </w:div>
    <w:div w:id="1154954956">
      <w:bodyDiv w:val="1"/>
      <w:marLeft w:val="0"/>
      <w:marRight w:val="0"/>
      <w:marTop w:val="0"/>
      <w:marBottom w:val="0"/>
      <w:divBdr>
        <w:top w:val="none" w:sz="0" w:space="0" w:color="auto"/>
        <w:left w:val="none" w:sz="0" w:space="0" w:color="auto"/>
        <w:bottom w:val="none" w:sz="0" w:space="0" w:color="auto"/>
        <w:right w:val="none" w:sz="0" w:space="0" w:color="auto"/>
      </w:divBdr>
    </w:div>
    <w:div w:id="1168516299">
      <w:bodyDiv w:val="1"/>
      <w:marLeft w:val="0"/>
      <w:marRight w:val="0"/>
      <w:marTop w:val="0"/>
      <w:marBottom w:val="0"/>
      <w:divBdr>
        <w:top w:val="none" w:sz="0" w:space="0" w:color="auto"/>
        <w:left w:val="none" w:sz="0" w:space="0" w:color="auto"/>
        <w:bottom w:val="none" w:sz="0" w:space="0" w:color="auto"/>
        <w:right w:val="none" w:sz="0" w:space="0" w:color="auto"/>
      </w:divBdr>
    </w:div>
    <w:div w:id="1204945403">
      <w:bodyDiv w:val="1"/>
      <w:marLeft w:val="0"/>
      <w:marRight w:val="0"/>
      <w:marTop w:val="0"/>
      <w:marBottom w:val="0"/>
      <w:divBdr>
        <w:top w:val="none" w:sz="0" w:space="0" w:color="auto"/>
        <w:left w:val="none" w:sz="0" w:space="0" w:color="auto"/>
        <w:bottom w:val="none" w:sz="0" w:space="0" w:color="auto"/>
        <w:right w:val="none" w:sz="0" w:space="0" w:color="auto"/>
      </w:divBdr>
    </w:div>
    <w:div w:id="1206337313">
      <w:bodyDiv w:val="1"/>
      <w:marLeft w:val="0"/>
      <w:marRight w:val="0"/>
      <w:marTop w:val="0"/>
      <w:marBottom w:val="0"/>
      <w:divBdr>
        <w:top w:val="none" w:sz="0" w:space="0" w:color="auto"/>
        <w:left w:val="none" w:sz="0" w:space="0" w:color="auto"/>
        <w:bottom w:val="none" w:sz="0" w:space="0" w:color="auto"/>
        <w:right w:val="none" w:sz="0" w:space="0" w:color="auto"/>
      </w:divBdr>
    </w:div>
    <w:div w:id="1225336735">
      <w:bodyDiv w:val="1"/>
      <w:marLeft w:val="0"/>
      <w:marRight w:val="0"/>
      <w:marTop w:val="0"/>
      <w:marBottom w:val="0"/>
      <w:divBdr>
        <w:top w:val="none" w:sz="0" w:space="0" w:color="auto"/>
        <w:left w:val="none" w:sz="0" w:space="0" w:color="auto"/>
        <w:bottom w:val="none" w:sz="0" w:space="0" w:color="auto"/>
        <w:right w:val="none" w:sz="0" w:space="0" w:color="auto"/>
      </w:divBdr>
    </w:div>
    <w:div w:id="1230338191">
      <w:bodyDiv w:val="1"/>
      <w:marLeft w:val="0"/>
      <w:marRight w:val="0"/>
      <w:marTop w:val="0"/>
      <w:marBottom w:val="0"/>
      <w:divBdr>
        <w:top w:val="none" w:sz="0" w:space="0" w:color="auto"/>
        <w:left w:val="none" w:sz="0" w:space="0" w:color="auto"/>
        <w:bottom w:val="none" w:sz="0" w:space="0" w:color="auto"/>
        <w:right w:val="none" w:sz="0" w:space="0" w:color="auto"/>
      </w:divBdr>
    </w:div>
    <w:div w:id="1283877287">
      <w:bodyDiv w:val="1"/>
      <w:marLeft w:val="0"/>
      <w:marRight w:val="0"/>
      <w:marTop w:val="0"/>
      <w:marBottom w:val="0"/>
      <w:divBdr>
        <w:top w:val="none" w:sz="0" w:space="0" w:color="auto"/>
        <w:left w:val="none" w:sz="0" w:space="0" w:color="auto"/>
        <w:bottom w:val="none" w:sz="0" w:space="0" w:color="auto"/>
        <w:right w:val="none" w:sz="0" w:space="0" w:color="auto"/>
      </w:divBdr>
    </w:div>
    <w:div w:id="1370296431">
      <w:bodyDiv w:val="1"/>
      <w:marLeft w:val="0"/>
      <w:marRight w:val="0"/>
      <w:marTop w:val="0"/>
      <w:marBottom w:val="0"/>
      <w:divBdr>
        <w:top w:val="none" w:sz="0" w:space="0" w:color="auto"/>
        <w:left w:val="none" w:sz="0" w:space="0" w:color="auto"/>
        <w:bottom w:val="none" w:sz="0" w:space="0" w:color="auto"/>
        <w:right w:val="none" w:sz="0" w:space="0" w:color="auto"/>
      </w:divBdr>
    </w:div>
    <w:div w:id="1373767362">
      <w:bodyDiv w:val="1"/>
      <w:marLeft w:val="0"/>
      <w:marRight w:val="0"/>
      <w:marTop w:val="0"/>
      <w:marBottom w:val="0"/>
      <w:divBdr>
        <w:top w:val="none" w:sz="0" w:space="0" w:color="auto"/>
        <w:left w:val="none" w:sz="0" w:space="0" w:color="auto"/>
        <w:bottom w:val="none" w:sz="0" w:space="0" w:color="auto"/>
        <w:right w:val="none" w:sz="0" w:space="0" w:color="auto"/>
      </w:divBdr>
    </w:div>
    <w:div w:id="1386563020">
      <w:bodyDiv w:val="1"/>
      <w:marLeft w:val="0"/>
      <w:marRight w:val="0"/>
      <w:marTop w:val="0"/>
      <w:marBottom w:val="0"/>
      <w:divBdr>
        <w:top w:val="none" w:sz="0" w:space="0" w:color="auto"/>
        <w:left w:val="none" w:sz="0" w:space="0" w:color="auto"/>
        <w:bottom w:val="none" w:sz="0" w:space="0" w:color="auto"/>
        <w:right w:val="none" w:sz="0" w:space="0" w:color="auto"/>
      </w:divBdr>
    </w:div>
    <w:div w:id="1409811635">
      <w:bodyDiv w:val="1"/>
      <w:marLeft w:val="0"/>
      <w:marRight w:val="0"/>
      <w:marTop w:val="0"/>
      <w:marBottom w:val="0"/>
      <w:divBdr>
        <w:top w:val="none" w:sz="0" w:space="0" w:color="auto"/>
        <w:left w:val="none" w:sz="0" w:space="0" w:color="auto"/>
        <w:bottom w:val="none" w:sz="0" w:space="0" w:color="auto"/>
        <w:right w:val="none" w:sz="0" w:space="0" w:color="auto"/>
      </w:divBdr>
    </w:div>
    <w:div w:id="1414859129">
      <w:bodyDiv w:val="1"/>
      <w:marLeft w:val="0"/>
      <w:marRight w:val="0"/>
      <w:marTop w:val="0"/>
      <w:marBottom w:val="0"/>
      <w:divBdr>
        <w:top w:val="none" w:sz="0" w:space="0" w:color="auto"/>
        <w:left w:val="none" w:sz="0" w:space="0" w:color="auto"/>
        <w:bottom w:val="none" w:sz="0" w:space="0" w:color="auto"/>
        <w:right w:val="none" w:sz="0" w:space="0" w:color="auto"/>
      </w:divBdr>
    </w:div>
    <w:div w:id="1445492517">
      <w:bodyDiv w:val="1"/>
      <w:marLeft w:val="0"/>
      <w:marRight w:val="0"/>
      <w:marTop w:val="0"/>
      <w:marBottom w:val="0"/>
      <w:divBdr>
        <w:top w:val="none" w:sz="0" w:space="0" w:color="auto"/>
        <w:left w:val="none" w:sz="0" w:space="0" w:color="auto"/>
        <w:bottom w:val="none" w:sz="0" w:space="0" w:color="auto"/>
        <w:right w:val="none" w:sz="0" w:space="0" w:color="auto"/>
      </w:divBdr>
    </w:div>
    <w:div w:id="1484657752">
      <w:bodyDiv w:val="1"/>
      <w:marLeft w:val="0"/>
      <w:marRight w:val="0"/>
      <w:marTop w:val="0"/>
      <w:marBottom w:val="0"/>
      <w:divBdr>
        <w:top w:val="none" w:sz="0" w:space="0" w:color="auto"/>
        <w:left w:val="none" w:sz="0" w:space="0" w:color="auto"/>
        <w:bottom w:val="none" w:sz="0" w:space="0" w:color="auto"/>
        <w:right w:val="none" w:sz="0" w:space="0" w:color="auto"/>
      </w:divBdr>
    </w:div>
    <w:div w:id="1506743822">
      <w:bodyDiv w:val="1"/>
      <w:marLeft w:val="0"/>
      <w:marRight w:val="0"/>
      <w:marTop w:val="0"/>
      <w:marBottom w:val="0"/>
      <w:divBdr>
        <w:top w:val="none" w:sz="0" w:space="0" w:color="auto"/>
        <w:left w:val="none" w:sz="0" w:space="0" w:color="auto"/>
        <w:bottom w:val="none" w:sz="0" w:space="0" w:color="auto"/>
        <w:right w:val="none" w:sz="0" w:space="0" w:color="auto"/>
      </w:divBdr>
    </w:div>
    <w:div w:id="1526016189">
      <w:bodyDiv w:val="1"/>
      <w:marLeft w:val="0"/>
      <w:marRight w:val="0"/>
      <w:marTop w:val="0"/>
      <w:marBottom w:val="0"/>
      <w:divBdr>
        <w:top w:val="none" w:sz="0" w:space="0" w:color="auto"/>
        <w:left w:val="none" w:sz="0" w:space="0" w:color="auto"/>
        <w:bottom w:val="none" w:sz="0" w:space="0" w:color="auto"/>
        <w:right w:val="none" w:sz="0" w:space="0" w:color="auto"/>
      </w:divBdr>
    </w:div>
    <w:div w:id="1555264993">
      <w:bodyDiv w:val="1"/>
      <w:marLeft w:val="0"/>
      <w:marRight w:val="0"/>
      <w:marTop w:val="0"/>
      <w:marBottom w:val="0"/>
      <w:divBdr>
        <w:top w:val="none" w:sz="0" w:space="0" w:color="auto"/>
        <w:left w:val="none" w:sz="0" w:space="0" w:color="auto"/>
        <w:bottom w:val="none" w:sz="0" w:space="0" w:color="auto"/>
        <w:right w:val="none" w:sz="0" w:space="0" w:color="auto"/>
      </w:divBdr>
    </w:div>
    <w:div w:id="1560826794">
      <w:bodyDiv w:val="1"/>
      <w:marLeft w:val="0"/>
      <w:marRight w:val="0"/>
      <w:marTop w:val="0"/>
      <w:marBottom w:val="0"/>
      <w:divBdr>
        <w:top w:val="none" w:sz="0" w:space="0" w:color="auto"/>
        <w:left w:val="none" w:sz="0" w:space="0" w:color="auto"/>
        <w:bottom w:val="none" w:sz="0" w:space="0" w:color="auto"/>
        <w:right w:val="none" w:sz="0" w:space="0" w:color="auto"/>
      </w:divBdr>
    </w:div>
    <w:div w:id="1571623440">
      <w:bodyDiv w:val="1"/>
      <w:marLeft w:val="0"/>
      <w:marRight w:val="0"/>
      <w:marTop w:val="0"/>
      <w:marBottom w:val="0"/>
      <w:divBdr>
        <w:top w:val="none" w:sz="0" w:space="0" w:color="auto"/>
        <w:left w:val="none" w:sz="0" w:space="0" w:color="auto"/>
        <w:bottom w:val="none" w:sz="0" w:space="0" w:color="auto"/>
        <w:right w:val="none" w:sz="0" w:space="0" w:color="auto"/>
      </w:divBdr>
    </w:div>
    <w:div w:id="1574117595">
      <w:bodyDiv w:val="1"/>
      <w:marLeft w:val="0"/>
      <w:marRight w:val="0"/>
      <w:marTop w:val="0"/>
      <w:marBottom w:val="0"/>
      <w:divBdr>
        <w:top w:val="none" w:sz="0" w:space="0" w:color="auto"/>
        <w:left w:val="none" w:sz="0" w:space="0" w:color="auto"/>
        <w:bottom w:val="none" w:sz="0" w:space="0" w:color="auto"/>
        <w:right w:val="none" w:sz="0" w:space="0" w:color="auto"/>
      </w:divBdr>
    </w:div>
    <w:div w:id="1582254952">
      <w:bodyDiv w:val="1"/>
      <w:marLeft w:val="0"/>
      <w:marRight w:val="0"/>
      <w:marTop w:val="0"/>
      <w:marBottom w:val="0"/>
      <w:divBdr>
        <w:top w:val="none" w:sz="0" w:space="0" w:color="auto"/>
        <w:left w:val="none" w:sz="0" w:space="0" w:color="auto"/>
        <w:bottom w:val="none" w:sz="0" w:space="0" w:color="auto"/>
        <w:right w:val="none" w:sz="0" w:space="0" w:color="auto"/>
      </w:divBdr>
    </w:div>
    <w:div w:id="1610619619">
      <w:bodyDiv w:val="1"/>
      <w:marLeft w:val="0"/>
      <w:marRight w:val="0"/>
      <w:marTop w:val="0"/>
      <w:marBottom w:val="0"/>
      <w:divBdr>
        <w:top w:val="none" w:sz="0" w:space="0" w:color="auto"/>
        <w:left w:val="none" w:sz="0" w:space="0" w:color="auto"/>
        <w:bottom w:val="none" w:sz="0" w:space="0" w:color="auto"/>
        <w:right w:val="none" w:sz="0" w:space="0" w:color="auto"/>
      </w:divBdr>
    </w:div>
    <w:div w:id="1620066521">
      <w:bodyDiv w:val="1"/>
      <w:marLeft w:val="0"/>
      <w:marRight w:val="0"/>
      <w:marTop w:val="0"/>
      <w:marBottom w:val="0"/>
      <w:divBdr>
        <w:top w:val="none" w:sz="0" w:space="0" w:color="auto"/>
        <w:left w:val="none" w:sz="0" w:space="0" w:color="auto"/>
        <w:bottom w:val="none" w:sz="0" w:space="0" w:color="auto"/>
        <w:right w:val="none" w:sz="0" w:space="0" w:color="auto"/>
      </w:divBdr>
    </w:div>
    <w:div w:id="1623925367">
      <w:bodyDiv w:val="1"/>
      <w:marLeft w:val="0"/>
      <w:marRight w:val="0"/>
      <w:marTop w:val="0"/>
      <w:marBottom w:val="0"/>
      <w:divBdr>
        <w:top w:val="none" w:sz="0" w:space="0" w:color="auto"/>
        <w:left w:val="none" w:sz="0" w:space="0" w:color="auto"/>
        <w:bottom w:val="none" w:sz="0" w:space="0" w:color="auto"/>
        <w:right w:val="none" w:sz="0" w:space="0" w:color="auto"/>
      </w:divBdr>
    </w:div>
    <w:div w:id="1635477811">
      <w:bodyDiv w:val="1"/>
      <w:marLeft w:val="0"/>
      <w:marRight w:val="0"/>
      <w:marTop w:val="0"/>
      <w:marBottom w:val="0"/>
      <w:divBdr>
        <w:top w:val="none" w:sz="0" w:space="0" w:color="auto"/>
        <w:left w:val="none" w:sz="0" w:space="0" w:color="auto"/>
        <w:bottom w:val="none" w:sz="0" w:space="0" w:color="auto"/>
        <w:right w:val="none" w:sz="0" w:space="0" w:color="auto"/>
      </w:divBdr>
    </w:div>
    <w:div w:id="1639069697">
      <w:bodyDiv w:val="1"/>
      <w:marLeft w:val="0"/>
      <w:marRight w:val="0"/>
      <w:marTop w:val="0"/>
      <w:marBottom w:val="0"/>
      <w:divBdr>
        <w:top w:val="none" w:sz="0" w:space="0" w:color="auto"/>
        <w:left w:val="none" w:sz="0" w:space="0" w:color="auto"/>
        <w:bottom w:val="none" w:sz="0" w:space="0" w:color="auto"/>
        <w:right w:val="none" w:sz="0" w:space="0" w:color="auto"/>
      </w:divBdr>
    </w:div>
    <w:div w:id="1655330186">
      <w:bodyDiv w:val="1"/>
      <w:marLeft w:val="0"/>
      <w:marRight w:val="0"/>
      <w:marTop w:val="0"/>
      <w:marBottom w:val="0"/>
      <w:divBdr>
        <w:top w:val="none" w:sz="0" w:space="0" w:color="auto"/>
        <w:left w:val="none" w:sz="0" w:space="0" w:color="auto"/>
        <w:bottom w:val="none" w:sz="0" w:space="0" w:color="auto"/>
        <w:right w:val="none" w:sz="0" w:space="0" w:color="auto"/>
      </w:divBdr>
    </w:div>
    <w:div w:id="1662005515">
      <w:bodyDiv w:val="1"/>
      <w:marLeft w:val="0"/>
      <w:marRight w:val="0"/>
      <w:marTop w:val="0"/>
      <w:marBottom w:val="0"/>
      <w:divBdr>
        <w:top w:val="none" w:sz="0" w:space="0" w:color="auto"/>
        <w:left w:val="none" w:sz="0" w:space="0" w:color="auto"/>
        <w:bottom w:val="none" w:sz="0" w:space="0" w:color="auto"/>
        <w:right w:val="none" w:sz="0" w:space="0" w:color="auto"/>
      </w:divBdr>
    </w:div>
    <w:div w:id="1667201881">
      <w:bodyDiv w:val="1"/>
      <w:marLeft w:val="0"/>
      <w:marRight w:val="0"/>
      <w:marTop w:val="0"/>
      <w:marBottom w:val="0"/>
      <w:divBdr>
        <w:top w:val="none" w:sz="0" w:space="0" w:color="auto"/>
        <w:left w:val="none" w:sz="0" w:space="0" w:color="auto"/>
        <w:bottom w:val="none" w:sz="0" w:space="0" w:color="auto"/>
        <w:right w:val="none" w:sz="0" w:space="0" w:color="auto"/>
      </w:divBdr>
    </w:div>
    <w:div w:id="1716270279">
      <w:bodyDiv w:val="1"/>
      <w:marLeft w:val="0"/>
      <w:marRight w:val="0"/>
      <w:marTop w:val="0"/>
      <w:marBottom w:val="0"/>
      <w:divBdr>
        <w:top w:val="none" w:sz="0" w:space="0" w:color="auto"/>
        <w:left w:val="none" w:sz="0" w:space="0" w:color="auto"/>
        <w:bottom w:val="none" w:sz="0" w:space="0" w:color="auto"/>
        <w:right w:val="none" w:sz="0" w:space="0" w:color="auto"/>
      </w:divBdr>
    </w:div>
    <w:div w:id="1722946870">
      <w:bodyDiv w:val="1"/>
      <w:marLeft w:val="0"/>
      <w:marRight w:val="0"/>
      <w:marTop w:val="0"/>
      <w:marBottom w:val="0"/>
      <w:divBdr>
        <w:top w:val="none" w:sz="0" w:space="0" w:color="auto"/>
        <w:left w:val="none" w:sz="0" w:space="0" w:color="auto"/>
        <w:bottom w:val="none" w:sz="0" w:space="0" w:color="auto"/>
        <w:right w:val="none" w:sz="0" w:space="0" w:color="auto"/>
      </w:divBdr>
    </w:div>
    <w:div w:id="1742143717">
      <w:bodyDiv w:val="1"/>
      <w:marLeft w:val="0"/>
      <w:marRight w:val="0"/>
      <w:marTop w:val="0"/>
      <w:marBottom w:val="0"/>
      <w:divBdr>
        <w:top w:val="none" w:sz="0" w:space="0" w:color="auto"/>
        <w:left w:val="none" w:sz="0" w:space="0" w:color="auto"/>
        <w:bottom w:val="none" w:sz="0" w:space="0" w:color="auto"/>
        <w:right w:val="none" w:sz="0" w:space="0" w:color="auto"/>
      </w:divBdr>
    </w:div>
    <w:div w:id="1797017487">
      <w:bodyDiv w:val="1"/>
      <w:marLeft w:val="0"/>
      <w:marRight w:val="0"/>
      <w:marTop w:val="0"/>
      <w:marBottom w:val="0"/>
      <w:divBdr>
        <w:top w:val="none" w:sz="0" w:space="0" w:color="auto"/>
        <w:left w:val="none" w:sz="0" w:space="0" w:color="auto"/>
        <w:bottom w:val="none" w:sz="0" w:space="0" w:color="auto"/>
        <w:right w:val="none" w:sz="0" w:space="0" w:color="auto"/>
      </w:divBdr>
    </w:div>
    <w:div w:id="1805464419">
      <w:bodyDiv w:val="1"/>
      <w:marLeft w:val="0"/>
      <w:marRight w:val="0"/>
      <w:marTop w:val="0"/>
      <w:marBottom w:val="0"/>
      <w:divBdr>
        <w:top w:val="none" w:sz="0" w:space="0" w:color="auto"/>
        <w:left w:val="none" w:sz="0" w:space="0" w:color="auto"/>
        <w:bottom w:val="none" w:sz="0" w:space="0" w:color="auto"/>
        <w:right w:val="none" w:sz="0" w:space="0" w:color="auto"/>
      </w:divBdr>
    </w:div>
    <w:div w:id="1830756189">
      <w:bodyDiv w:val="1"/>
      <w:marLeft w:val="0"/>
      <w:marRight w:val="0"/>
      <w:marTop w:val="0"/>
      <w:marBottom w:val="0"/>
      <w:divBdr>
        <w:top w:val="none" w:sz="0" w:space="0" w:color="auto"/>
        <w:left w:val="none" w:sz="0" w:space="0" w:color="auto"/>
        <w:bottom w:val="none" w:sz="0" w:space="0" w:color="auto"/>
        <w:right w:val="none" w:sz="0" w:space="0" w:color="auto"/>
      </w:divBdr>
    </w:div>
    <w:div w:id="1839422236">
      <w:bodyDiv w:val="1"/>
      <w:marLeft w:val="0"/>
      <w:marRight w:val="0"/>
      <w:marTop w:val="0"/>
      <w:marBottom w:val="0"/>
      <w:divBdr>
        <w:top w:val="none" w:sz="0" w:space="0" w:color="auto"/>
        <w:left w:val="none" w:sz="0" w:space="0" w:color="auto"/>
        <w:bottom w:val="none" w:sz="0" w:space="0" w:color="auto"/>
        <w:right w:val="none" w:sz="0" w:space="0" w:color="auto"/>
      </w:divBdr>
    </w:div>
    <w:div w:id="1875538660">
      <w:bodyDiv w:val="1"/>
      <w:marLeft w:val="0"/>
      <w:marRight w:val="0"/>
      <w:marTop w:val="0"/>
      <w:marBottom w:val="0"/>
      <w:divBdr>
        <w:top w:val="none" w:sz="0" w:space="0" w:color="auto"/>
        <w:left w:val="none" w:sz="0" w:space="0" w:color="auto"/>
        <w:bottom w:val="none" w:sz="0" w:space="0" w:color="auto"/>
        <w:right w:val="none" w:sz="0" w:space="0" w:color="auto"/>
      </w:divBdr>
    </w:div>
    <w:div w:id="1877234927">
      <w:bodyDiv w:val="1"/>
      <w:marLeft w:val="0"/>
      <w:marRight w:val="0"/>
      <w:marTop w:val="0"/>
      <w:marBottom w:val="0"/>
      <w:divBdr>
        <w:top w:val="none" w:sz="0" w:space="0" w:color="auto"/>
        <w:left w:val="none" w:sz="0" w:space="0" w:color="auto"/>
        <w:bottom w:val="none" w:sz="0" w:space="0" w:color="auto"/>
        <w:right w:val="none" w:sz="0" w:space="0" w:color="auto"/>
      </w:divBdr>
    </w:div>
    <w:div w:id="1879703799">
      <w:bodyDiv w:val="1"/>
      <w:marLeft w:val="0"/>
      <w:marRight w:val="0"/>
      <w:marTop w:val="0"/>
      <w:marBottom w:val="0"/>
      <w:divBdr>
        <w:top w:val="none" w:sz="0" w:space="0" w:color="auto"/>
        <w:left w:val="none" w:sz="0" w:space="0" w:color="auto"/>
        <w:bottom w:val="none" w:sz="0" w:space="0" w:color="auto"/>
        <w:right w:val="none" w:sz="0" w:space="0" w:color="auto"/>
      </w:divBdr>
    </w:div>
    <w:div w:id="1904218515">
      <w:bodyDiv w:val="1"/>
      <w:marLeft w:val="0"/>
      <w:marRight w:val="0"/>
      <w:marTop w:val="0"/>
      <w:marBottom w:val="0"/>
      <w:divBdr>
        <w:top w:val="none" w:sz="0" w:space="0" w:color="auto"/>
        <w:left w:val="none" w:sz="0" w:space="0" w:color="auto"/>
        <w:bottom w:val="none" w:sz="0" w:space="0" w:color="auto"/>
        <w:right w:val="none" w:sz="0" w:space="0" w:color="auto"/>
      </w:divBdr>
    </w:div>
    <w:div w:id="1909145333">
      <w:bodyDiv w:val="1"/>
      <w:marLeft w:val="0"/>
      <w:marRight w:val="0"/>
      <w:marTop w:val="0"/>
      <w:marBottom w:val="0"/>
      <w:divBdr>
        <w:top w:val="none" w:sz="0" w:space="0" w:color="auto"/>
        <w:left w:val="none" w:sz="0" w:space="0" w:color="auto"/>
        <w:bottom w:val="none" w:sz="0" w:space="0" w:color="auto"/>
        <w:right w:val="none" w:sz="0" w:space="0" w:color="auto"/>
      </w:divBdr>
    </w:div>
    <w:div w:id="1923180542">
      <w:bodyDiv w:val="1"/>
      <w:marLeft w:val="0"/>
      <w:marRight w:val="0"/>
      <w:marTop w:val="0"/>
      <w:marBottom w:val="0"/>
      <w:divBdr>
        <w:top w:val="none" w:sz="0" w:space="0" w:color="auto"/>
        <w:left w:val="none" w:sz="0" w:space="0" w:color="auto"/>
        <w:bottom w:val="none" w:sz="0" w:space="0" w:color="auto"/>
        <w:right w:val="none" w:sz="0" w:space="0" w:color="auto"/>
      </w:divBdr>
    </w:div>
    <w:div w:id="1936937314">
      <w:bodyDiv w:val="1"/>
      <w:marLeft w:val="0"/>
      <w:marRight w:val="0"/>
      <w:marTop w:val="0"/>
      <w:marBottom w:val="0"/>
      <w:divBdr>
        <w:top w:val="none" w:sz="0" w:space="0" w:color="auto"/>
        <w:left w:val="none" w:sz="0" w:space="0" w:color="auto"/>
        <w:bottom w:val="none" w:sz="0" w:space="0" w:color="auto"/>
        <w:right w:val="none" w:sz="0" w:space="0" w:color="auto"/>
      </w:divBdr>
    </w:div>
    <w:div w:id="1967931100">
      <w:bodyDiv w:val="1"/>
      <w:marLeft w:val="0"/>
      <w:marRight w:val="0"/>
      <w:marTop w:val="0"/>
      <w:marBottom w:val="0"/>
      <w:divBdr>
        <w:top w:val="none" w:sz="0" w:space="0" w:color="auto"/>
        <w:left w:val="none" w:sz="0" w:space="0" w:color="auto"/>
        <w:bottom w:val="none" w:sz="0" w:space="0" w:color="auto"/>
        <w:right w:val="none" w:sz="0" w:space="0" w:color="auto"/>
      </w:divBdr>
    </w:div>
    <w:div w:id="2002848806">
      <w:bodyDiv w:val="1"/>
      <w:marLeft w:val="0"/>
      <w:marRight w:val="0"/>
      <w:marTop w:val="0"/>
      <w:marBottom w:val="0"/>
      <w:divBdr>
        <w:top w:val="none" w:sz="0" w:space="0" w:color="auto"/>
        <w:left w:val="none" w:sz="0" w:space="0" w:color="auto"/>
        <w:bottom w:val="none" w:sz="0" w:space="0" w:color="auto"/>
        <w:right w:val="none" w:sz="0" w:space="0" w:color="auto"/>
      </w:divBdr>
    </w:div>
    <w:div w:id="2012487108">
      <w:bodyDiv w:val="1"/>
      <w:marLeft w:val="0"/>
      <w:marRight w:val="0"/>
      <w:marTop w:val="0"/>
      <w:marBottom w:val="0"/>
      <w:divBdr>
        <w:top w:val="none" w:sz="0" w:space="0" w:color="auto"/>
        <w:left w:val="none" w:sz="0" w:space="0" w:color="auto"/>
        <w:bottom w:val="none" w:sz="0" w:space="0" w:color="auto"/>
        <w:right w:val="none" w:sz="0" w:space="0" w:color="auto"/>
      </w:divBdr>
    </w:div>
    <w:div w:id="2025860074">
      <w:bodyDiv w:val="1"/>
      <w:marLeft w:val="0"/>
      <w:marRight w:val="0"/>
      <w:marTop w:val="0"/>
      <w:marBottom w:val="0"/>
      <w:divBdr>
        <w:top w:val="none" w:sz="0" w:space="0" w:color="auto"/>
        <w:left w:val="none" w:sz="0" w:space="0" w:color="auto"/>
        <w:bottom w:val="none" w:sz="0" w:space="0" w:color="auto"/>
        <w:right w:val="none" w:sz="0" w:space="0" w:color="auto"/>
      </w:divBdr>
    </w:div>
    <w:div w:id="2032104917">
      <w:bodyDiv w:val="1"/>
      <w:marLeft w:val="0"/>
      <w:marRight w:val="0"/>
      <w:marTop w:val="0"/>
      <w:marBottom w:val="0"/>
      <w:divBdr>
        <w:top w:val="none" w:sz="0" w:space="0" w:color="auto"/>
        <w:left w:val="none" w:sz="0" w:space="0" w:color="auto"/>
        <w:bottom w:val="none" w:sz="0" w:space="0" w:color="auto"/>
        <w:right w:val="none" w:sz="0" w:space="0" w:color="auto"/>
      </w:divBdr>
    </w:div>
    <w:div w:id="2033260835">
      <w:bodyDiv w:val="1"/>
      <w:marLeft w:val="0"/>
      <w:marRight w:val="0"/>
      <w:marTop w:val="0"/>
      <w:marBottom w:val="0"/>
      <w:divBdr>
        <w:top w:val="none" w:sz="0" w:space="0" w:color="auto"/>
        <w:left w:val="none" w:sz="0" w:space="0" w:color="auto"/>
        <w:bottom w:val="none" w:sz="0" w:space="0" w:color="auto"/>
        <w:right w:val="none" w:sz="0" w:space="0" w:color="auto"/>
      </w:divBdr>
    </w:div>
    <w:div w:id="2062557131">
      <w:bodyDiv w:val="1"/>
      <w:marLeft w:val="0"/>
      <w:marRight w:val="0"/>
      <w:marTop w:val="0"/>
      <w:marBottom w:val="0"/>
      <w:divBdr>
        <w:top w:val="none" w:sz="0" w:space="0" w:color="auto"/>
        <w:left w:val="none" w:sz="0" w:space="0" w:color="auto"/>
        <w:bottom w:val="none" w:sz="0" w:space="0" w:color="auto"/>
        <w:right w:val="none" w:sz="0" w:space="0" w:color="auto"/>
      </w:divBdr>
    </w:div>
    <w:div w:id="2064088002">
      <w:bodyDiv w:val="1"/>
      <w:marLeft w:val="0"/>
      <w:marRight w:val="0"/>
      <w:marTop w:val="0"/>
      <w:marBottom w:val="0"/>
      <w:divBdr>
        <w:top w:val="none" w:sz="0" w:space="0" w:color="auto"/>
        <w:left w:val="none" w:sz="0" w:space="0" w:color="auto"/>
        <w:bottom w:val="none" w:sz="0" w:space="0" w:color="auto"/>
        <w:right w:val="none" w:sz="0" w:space="0" w:color="auto"/>
      </w:divBdr>
    </w:div>
    <w:div w:id="2065635502">
      <w:bodyDiv w:val="1"/>
      <w:marLeft w:val="0"/>
      <w:marRight w:val="0"/>
      <w:marTop w:val="0"/>
      <w:marBottom w:val="0"/>
      <w:divBdr>
        <w:top w:val="none" w:sz="0" w:space="0" w:color="auto"/>
        <w:left w:val="none" w:sz="0" w:space="0" w:color="auto"/>
        <w:bottom w:val="none" w:sz="0" w:space="0" w:color="auto"/>
        <w:right w:val="none" w:sz="0" w:space="0" w:color="auto"/>
      </w:divBdr>
    </w:div>
    <w:div w:id="2093116472">
      <w:bodyDiv w:val="1"/>
      <w:marLeft w:val="0"/>
      <w:marRight w:val="0"/>
      <w:marTop w:val="0"/>
      <w:marBottom w:val="0"/>
      <w:divBdr>
        <w:top w:val="none" w:sz="0" w:space="0" w:color="auto"/>
        <w:left w:val="none" w:sz="0" w:space="0" w:color="auto"/>
        <w:bottom w:val="none" w:sz="0" w:space="0" w:color="auto"/>
        <w:right w:val="none" w:sz="0" w:space="0" w:color="auto"/>
      </w:divBdr>
    </w:div>
    <w:div w:id="2126607693">
      <w:bodyDiv w:val="1"/>
      <w:marLeft w:val="0"/>
      <w:marRight w:val="0"/>
      <w:marTop w:val="0"/>
      <w:marBottom w:val="0"/>
      <w:divBdr>
        <w:top w:val="none" w:sz="0" w:space="0" w:color="auto"/>
        <w:left w:val="none" w:sz="0" w:space="0" w:color="auto"/>
        <w:bottom w:val="none" w:sz="0" w:space="0" w:color="auto"/>
        <w:right w:val="none" w:sz="0" w:space="0" w:color="auto"/>
      </w:divBdr>
    </w:div>
    <w:div w:id="2141680312">
      <w:bodyDiv w:val="1"/>
      <w:marLeft w:val="0"/>
      <w:marRight w:val="0"/>
      <w:marTop w:val="0"/>
      <w:marBottom w:val="0"/>
      <w:divBdr>
        <w:top w:val="none" w:sz="0" w:space="0" w:color="auto"/>
        <w:left w:val="none" w:sz="0" w:space="0" w:color="auto"/>
        <w:bottom w:val="none" w:sz="0" w:space="0" w:color="auto"/>
        <w:right w:val="none" w:sz="0" w:space="0" w:color="auto"/>
      </w:divBdr>
    </w:div>
    <w:div w:id="2143686960">
      <w:bodyDiv w:val="1"/>
      <w:marLeft w:val="0"/>
      <w:marRight w:val="0"/>
      <w:marTop w:val="0"/>
      <w:marBottom w:val="0"/>
      <w:divBdr>
        <w:top w:val="none" w:sz="0" w:space="0" w:color="auto"/>
        <w:left w:val="none" w:sz="0" w:space="0" w:color="auto"/>
        <w:bottom w:val="none" w:sz="0" w:space="0" w:color="auto"/>
        <w:right w:val="none" w:sz="0" w:space="0" w:color="auto"/>
      </w:divBdr>
    </w:div>
    <w:div w:id="214665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astercapital.com/content/Dual-Class-Shares--A-Closer-Look-at-B-Shares-in-Dual-Class-Structure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wallstreetmojo.com/agency-theo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allstreetmojo.com/staggered-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Beb04</b:Tag>
    <b:SourceType>Book</b:SourceType>
    <b:Guid>{E8857DBF-BF17-46E1-A974-A9DB5796C1FA}</b:Guid>
    <b:Author>
      <b:Author>
        <b:NameList>
          <b:Person>
            <b:Last>Bebchuk</b:Last>
            <b:First>L.A.</b:First>
            <b:Middle>&amp; Fried, J.M</b:Middle>
          </b:Person>
        </b:NameList>
      </b:Author>
    </b:Author>
    <b:Title>Pay Without Performance: The Unfulfilled Promise of Executive Compensation.</b:Title>
    <b:Year> 2004</b:Year>
    <b:Publisher> Harvard University Press</b:Publisher>
    <b:RefOrder>5</b:RefOrder>
  </b:Source>
  <b:Source>
    <b:Tag>Shl97</b:Tag>
    <b:SourceType>JournalArticle</b:SourceType>
    <b:Guid>{7269D1E7-D179-4567-A47E-CB12EEA9C2D7}</b:Guid>
    <b:Title>A survey of corporate governance.</b:Title>
    <b:Year>1997</b:Year>
    <b:Author>
      <b:Author>
        <b:NameList>
          <b:Person>
            <b:Last>Shleifer</b:Last>
            <b:First>A.</b:First>
            <b:Middle>and Vishny, R.W.,</b:Middle>
          </b:Person>
        </b:NameList>
      </b:Author>
    </b:Author>
    <b:JournalName>The Journal of Finance</b:JournalName>
    <b:Pages> 737–783</b:Pages>
    <b:Volume>2</b:Volume>
    <b:Issue>52</b:Issue>
    <b:RefOrder>4</b:RefOrder>
  </b:Source>
  <b:Source>
    <b:Tag>LSE23</b:Tag>
    <b:SourceType>InternetSite</b:SourceType>
    <b:Guid>{98FB20CD-0F89-4337-B4AB-E100A867C240}</b:Guid>
    <b:Title>AIM Rules for Companies. London Stock Exchange</b:Title>
    <b:Year>2023</b:Year>
    <b:Author>
      <b:Author>
        <b:NameList>
          <b:Person>
            <b:Last>LSE</b:Last>
          </b:Person>
        </b:NameList>
      </b:Author>
    </b:Author>
    <b:YearAccessed>2025</b:YearAccessed>
    <b:MonthAccessed>June</b:MonthAccessed>
    <b:DayAccessed>10</b:DayAccessed>
    <b:URL>https://www.londonstockexchange.com/aim</b:URL>
    <b:RefOrder>6</b:RefOrder>
  </b:Source>
  <b:Source>
    <b:Tag>OEC22</b:Tag>
    <b:SourceType>JournalArticle</b:SourceType>
    <b:Guid>{09A3A411-56D5-43E4-AB91-425128583F14}</b:Guid>
    <b:Title>Corporate Governance in China: The Role of the State. </b:Title>
    <b:Year>2022</b:Year>
    <b:JournalName> OECD Publishing</b:JournalName>
    <b:Author>
      <b:Author>
        <b:NameList>
          <b:Person>
            <b:Last>OECD</b:Last>
          </b:Person>
        </b:NameList>
      </b:Author>
    </b:Author>
    <b:RefOrder>11</b:RefOrder>
  </b:Source>
  <b:Source>
    <b:Tag>Jen76</b:Tag>
    <b:SourceType>JournalArticle</b:SourceType>
    <b:Guid>{E122E9B8-B389-42E0-B50A-9070AB327DE0}</b:Guid>
    <b:Author>
      <b:Author>
        <b:NameList>
          <b:Person>
            <b:Last>Jensen</b:Last>
            <b:First>M.C.</b:First>
            <b:Middle>and Meckling, W.H.,</b:Middle>
          </b:Person>
        </b:NameList>
      </b:Author>
    </b:Author>
    <b:Title>Theory of the firm: Managerial behavior, agency costs and ownership structure. </b:Title>
    <b:JournalName> Journal of Financial Economics</b:JournalName>
    <b:Year>1976</b:Year>
    <b:Pages>305–360</b:Pages>
    <b:Volume>4</b:Volume>
    <b:Issue>3</b:Issue>
    <b:RefOrder>3</b:RefOrder>
  </b:Source>
  <b:Source>
    <b:Tag>Tri19</b:Tag>
    <b:SourceType>JournalArticle</b:SourceType>
    <b:Guid>{06E86249-BE26-4261-BE3C-2DCE280C5265}</b:Guid>
    <b:Author>
      <b:Author>
        <b:NameList>
          <b:Person>
            <b:Last>Tricker</b:Last>
            <b:First>B.,</b:First>
          </b:Person>
        </b:NameList>
      </b:Author>
    </b:Author>
    <b:Title> Corporate Governance: Principles, Policies, and Practices.</b:Title>
    <b:JournalName>4th ed. Oxford: Oxford University Press</b:JournalName>
    <b:Year>2019</b:Year>
    <b:RefOrder>2</b:RefOrder>
  </b:Source>
  <b:Source>
    <b:Tag>Dja23</b:Tag>
    <b:SourceType>InternetSite</b:SourceType>
    <b:Guid>{22C84520-C0D1-4425-AEFA-902F89F5234F}</b:Guid>
    <b:Author>
      <b:Author>
        <b:NameList>
          <b:Person>
            <b:Last>Djamane</b:Last>
            <b:First>Dalila</b:First>
          </b:Person>
        </b:NameList>
      </b:Author>
    </b:Author>
    <b:Title>The Key Elements of a Shareholders Agreement: A Comprehensive Guide</b:Title>
    <b:Year>2023</b:Year>
    <b:YearAccessed>2023</b:YearAccessed>
    <b:MonthAccessed>June</b:MonthAccessed>
    <b:DayAccessed>18</b:DayAccessed>
    <b:URL>https://www.linkedin.com/pulse/key-elements-shareholders-agreement-comprehensive-guide-djamane-1f/</b:URL>
    <b:RefOrder>7</b:RefOrder>
  </b:Source>
  <b:Source>
    <b:Tag>Wal23</b:Tag>
    <b:SourceType>InternetSite</b:SourceType>
    <b:Guid>{9478B1F5-5609-4E5B-9049-ADA0D0AD680E}</b:Guid>
    <b:Title> Staggered Board</b:Title>
    <b:Year>2023</b:Year>
    <b:YearAccessed>2023</b:YearAccessed>
    <b:MonthAccessed>April</b:MonthAccessed>
    <b:DayAccessed>12</b:DayAccessed>
    <b:URL>https://www.wallstreetmojo.com/wallstreetmojo-team/wallstreetmojo-editorial-team/</b:URL>
    <b:Author>
      <b:Author>
        <b:NameList>
          <b:Person>
            <b:Last>WallStreetMojo</b:Last>
          </b:Person>
        </b:NameList>
      </b:Author>
    </b:Author>
    <b:RefOrder>8</b:RefOrder>
  </b:Source>
  <b:Source>
    <b:Tag>Con14</b:Tag>
    <b:SourceType>JournalArticle</b:SourceType>
    <b:Guid>{7E4A509D-E240-4AEA-9CE4-39B77E9D88BE}</b:Guid>
    <b:Title>Executive compensation and board governance in US firms.</b:Title>
    <b:Year>2014</b:Year>
    <b:Author>
      <b:Author>
        <b:NameList>
          <b:Person>
            <b:Last>Conyon</b:Last>
            <b:First>M.J.,</b:First>
          </b:Person>
        </b:NameList>
      </b:Author>
    </b:Author>
    <b:JournalName>The Economic Journal</b:JournalName>
    <b:Pages>F60–F89</b:Pages>
    <b:Volume>24</b:Volume>
    <b:Issue>574</b:Issue>
    <b:RefOrder>9</b:RefOrder>
  </b:Source>
  <b:Source>
    <b:Tag>Sol20</b:Tag>
    <b:SourceType>ArticleInAPeriodical</b:SourceType>
    <b:Guid>{84B100F9-3D91-44CB-9D2B-2493E6358A0E}</b:Guid>
    <b:Title>Corporate Governance and Accountability. 5th ed. Chichester: Wiley.</b:Title>
    <b:Year>2020</b:Year>
    <b:Author>
      <b:Author>
        <b:NameList>
          <b:Person>
            <b:Last>Solomon</b:Last>
            <b:First>J.,</b:First>
          </b:Person>
        </b:NameList>
      </b:Author>
    </b:Author>
    <b:RefOrder>10</b:RefOrder>
  </b:Source>
  <b:Source>
    <b:Tag>Car26</b:Tag>
    <b:SourceType>JournalArticle</b:SourceType>
    <b:Guid>{48194A71-6577-481B-8959-5D6F4E5B2D40}</b:Guid>
    <b:Title>Shareholder vs. Stakeholder: What’s the Difference?</b:Title>
    <b:Year>2025</b:Year>
    <b:Author>
      <b:Author>
        <b:NameList>
          <b:Person>
            <b:Last>Banton</b:Last>
            <b:First>Caroline</b:First>
          </b:Person>
        </b:NameList>
      </b:Author>
    </b:Author>
    <b:JournalName>https://www.investopedia.com/ask/answers/08/difference-between-a-shareholder-and-a-stakeholder.asp</b:JournalName>
    <b:RefOrder>1</b:RefOrder>
  </b:Source>
</b:Sources>
</file>

<file path=customXml/itemProps1.xml><?xml version="1.0" encoding="utf-8"?>
<ds:datastoreItem xmlns:ds="http://schemas.openxmlformats.org/officeDocument/2006/customXml" ds:itemID="{0EB8628A-F92A-4783-A4C9-1C52899E2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11</Pages>
  <Words>2432</Words>
  <Characters>13866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14</cp:revision>
  <dcterms:created xsi:type="dcterms:W3CDTF">2025-06-16T10:28:00Z</dcterms:created>
  <dcterms:modified xsi:type="dcterms:W3CDTF">2025-06-20T15:02:00Z</dcterms:modified>
</cp:coreProperties>
</file>