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6766F"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p>
    <w:p w14:paraId="0A9A3228"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Student Name: Andrei-Cristian Chicos</w:t>
      </w:r>
    </w:p>
    <w:p w14:paraId="5882D3FD"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Student ID No: 1814116</w:t>
      </w:r>
    </w:p>
    <w:p w14:paraId="2E0B783D"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Programme: BA Business Management</w:t>
      </w:r>
    </w:p>
    <w:p w14:paraId="09108226"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Module: Management Accounting</w:t>
      </w:r>
    </w:p>
    <w:p w14:paraId="595D91F1"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Module code: LCBB5002 </w:t>
      </w:r>
    </w:p>
    <w:p w14:paraId="75B4B5D8"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Contribution to Overall Module Assessment (%): 30%</w:t>
      </w:r>
    </w:p>
    <w:p w14:paraId="30B123DE"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Lecturer: Winifred </w:t>
      </w:r>
      <w:proofErr w:type="spellStart"/>
      <w:r>
        <w:rPr>
          <w:rFonts w:ascii="Times New Roman" w:eastAsia="Times New Roman" w:hAnsi="Times New Roman" w:cs="Times New Roman"/>
          <w:b/>
          <w:color w:val="000000" w:themeColor="text1"/>
          <w:sz w:val="24"/>
          <w:szCs w:val="24"/>
          <w:lang w:val="en-GB"/>
        </w:rPr>
        <w:t>Soribe</w:t>
      </w:r>
      <w:proofErr w:type="spellEnd"/>
    </w:p>
    <w:p w14:paraId="16B9D3FE"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Internal Verifier: </w:t>
      </w:r>
      <w:proofErr w:type="spellStart"/>
      <w:r>
        <w:rPr>
          <w:rFonts w:ascii="Times New Roman" w:eastAsia="Times New Roman" w:hAnsi="Times New Roman" w:cs="Times New Roman"/>
          <w:b/>
          <w:color w:val="000000" w:themeColor="text1"/>
          <w:sz w:val="24"/>
          <w:szCs w:val="24"/>
          <w:lang w:val="en-GB"/>
        </w:rPr>
        <w:t>Widin</w:t>
      </w:r>
      <w:proofErr w:type="spellEnd"/>
      <w:r>
        <w:rPr>
          <w:rFonts w:ascii="Times New Roman" w:eastAsia="Times New Roman" w:hAnsi="Times New Roman" w:cs="Times New Roman"/>
          <w:b/>
          <w:color w:val="000000" w:themeColor="text1"/>
          <w:sz w:val="24"/>
          <w:szCs w:val="24"/>
          <w:lang w:val="en-GB"/>
        </w:rPr>
        <w:t xml:space="preserve"> </w:t>
      </w:r>
      <w:proofErr w:type="spellStart"/>
      <w:r>
        <w:rPr>
          <w:rFonts w:ascii="Times New Roman" w:eastAsia="Times New Roman" w:hAnsi="Times New Roman" w:cs="Times New Roman"/>
          <w:b/>
          <w:color w:val="000000" w:themeColor="text1"/>
          <w:sz w:val="24"/>
          <w:szCs w:val="24"/>
          <w:lang w:val="en-GB"/>
        </w:rPr>
        <w:t>Sha'ven</w:t>
      </w:r>
      <w:proofErr w:type="spellEnd"/>
    </w:p>
    <w:p w14:paraId="720670AA"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Assignment Title: Assignment 2 - Report</w:t>
      </w:r>
    </w:p>
    <w:p w14:paraId="7C1D2F34"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Word Limit: 2500</w:t>
      </w:r>
    </w:p>
    <w:p w14:paraId="06A8CB11" w14:textId="77777777" w:rsidR="00281FB0" w:rsidRDefault="00281FB0" w:rsidP="00281FB0">
      <w:pPr>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Word Count without references and appendix: 2500.</w:t>
      </w:r>
    </w:p>
    <w:p w14:paraId="1482F151" w14:textId="77777777" w:rsidR="00281FB0" w:rsidRDefault="00281FB0" w:rsidP="00281FB0">
      <w:pPr>
        <w:spacing w:line="360" w:lineRule="auto"/>
        <w:jc w:val="both"/>
        <w:rPr>
          <w:rFonts w:ascii="Times New Roman" w:eastAsia="Times New Roman" w:hAnsi="Times New Roman" w:cs="Times New Roman"/>
          <w:b/>
          <w:color w:val="000000" w:themeColor="text1"/>
          <w:sz w:val="32"/>
          <w:szCs w:val="32"/>
          <w:lang w:val="en-GB"/>
        </w:rPr>
      </w:pPr>
    </w:p>
    <w:p w14:paraId="7E70755B" w14:textId="77777777" w:rsidR="00281FB0" w:rsidRDefault="00281FB0" w:rsidP="00281FB0">
      <w:pPr>
        <w:spacing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w:t>
      </w:r>
    </w:p>
    <w:p w14:paraId="3B532875" w14:textId="77777777" w:rsidR="00281FB0" w:rsidRDefault="00281FB0" w:rsidP="00281FB0">
      <w:pPr>
        <w:spacing w:line="360" w:lineRule="auto"/>
        <w:jc w:val="both"/>
        <w:rPr>
          <w:rFonts w:ascii="Times New Roman" w:eastAsia="Times New Roman" w:hAnsi="Times New Roman" w:cs="Times New Roman"/>
          <w:b/>
          <w:color w:val="000000" w:themeColor="text1"/>
          <w:sz w:val="32"/>
          <w:szCs w:val="32"/>
          <w:lang w:val="en-GB"/>
        </w:rPr>
      </w:pPr>
    </w:p>
    <w:p w14:paraId="0043E8D9" w14:textId="77777777" w:rsidR="00281FB0" w:rsidRDefault="00281FB0" w:rsidP="00281FB0">
      <w:pPr>
        <w:spacing w:line="360" w:lineRule="auto"/>
        <w:jc w:val="both"/>
        <w:rPr>
          <w:rFonts w:ascii="Times New Roman" w:eastAsia="Times New Roman" w:hAnsi="Times New Roman" w:cs="Times New Roman"/>
          <w:b/>
          <w:color w:val="000000" w:themeColor="text1"/>
          <w:sz w:val="32"/>
          <w:szCs w:val="32"/>
          <w:lang w:val="en-GB"/>
        </w:rPr>
      </w:pPr>
    </w:p>
    <w:p w14:paraId="4848863A" w14:textId="77777777" w:rsidR="00281FB0" w:rsidRPr="002F3FAA" w:rsidRDefault="00281FB0" w:rsidP="00281FB0">
      <w:pPr>
        <w:spacing w:line="360" w:lineRule="auto"/>
        <w:jc w:val="both"/>
        <w:rPr>
          <w:rFonts w:ascii="Times New Roman" w:hAnsi="Times New Roman" w:cs="Times New Roman"/>
          <w:color w:val="000000" w:themeColor="text1"/>
          <w:lang w:val="en-GB"/>
        </w:rPr>
      </w:pPr>
      <w:r w:rsidRPr="002F3FAA">
        <w:rPr>
          <w:rFonts w:ascii="Times New Roman" w:hAnsi="Times New Roman" w:cs="Times New Roman"/>
          <w:color w:val="000000" w:themeColor="text1"/>
          <w:lang w:val="en-GB"/>
        </w:rPr>
        <w:br w:type="page"/>
      </w:r>
    </w:p>
    <w:sdt>
      <w:sdtPr>
        <w:rPr>
          <w:rFonts w:ascii="Times New Roman" w:eastAsia="Arial" w:hAnsi="Times New Roman" w:cs="Times New Roman"/>
          <w:color w:val="auto"/>
          <w:sz w:val="22"/>
          <w:szCs w:val="22"/>
          <w:lang w:val="en" w:eastAsia="en-IN"/>
        </w:rPr>
        <w:id w:val="318307506"/>
        <w:docPartObj>
          <w:docPartGallery w:val="Table of Contents"/>
          <w:docPartUnique/>
        </w:docPartObj>
      </w:sdtPr>
      <w:sdtEndPr>
        <w:rPr>
          <w:rFonts w:ascii="Arial" w:hAnsi="Arial" w:cs="Arial"/>
          <w:lang w:val="en-GB"/>
        </w:rPr>
      </w:sdtEndPr>
      <w:sdtContent>
        <w:p w14:paraId="21523E28" w14:textId="3ADA0D69" w:rsidR="00281FB0" w:rsidRPr="002F3FAA" w:rsidRDefault="00281FB0" w:rsidP="00F51891">
          <w:pPr>
            <w:pStyle w:val="TOCHeading"/>
            <w:rPr>
              <w:rFonts w:ascii="Times New Roman" w:hAnsi="Times New Roman" w:cs="Times New Roman"/>
              <w:b/>
              <w:bCs/>
              <w:color w:val="auto"/>
              <w:sz w:val="28"/>
              <w:szCs w:val="28"/>
            </w:rPr>
          </w:pPr>
          <w:r w:rsidRPr="002F3FAA">
            <w:rPr>
              <w:rFonts w:ascii="Times New Roman" w:hAnsi="Times New Roman" w:cs="Times New Roman"/>
              <w:b/>
              <w:bCs/>
              <w:color w:val="auto"/>
              <w:sz w:val="28"/>
              <w:szCs w:val="28"/>
            </w:rPr>
            <w:t>Table of Contents</w:t>
          </w:r>
        </w:p>
        <w:p w14:paraId="5A4159B2" w14:textId="77777777" w:rsidR="00A535C4" w:rsidRPr="002F3FAA" w:rsidRDefault="00A535C4" w:rsidP="00A535C4">
          <w:pPr>
            <w:rPr>
              <w:rFonts w:ascii="Times New Roman" w:hAnsi="Times New Roman" w:cs="Times New Roman"/>
              <w:lang w:val="en-US" w:eastAsia="en-US"/>
            </w:rPr>
          </w:pPr>
        </w:p>
        <w:p w14:paraId="06F4347E" w14:textId="15762CD8" w:rsidR="00A0397F" w:rsidRPr="002F3FAA" w:rsidRDefault="00281FB0">
          <w:pPr>
            <w:pStyle w:val="TOC1"/>
            <w:tabs>
              <w:tab w:val="right" w:leader="dot" w:pos="9016"/>
            </w:tabs>
            <w:rPr>
              <w:rFonts w:ascii="Times New Roman" w:eastAsiaTheme="minorEastAsia" w:hAnsi="Times New Roman" w:cs="Times New Roman"/>
              <w:noProof/>
              <w:sz w:val="24"/>
              <w:szCs w:val="24"/>
              <w:lang w:val="en-GB" w:eastAsia="en-GB"/>
            </w:rPr>
          </w:pPr>
          <w:r w:rsidRPr="002F3FAA">
            <w:rPr>
              <w:rFonts w:ascii="Times New Roman" w:hAnsi="Times New Roman" w:cs="Times New Roman"/>
              <w:color w:val="000000" w:themeColor="text1"/>
              <w:sz w:val="24"/>
              <w:szCs w:val="24"/>
              <w:lang w:val="en-GB"/>
            </w:rPr>
            <w:fldChar w:fldCharType="begin"/>
          </w:r>
          <w:r w:rsidRPr="002F3FAA">
            <w:rPr>
              <w:rFonts w:ascii="Times New Roman" w:hAnsi="Times New Roman" w:cs="Times New Roman"/>
              <w:color w:val="000000" w:themeColor="text1"/>
              <w:sz w:val="24"/>
              <w:szCs w:val="24"/>
              <w:lang w:val="en-GB"/>
            </w:rPr>
            <w:instrText xml:space="preserve"> TOC \o "1-3" \h \z \u </w:instrText>
          </w:r>
          <w:r w:rsidRPr="002F3FAA">
            <w:rPr>
              <w:rFonts w:ascii="Times New Roman" w:hAnsi="Times New Roman" w:cs="Times New Roman"/>
              <w:color w:val="000000" w:themeColor="text1"/>
              <w:sz w:val="24"/>
              <w:szCs w:val="24"/>
              <w:lang w:val="en-GB"/>
            </w:rPr>
            <w:fldChar w:fldCharType="separate"/>
          </w:r>
          <w:hyperlink w:anchor="_Toc70331422" w:history="1">
            <w:r w:rsidR="00A0397F" w:rsidRPr="002F3FAA">
              <w:rPr>
                <w:rStyle w:val="Hyperlink"/>
                <w:rFonts w:ascii="Times New Roman" w:hAnsi="Times New Roman" w:cs="Times New Roman"/>
                <w:noProof/>
                <w:sz w:val="24"/>
                <w:szCs w:val="24"/>
              </w:rPr>
              <w:t>Part A</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_Toc70331422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4</w:t>
            </w:r>
            <w:r w:rsidR="00A0397F" w:rsidRPr="002F3FAA">
              <w:rPr>
                <w:rFonts w:ascii="Times New Roman" w:hAnsi="Times New Roman" w:cs="Times New Roman"/>
                <w:noProof/>
                <w:webHidden/>
                <w:sz w:val="24"/>
                <w:szCs w:val="24"/>
              </w:rPr>
              <w:fldChar w:fldCharType="end"/>
            </w:r>
          </w:hyperlink>
        </w:p>
        <w:p w14:paraId="618E6BC3" w14:textId="08129889" w:rsidR="00A0397F" w:rsidRPr="002F3FAA" w:rsidRDefault="00F918CA">
          <w:pPr>
            <w:pStyle w:val="TOC1"/>
            <w:tabs>
              <w:tab w:val="right" w:leader="dot" w:pos="9016"/>
            </w:tabs>
            <w:rPr>
              <w:rFonts w:ascii="Times New Roman" w:eastAsiaTheme="minorEastAsia" w:hAnsi="Times New Roman" w:cs="Times New Roman"/>
              <w:noProof/>
              <w:sz w:val="24"/>
              <w:szCs w:val="24"/>
              <w:lang w:val="en-GB" w:eastAsia="en-GB"/>
            </w:rPr>
          </w:pPr>
          <w:hyperlink w:anchor="_Toc70331423" w:history="1">
            <w:r w:rsidR="00A0397F" w:rsidRPr="002F3FAA">
              <w:rPr>
                <w:rStyle w:val="Hyperlink"/>
                <w:rFonts w:ascii="Times New Roman" w:hAnsi="Times New Roman" w:cs="Times New Roman"/>
                <w:noProof/>
                <w:sz w:val="24"/>
                <w:szCs w:val="24"/>
              </w:rPr>
              <w:t>Introduction</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_Toc70331423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4</w:t>
            </w:r>
            <w:r w:rsidR="00A0397F" w:rsidRPr="002F3FAA">
              <w:rPr>
                <w:rFonts w:ascii="Times New Roman" w:hAnsi="Times New Roman" w:cs="Times New Roman"/>
                <w:noProof/>
                <w:webHidden/>
                <w:sz w:val="24"/>
                <w:szCs w:val="24"/>
              </w:rPr>
              <w:fldChar w:fldCharType="end"/>
            </w:r>
          </w:hyperlink>
        </w:p>
        <w:p w14:paraId="2FC8F534" w14:textId="3965D802" w:rsidR="00A0397F" w:rsidRPr="002F3FAA" w:rsidRDefault="00F918CA">
          <w:pPr>
            <w:pStyle w:val="TOC2"/>
            <w:tabs>
              <w:tab w:val="right" w:leader="dot" w:pos="9016"/>
            </w:tabs>
            <w:rPr>
              <w:rFonts w:ascii="Times New Roman" w:eastAsiaTheme="minorEastAsia" w:hAnsi="Times New Roman" w:cs="Times New Roman"/>
              <w:noProof/>
              <w:sz w:val="24"/>
              <w:szCs w:val="24"/>
              <w:lang w:val="en-GB" w:eastAsia="en-GB"/>
            </w:rPr>
          </w:pPr>
          <w:hyperlink w:anchor="_Toc70331424" w:history="1">
            <w:r w:rsidR="00A0397F" w:rsidRPr="002F3FAA">
              <w:rPr>
                <w:rStyle w:val="Hyperlink"/>
                <w:rFonts w:ascii="Times New Roman" w:hAnsi="Times New Roman" w:cs="Times New Roman"/>
                <w:noProof/>
                <w:sz w:val="24"/>
                <w:szCs w:val="24"/>
                <w:lang w:val="en-GB"/>
              </w:rPr>
              <w:t>1) Preparation of monthly control report</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_Toc70331424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4</w:t>
            </w:r>
            <w:r w:rsidR="00A0397F" w:rsidRPr="002F3FAA">
              <w:rPr>
                <w:rFonts w:ascii="Times New Roman" w:hAnsi="Times New Roman" w:cs="Times New Roman"/>
                <w:noProof/>
                <w:webHidden/>
                <w:sz w:val="24"/>
                <w:szCs w:val="24"/>
              </w:rPr>
              <w:fldChar w:fldCharType="end"/>
            </w:r>
          </w:hyperlink>
        </w:p>
        <w:p w14:paraId="4B738BCE" w14:textId="29D63F07" w:rsidR="00A0397F" w:rsidRPr="002F3FAA" w:rsidRDefault="00F918CA">
          <w:pPr>
            <w:pStyle w:val="TOC2"/>
            <w:tabs>
              <w:tab w:val="right" w:leader="dot" w:pos="9016"/>
            </w:tabs>
            <w:rPr>
              <w:rFonts w:ascii="Times New Roman" w:eastAsiaTheme="minorEastAsia" w:hAnsi="Times New Roman" w:cs="Times New Roman"/>
              <w:noProof/>
              <w:sz w:val="24"/>
              <w:szCs w:val="24"/>
              <w:lang w:val="en-GB" w:eastAsia="en-GB"/>
            </w:rPr>
          </w:pPr>
          <w:hyperlink w:anchor="_Toc70331425" w:history="1">
            <w:r w:rsidR="00A0397F" w:rsidRPr="002F3FAA">
              <w:rPr>
                <w:rStyle w:val="Hyperlink"/>
                <w:rFonts w:ascii="Times New Roman" w:hAnsi="Times New Roman" w:cs="Times New Roman"/>
                <w:noProof/>
                <w:sz w:val="24"/>
                <w:szCs w:val="24"/>
                <w:lang w:val="en-GB"/>
              </w:rPr>
              <w:t>2) Report of Amana’s performance</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_Toc70331425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5</w:t>
            </w:r>
            <w:r w:rsidR="00A0397F" w:rsidRPr="002F3FAA">
              <w:rPr>
                <w:rFonts w:ascii="Times New Roman" w:hAnsi="Times New Roman" w:cs="Times New Roman"/>
                <w:noProof/>
                <w:webHidden/>
                <w:sz w:val="24"/>
                <w:szCs w:val="24"/>
              </w:rPr>
              <w:fldChar w:fldCharType="end"/>
            </w:r>
          </w:hyperlink>
        </w:p>
        <w:p w14:paraId="2AC7355B" w14:textId="5FCD3251" w:rsidR="00A0397F" w:rsidRPr="002F3FAA" w:rsidRDefault="00F918CA">
          <w:pPr>
            <w:pStyle w:val="TOC2"/>
            <w:tabs>
              <w:tab w:val="right" w:leader="dot" w:pos="9016"/>
            </w:tabs>
            <w:rPr>
              <w:rFonts w:ascii="Times New Roman" w:eastAsiaTheme="minorEastAsia" w:hAnsi="Times New Roman" w:cs="Times New Roman"/>
              <w:noProof/>
              <w:sz w:val="24"/>
              <w:szCs w:val="24"/>
              <w:lang w:val="en-GB" w:eastAsia="en-GB"/>
            </w:rPr>
          </w:pPr>
          <w:hyperlink w:anchor="_Toc70331426" w:history="1">
            <w:r w:rsidR="00A0397F" w:rsidRPr="002F3FAA">
              <w:rPr>
                <w:rStyle w:val="Hyperlink"/>
                <w:rFonts w:ascii="Times New Roman" w:hAnsi="Times New Roman" w:cs="Times New Roman"/>
                <w:noProof/>
                <w:sz w:val="24"/>
                <w:szCs w:val="24"/>
                <w:lang w:val="en-GB"/>
              </w:rPr>
              <w:t>3) Recommendation</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_Toc70331426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6</w:t>
            </w:r>
            <w:r w:rsidR="00A0397F" w:rsidRPr="002F3FAA">
              <w:rPr>
                <w:rFonts w:ascii="Times New Roman" w:hAnsi="Times New Roman" w:cs="Times New Roman"/>
                <w:noProof/>
                <w:webHidden/>
                <w:sz w:val="24"/>
                <w:szCs w:val="24"/>
              </w:rPr>
              <w:fldChar w:fldCharType="end"/>
            </w:r>
          </w:hyperlink>
        </w:p>
        <w:p w14:paraId="37569D88" w14:textId="48B51003" w:rsidR="00A0397F" w:rsidRPr="002F3FAA" w:rsidRDefault="00F918CA">
          <w:pPr>
            <w:pStyle w:val="TOC1"/>
            <w:tabs>
              <w:tab w:val="right" w:leader="dot" w:pos="9016"/>
            </w:tabs>
            <w:rPr>
              <w:rFonts w:ascii="Times New Roman" w:eastAsiaTheme="minorEastAsia" w:hAnsi="Times New Roman" w:cs="Times New Roman"/>
              <w:noProof/>
              <w:sz w:val="24"/>
              <w:szCs w:val="24"/>
              <w:lang w:val="en-GB" w:eastAsia="en-GB"/>
            </w:rPr>
          </w:pPr>
          <w:hyperlink w:anchor="_Toc70331427" w:history="1">
            <w:r w:rsidR="00A0397F" w:rsidRPr="002F3FAA">
              <w:rPr>
                <w:rStyle w:val="Hyperlink"/>
                <w:rFonts w:ascii="Times New Roman" w:hAnsi="Times New Roman" w:cs="Times New Roman"/>
                <w:noProof/>
                <w:sz w:val="24"/>
                <w:szCs w:val="24"/>
              </w:rPr>
              <w:t>Conclusion</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_Toc70331427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7</w:t>
            </w:r>
            <w:r w:rsidR="00A0397F" w:rsidRPr="002F3FAA">
              <w:rPr>
                <w:rFonts w:ascii="Times New Roman" w:hAnsi="Times New Roman" w:cs="Times New Roman"/>
                <w:noProof/>
                <w:webHidden/>
                <w:sz w:val="24"/>
                <w:szCs w:val="24"/>
              </w:rPr>
              <w:fldChar w:fldCharType="end"/>
            </w:r>
          </w:hyperlink>
        </w:p>
        <w:p w14:paraId="10E62A19" w14:textId="5D7807BC" w:rsidR="00A0397F" w:rsidRPr="002F3FAA" w:rsidRDefault="00F918CA">
          <w:pPr>
            <w:pStyle w:val="TOC1"/>
            <w:tabs>
              <w:tab w:val="right" w:leader="dot" w:pos="9016"/>
            </w:tabs>
            <w:rPr>
              <w:rFonts w:ascii="Times New Roman" w:eastAsiaTheme="minorEastAsia" w:hAnsi="Times New Roman" w:cs="Times New Roman"/>
              <w:noProof/>
              <w:sz w:val="24"/>
              <w:szCs w:val="24"/>
              <w:lang w:val="en-GB" w:eastAsia="en-GB"/>
            </w:rPr>
          </w:pPr>
          <w:hyperlink w:anchor="_Toc70331428" w:history="1">
            <w:r w:rsidR="00A0397F" w:rsidRPr="002F3FAA">
              <w:rPr>
                <w:rStyle w:val="Hyperlink"/>
                <w:rFonts w:ascii="Times New Roman" w:hAnsi="Times New Roman" w:cs="Times New Roman"/>
                <w:noProof/>
                <w:sz w:val="24"/>
                <w:szCs w:val="24"/>
              </w:rPr>
              <w:t>Part B</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_Toc70331428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8</w:t>
            </w:r>
            <w:r w:rsidR="00A0397F" w:rsidRPr="002F3FAA">
              <w:rPr>
                <w:rFonts w:ascii="Times New Roman" w:hAnsi="Times New Roman" w:cs="Times New Roman"/>
                <w:noProof/>
                <w:webHidden/>
                <w:sz w:val="24"/>
                <w:szCs w:val="24"/>
              </w:rPr>
              <w:fldChar w:fldCharType="end"/>
            </w:r>
          </w:hyperlink>
        </w:p>
        <w:p w14:paraId="68E9C3B1" w14:textId="387C1151" w:rsidR="00A0397F" w:rsidRPr="002F3FAA" w:rsidRDefault="00F918CA">
          <w:pPr>
            <w:pStyle w:val="TOC2"/>
            <w:tabs>
              <w:tab w:val="right" w:leader="dot" w:pos="9016"/>
            </w:tabs>
            <w:rPr>
              <w:rFonts w:ascii="Times New Roman" w:eastAsiaTheme="minorEastAsia" w:hAnsi="Times New Roman" w:cs="Times New Roman"/>
              <w:noProof/>
              <w:sz w:val="24"/>
              <w:szCs w:val="24"/>
              <w:lang w:val="en-GB" w:eastAsia="en-GB"/>
            </w:rPr>
          </w:pPr>
          <w:hyperlink w:anchor="_Toc70331429" w:history="1">
            <w:r w:rsidR="00A0397F" w:rsidRPr="002F3FAA">
              <w:rPr>
                <w:rStyle w:val="Hyperlink"/>
                <w:rFonts w:ascii="Times New Roman" w:hAnsi="Times New Roman" w:cs="Times New Roman"/>
                <w:noProof/>
                <w:sz w:val="24"/>
                <w:szCs w:val="24"/>
                <w:lang w:val="en-GB"/>
              </w:rPr>
              <w:t>Introduction</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_Toc70331429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8</w:t>
            </w:r>
            <w:r w:rsidR="00A0397F" w:rsidRPr="002F3FAA">
              <w:rPr>
                <w:rFonts w:ascii="Times New Roman" w:hAnsi="Times New Roman" w:cs="Times New Roman"/>
                <w:noProof/>
                <w:webHidden/>
                <w:sz w:val="24"/>
                <w:szCs w:val="24"/>
              </w:rPr>
              <w:fldChar w:fldCharType="end"/>
            </w:r>
          </w:hyperlink>
        </w:p>
        <w:p w14:paraId="6B05497F" w14:textId="3E84DFFB" w:rsidR="00A0397F" w:rsidRPr="002F3FAA" w:rsidRDefault="00F918CA">
          <w:pPr>
            <w:pStyle w:val="TOC2"/>
            <w:tabs>
              <w:tab w:val="right" w:leader="dot" w:pos="9016"/>
            </w:tabs>
            <w:rPr>
              <w:rFonts w:ascii="Times New Roman" w:eastAsiaTheme="minorEastAsia" w:hAnsi="Times New Roman" w:cs="Times New Roman"/>
              <w:noProof/>
              <w:sz w:val="24"/>
              <w:szCs w:val="24"/>
              <w:lang w:val="en-GB" w:eastAsia="en-GB"/>
            </w:rPr>
          </w:pPr>
          <w:hyperlink w:anchor="_Toc70331430" w:history="1">
            <w:r w:rsidR="00A0397F" w:rsidRPr="002F3FAA">
              <w:rPr>
                <w:rStyle w:val="Hyperlink"/>
                <w:rFonts w:ascii="Times New Roman" w:hAnsi="Times New Roman" w:cs="Times New Roman"/>
                <w:noProof/>
                <w:sz w:val="24"/>
                <w:szCs w:val="24"/>
                <w:lang w:val="en-GB"/>
              </w:rPr>
              <w:t>Analysis of Mr. Amana’s decision</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_Toc70331430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8</w:t>
            </w:r>
            <w:r w:rsidR="00A0397F" w:rsidRPr="002F3FAA">
              <w:rPr>
                <w:rFonts w:ascii="Times New Roman" w:hAnsi="Times New Roman" w:cs="Times New Roman"/>
                <w:noProof/>
                <w:webHidden/>
                <w:sz w:val="24"/>
                <w:szCs w:val="24"/>
              </w:rPr>
              <w:fldChar w:fldCharType="end"/>
            </w:r>
          </w:hyperlink>
        </w:p>
        <w:p w14:paraId="44E17211" w14:textId="3F0D2324" w:rsidR="00A0397F" w:rsidRPr="002F3FAA" w:rsidRDefault="00F918CA">
          <w:pPr>
            <w:pStyle w:val="TOC1"/>
            <w:tabs>
              <w:tab w:val="right" w:leader="dot" w:pos="9016"/>
            </w:tabs>
            <w:rPr>
              <w:rFonts w:ascii="Times New Roman" w:eastAsiaTheme="minorEastAsia" w:hAnsi="Times New Roman" w:cs="Times New Roman"/>
              <w:noProof/>
              <w:sz w:val="24"/>
              <w:szCs w:val="24"/>
              <w:lang w:val="en-GB" w:eastAsia="en-GB"/>
            </w:rPr>
          </w:pPr>
          <w:hyperlink w:anchor="_Toc70331431" w:history="1">
            <w:r w:rsidR="00A0397F" w:rsidRPr="002F3FAA">
              <w:rPr>
                <w:rStyle w:val="Hyperlink"/>
                <w:rFonts w:ascii="Times New Roman" w:hAnsi="Times New Roman" w:cs="Times New Roman"/>
                <w:noProof/>
                <w:sz w:val="24"/>
                <w:szCs w:val="24"/>
              </w:rPr>
              <w:t>Recommendation and conclusion</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_Toc70331431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10</w:t>
            </w:r>
            <w:r w:rsidR="00A0397F" w:rsidRPr="002F3FAA">
              <w:rPr>
                <w:rFonts w:ascii="Times New Roman" w:hAnsi="Times New Roman" w:cs="Times New Roman"/>
                <w:noProof/>
                <w:webHidden/>
                <w:sz w:val="24"/>
                <w:szCs w:val="24"/>
              </w:rPr>
              <w:fldChar w:fldCharType="end"/>
            </w:r>
          </w:hyperlink>
        </w:p>
        <w:p w14:paraId="17E1C36E" w14:textId="546D3436" w:rsidR="00A0397F" w:rsidRPr="002F3FAA" w:rsidRDefault="00F918CA">
          <w:pPr>
            <w:pStyle w:val="TOC1"/>
            <w:tabs>
              <w:tab w:val="right" w:leader="dot" w:pos="9016"/>
            </w:tabs>
            <w:rPr>
              <w:rFonts w:ascii="Times New Roman" w:eastAsiaTheme="minorEastAsia" w:hAnsi="Times New Roman" w:cs="Times New Roman"/>
              <w:noProof/>
              <w:sz w:val="24"/>
              <w:szCs w:val="24"/>
              <w:lang w:val="en-GB" w:eastAsia="en-GB"/>
            </w:rPr>
          </w:pPr>
          <w:hyperlink w:anchor="_Toc70331432" w:history="1">
            <w:r w:rsidR="00A0397F" w:rsidRPr="002F3FAA">
              <w:rPr>
                <w:rStyle w:val="Hyperlink"/>
                <w:rFonts w:ascii="Times New Roman" w:hAnsi="Times New Roman" w:cs="Times New Roman"/>
                <w:noProof/>
                <w:sz w:val="24"/>
                <w:szCs w:val="24"/>
              </w:rPr>
              <w:t>References</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_Toc70331432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11</w:t>
            </w:r>
            <w:r w:rsidR="00A0397F" w:rsidRPr="002F3FAA">
              <w:rPr>
                <w:rFonts w:ascii="Times New Roman" w:hAnsi="Times New Roman" w:cs="Times New Roman"/>
                <w:noProof/>
                <w:webHidden/>
                <w:sz w:val="24"/>
                <w:szCs w:val="24"/>
              </w:rPr>
              <w:fldChar w:fldCharType="end"/>
            </w:r>
          </w:hyperlink>
        </w:p>
        <w:p w14:paraId="4B1310DA" w14:textId="394E78D7" w:rsidR="00A0397F" w:rsidRPr="002F3FAA" w:rsidRDefault="00F918CA">
          <w:pPr>
            <w:pStyle w:val="TOC2"/>
            <w:tabs>
              <w:tab w:val="right" w:leader="dot" w:pos="9016"/>
            </w:tabs>
            <w:rPr>
              <w:rFonts w:ascii="Times New Roman" w:eastAsiaTheme="minorEastAsia" w:hAnsi="Times New Roman" w:cs="Times New Roman"/>
              <w:noProof/>
              <w:sz w:val="24"/>
              <w:szCs w:val="24"/>
              <w:lang w:val="en-GB" w:eastAsia="en-GB"/>
            </w:rPr>
          </w:pPr>
          <w:hyperlink w:anchor="_Toc70331433" w:history="1">
            <w:r w:rsidR="00A0397F" w:rsidRPr="002F3FAA">
              <w:rPr>
                <w:rStyle w:val="Hyperlink"/>
                <w:rFonts w:ascii="Times New Roman" w:hAnsi="Times New Roman" w:cs="Times New Roman"/>
                <w:noProof/>
                <w:sz w:val="24"/>
                <w:szCs w:val="24"/>
                <w:lang w:val="en-GB"/>
              </w:rPr>
              <w:t>Appendix 1: Part A</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_Toc70331433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13</w:t>
            </w:r>
            <w:r w:rsidR="00A0397F" w:rsidRPr="002F3FAA">
              <w:rPr>
                <w:rFonts w:ascii="Times New Roman" w:hAnsi="Times New Roman" w:cs="Times New Roman"/>
                <w:noProof/>
                <w:webHidden/>
                <w:sz w:val="24"/>
                <w:szCs w:val="24"/>
              </w:rPr>
              <w:fldChar w:fldCharType="end"/>
            </w:r>
          </w:hyperlink>
        </w:p>
        <w:p w14:paraId="357A5662" w14:textId="121D122C" w:rsidR="00A0397F" w:rsidRPr="002F3FAA" w:rsidRDefault="00F918CA">
          <w:pPr>
            <w:pStyle w:val="TOC1"/>
            <w:tabs>
              <w:tab w:val="right" w:leader="dot" w:pos="9016"/>
            </w:tabs>
            <w:rPr>
              <w:rFonts w:ascii="Times New Roman" w:eastAsiaTheme="minorEastAsia" w:hAnsi="Times New Roman" w:cs="Times New Roman"/>
              <w:noProof/>
              <w:sz w:val="24"/>
              <w:szCs w:val="24"/>
              <w:lang w:val="en-GB" w:eastAsia="en-GB"/>
            </w:rPr>
          </w:pPr>
          <w:hyperlink w:anchor="_Toc70331434" w:history="1">
            <w:r w:rsidR="00A0397F" w:rsidRPr="002F3FAA">
              <w:rPr>
                <w:rStyle w:val="Hyperlink"/>
                <w:rFonts w:ascii="Times New Roman" w:hAnsi="Times New Roman" w:cs="Times New Roman"/>
                <w:noProof/>
                <w:sz w:val="24"/>
                <w:szCs w:val="24"/>
              </w:rPr>
              <w:t>Appendix 2: Part B</w:t>
            </w:r>
            <w:r w:rsidR="00A0397F" w:rsidRPr="002F3FAA">
              <w:rPr>
                <w:rFonts w:ascii="Times New Roman" w:hAnsi="Times New Roman" w:cs="Times New Roman"/>
                <w:noProof/>
                <w:webHidden/>
                <w:sz w:val="24"/>
                <w:szCs w:val="24"/>
              </w:rPr>
              <w:tab/>
            </w:r>
            <w:r w:rsidR="00A0397F" w:rsidRPr="002F3FAA">
              <w:rPr>
                <w:rFonts w:ascii="Times New Roman" w:hAnsi="Times New Roman" w:cs="Times New Roman"/>
                <w:noProof/>
                <w:webHidden/>
                <w:sz w:val="24"/>
                <w:szCs w:val="24"/>
              </w:rPr>
              <w:fldChar w:fldCharType="begin"/>
            </w:r>
            <w:r w:rsidR="00A0397F" w:rsidRPr="002F3FAA">
              <w:rPr>
                <w:rFonts w:ascii="Times New Roman" w:hAnsi="Times New Roman" w:cs="Times New Roman"/>
                <w:noProof/>
                <w:webHidden/>
                <w:sz w:val="24"/>
                <w:szCs w:val="24"/>
              </w:rPr>
              <w:instrText xml:space="preserve"> PAGEREF _Toc70331434 \h </w:instrText>
            </w:r>
            <w:r w:rsidR="00A0397F" w:rsidRPr="002F3FAA">
              <w:rPr>
                <w:rFonts w:ascii="Times New Roman" w:hAnsi="Times New Roman" w:cs="Times New Roman"/>
                <w:noProof/>
                <w:webHidden/>
                <w:sz w:val="24"/>
                <w:szCs w:val="24"/>
              </w:rPr>
            </w:r>
            <w:r w:rsidR="00A0397F" w:rsidRPr="002F3FAA">
              <w:rPr>
                <w:rFonts w:ascii="Times New Roman" w:hAnsi="Times New Roman" w:cs="Times New Roman"/>
                <w:noProof/>
                <w:webHidden/>
                <w:sz w:val="24"/>
                <w:szCs w:val="24"/>
              </w:rPr>
              <w:fldChar w:fldCharType="separate"/>
            </w:r>
            <w:r w:rsidR="00854150">
              <w:rPr>
                <w:rFonts w:ascii="Times New Roman" w:hAnsi="Times New Roman" w:cs="Times New Roman"/>
                <w:noProof/>
                <w:webHidden/>
                <w:sz w:val="24"/>
                <w:szCs w:val="24"/>
              </w:rPr>
              <w:t>14</w:t>
            </w:r>
            <w:r w:rsidR="00A0397F" w:rsidRPr="002F3FAA">
              <w:rPr>
                <w:rFonts w:ascii="Times New Roman" w:hAnsi="Times New Roman" w:cs="Times New Roman"/>
                <w:noProof/>
                <w:webHidden/>
                <w:sz w:val="24"/>
                <w:szCs w:val="24"/>
              </w:rPr>
              <w:fldChar w:fldCharType="end"/>
            </w:r>
          </w:hyperlink>
        </w:p>
        <w:p w14:paraId="62A37D23" w14:textId="3150C99D" w:rsidR="00281FB0" w:rsidRDefault="00281FB0" w:rsidP="00281FB0">
          <w:pPr>
            <w:spacing w:line="360" w:lineRule="auto"/>
            <w:jc w:val="both"/>
            <w:rPr>
              <w:color w:val="000000" w:themeColor="text1"/>
              <w:lang w:val="en-GB"/>
            </w:rPr>
          </w:pPr>
          <w:r w:rsidRPr="002F3FAA">
            <w:rPr>
              <w:rFonts w:ascii="Times New Roman" w:hAnsi="Times New Roman" w:cs="Times New Roman"/>
              <w:b/>
              <w:bCs/>
              <w:noProof/>
              <w:color w:val="000000" w:themeColor="text1"/>
              <w:sz w:val="24"/>
              <w:szCs w:val="24"/>
              <w:lang w:val="en-GB"/>
            </w:rPr>
            <w:fldChar w:fldCharType="end"/>
          </w:r>
        </w:p>
      </w:sdtContent>
    </w:sdt>
    <w:p w14:paraId="35049EA1" w14:textId="77777777" w:rsidR="00281FB0" w:rsidRDefault="00281FB0" w:rsidP="00281FB0">
      <w:pPr>
        <w:spacing w:line="360" w:lineRule="auto"/>
        <w:jc w:val="both"/>
        <w:rPr>
          <w:rFonts w:ascii="Times New Roman" w:eastAsia="Times New Roman" w:hAnsi="Times New Roman" w:cs="Times New Roman"/>
          <w:b/>
          <w:color w:val="000000" w:themeColor="text1"/>
          <w:sz w:val="32"/>
          <w:szCs w:val="32"/>
          <w:lang w:val="en-GB"/>
        </w:rPr>
      </w:pPr>
      <w:r>
        <w:rPr>
          <w:color w:val="000000" w:themeColor="text1"/>
          <w:lang w:val="en-GB"/>
        </w:rPr>
        <w:br w:type="page"/>
      </w:r>
    </w:p>
    <w:p w14:paraId="0D464415" w14:textId="77777777" w:rsidR="00281FB0" w:rsidRDefault="00281FB0" w:rsidP="00281FB0">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lastRenderedPageBreak/>
        <w:t>Executive Summary</w:t>
      </w:r>
    </w:p>
    <w:p w14:paraId="5BAE98F1" w14:textId="77777777" w:rsidR="00281FB0" w:rsidRDefault="00281FB0" w:rsidP="00281FB0">
      <w:pPr>
        <w:spacing w:line="360" w:lineRule="auto"/>
        <w:jc w:val="both"/>
        <w:rPr>
          <w:rFonts w:ascii="Times New Roman" w:hAnsi="Times New Roman" w:cs="Times New Roman"/>
          <w:color w:val="000000" w:themeColor="text1"/>
          <w:sz w:val="24"/>
          <w:szCs w:val="24"/>
          <w:lang w:val="en-GB"/>
        </w:rPr>
      </w:pPr>
    </w:p>
    <w:p w14:paraId="542E420C" w14:textId="77777777" w:rsidR="00281FB0" w:rsidRDefault="00281FB0" w:rsidP="00281FB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present study sheds light on the financial calculations, which has been performed </w:t>
      </w:r>
      <w:proofErr w:type="gramStart"/>
      <w:r>
        <w:rPr>
          <w:rFonts w:ascii="Times New Roman" w:hAnsi="Times New Roman" w:cs="Times New Roman"/>
          <w:color w:val="000000" w:themeColor="text1"/>
          <w:sz w:val="24"/>
          <w:szCs w:val="24"/>
          <w:lang w:val="en-GB"/>
        </w:rPr>
        <w:t>in reference to</w:t>
      </w:r>
      <w:proofErr w:type="gramEnd"/>
      <w:r>
        <w:rPr>
          <w:rFonts w:ascii="Times New Roman" w:hAnsi="Times New Roman" w:cs="Times New Roman"/>
          <w:color w:val="000000" w:themeColor="text1"/>
          <w:sz w:val="24"/>
          <w:szCs w:val="24"/>
          <w:lang w:val="en-GB"/>
        </w:rPr>
        <w:t xml:space="preserve"> the case study information. However, there were two respective tasks, which has been performed using the data and figures of case study of Amana Ltd.  In the first task a monthly control report has been prepared that showed original budget, flexed </w:t>
      </w:r>
      <w:proofErr w:type="gramStart"/>
      <w:r>
        <w:rPr>
          <w:rFonts w:ascii="Times New Roman" w:hAnsi="Times New Roman" w:cs="Times New Roman"/>
          <w:color w:val="000000" w:themeColor="text1"/>
          <w:sz w:val="24"/>
          <w:szCs w:val="24"/>
          <w:lang w:val="en-GB"/>
        </w:rPr>
        <w:t>budget</w:t>
      </w:r>
      <w:proofErr w:type="gramEnd"/>
      <w:r>
        <w:rPr>
          <w:rFonts w:ascii="Times New Roman" w:hAnsi="Times New Roman" w:cs="Times New Roman"/>
          <w:color w:val="000000" w:themeColor="text1"/>
          <w:sz w:val="24"/>
          <w:szCs w:val="24"/>
          <w:lang w:val="en-GB"/>
        </w:rPr>
        <w:t xml:space="preserve"> and variances. However, the variances include unfavourable results of sales, materials, labour and favourable were all the fixed overheads. Therefore, it is suggested that variable costs need to be reduced </w:t>
      </w:r>
      <w:proofErr w:type="gramStart"/>
      <w:r>
        <w:rPr>
          <w:rFonts w:ascii="Times New Roman" w:hAnsi="Times New Roman" w:cs="Times New Roman"/>
          <w:color w:val="000000" w:themeColor="text1"/>
          <w:sz w:val="24"/>
          <w:szCs w:val="24"/>
          <w:lang w:val="en-GB"/>
        </w:rPr>
        <w:t>in order to</w:t>
      </w:r>
      <w:proofErr w:type="gramEnd"/>
      <w:r>
        <w:rPr>
          <w:rFonts w:ascii="Times New Roman" w:hAnsi="Times New Roman" w:cs="Times New Roman"/>
          <w:color w:val="000000" w:themeColor="text1"/>
          <w:sz w:val="24"/>
          <w:szCs w:val="24"/>
          <w:lang w:val="en-GB"/>
        </w:rPr>
        <w:t xml:space="preserve"> earn higher profits.  </w:t>
      </w:r>
    </w:p>
    <w:p w14:paraId="0DA8A0CD" w14:textId="77777777" w:rsidR="00281FB0" w:rsidRDefault="00281FB0" w:rsidP="00281FB0">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For the task B there has been two options-own online shop and the other option is selling on the amazon. Likewise, the first option is suggested and most preferrable as continuing with this option will help Amana in getting higher profits.  </w:t>
      </w:r>
    </w:p>
    <w:p w14:paraId="192D952B" w14:textId="77777777" w:rsidR="00281FB0" w:rsidRDefault="00281FB0" w:rsidP="00281FB0">
      <w:pPr>
        <w:spacing w:line="360" w:lineRule="auto"/>
        <w:rPr>
          <w:rFonts w:ascii="Times New Roman" w:hAnsi="Times New Roman" w:cs="Times New Roman"/>
          <w:b/>
          <w:bCs/>
          <w:color w:val="000000" w:themeColor="text1"/>
          <w:sz w:val="28"/>
          <w:szCs w:val="28"/>
          <w:lang w:val="en-GB"/>
        </w:rPr>
      </w:pPr>
    </w:p>
    <w:p w14:paraId="04C04B0C" w14:textId="77777777" w:rsidR="00281FB0" w:rsidRDefault="00281FB0" w:rsidP="00281FB0">
      <w:pPr>
        <w:spacing w:line="360" w:lineRule="auto"/>
        <w:rPr>
          <w:rFonts w:ascii="Times New Roman" w:hAnsi="Times New Roman" w:cs="Times New Roman"/>
          <w:b/>
          <w:bCs/>
          <w:color w:val="000000" w:themeColor="text1"/>
          <w:sz w:val="28"/>
          <w:szCs w:val="28"/>
          <w:lang w:val="en-GB"/>
        </w:rPr>
      </w:pPr>
    </w:p>
    <w:p w14:paraId="600BB637" w14:textId="77777777" w:rsidR="00281FB0" w:rsidRDefault="00281FB0" w:rsidP="00281FB0">
      <w:pPr>
        <w:spacing w:line="360" w:lineRule="auto"/>
        <w:rPr>
          <w:color w:val="000000" w:themeColor="text1"/>
          <w:lang w:val="en-GB"/>
        </w:rPr>
      </w:pPr>
      <w:r>
        <w:rPr>
          <w:color w:val="000000" w:themeColor="text1"/>
          <w:lang w:val="en-GB"/>
        </w:rPr>
        <w:br w:type="page"/>
      </w:r>
    </w:p>
    <w:p w14:paraId="3C5A5849" w14:textId="77777777" w:rsidR="00281FB0" w:rsidRDefault="00281FB0" w:rsidP="00F51891">
      <w:pPr>
        <w:pStyle w:val="Heading1"/>
      </w:pPr>
      <w:bookmarkStart w:id="0" w:name="_Toc70331422"/>
      <w:r>
        <w:lastRenderedPageBreak/>
        <w:t>Part A</w:t>
      </w:r>
      <w:bookmarkEnd w:id="0"/>
    </w:p>
    <w:p w14:paraId="70F9CF78" w14:textId="77777777" w:rsidR="00281FB0" w:rsidRDefault="00281FB0" w:rsidP="00F51891">
      <w:pPr>
        <w:pStyle w:val="Heading1"/>
      </w:pPr>
      <w:bookmarkStart w:id="1" w:name="_Toc70331423"/>
      <w:r>
        <w:t>Introduction</w:t>
      </w:r>
      <w:bookmarkEnd w:id="1"/>
      <w:r>
        <w:t xml:space="preserve"> </w:t>
      </w:r>
    </w:p>
    <w:p w14:paraId="3A991E76" w14:textId="77777777" w:rsidR="00281FB0" w:rsidRDefault="00281FB0" w:rsidP="00281FB0">
      <w:pPr>
        <w:spacing w:line="360" w:lineRule="auto"/>
        <w:jc w:val="both"/>
        <w:rPr>
          <w:rFonts w:ascii="Times New Roman" w:eastAsia="Times New Roman" w:hAnsi="Times New Roman" w:cs="Times New Roman"/>
          <w:sz w:val="24"/>
          <w:szCs w:val="24"/>
          <w:lang w:val="en-GB"/>
        </w:rPr>
      </w:pPr>
    </w:p>
    <w:p w14:paraId="1F32760D"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report Amana’s original budget, variances and flexed budget will be done. Additionally, the preparation of Amana’s performance for the year 2020 will also be done in this part. Recommendations on the areas of the improvement of the company will also be discussed in this report. </w:t>
      </w:r>
    </w:p>
    <w:p w14:paraId="6DE79AC0" w14:textId="77777777" w:rsidR="00281FB0" w:rsidRDefault="00281FB0" w:rsidP="00281FB0">
      <w:pPr>
        <w:pStyle w:val="Heading2"/>
        <w:rPr>
          <w:rFonts w:eastAsia="Arial"/>
          <w:lang w:val="en-GB"/>
        </w:rPr>
      </w:pPr>
      <w:bookmarkStart w:id="2" w:name="_Toc70331424"/>
      <w:r>
        <w:rPr>
          <w:rFonts w:eastAsia="Arial"/>
          <w:lang w:val="en-GB"/>
        </w:rPr>
        <w:t>1) Preparation of monthly control report</w:t>
      </w:r>
      <w:bookmarkEnd w:id="2"/>
      <w:r>
        <w:rPr>
          <w:rFonts w:eastAsia="Arial"/>
          <w:lang w:val="en-GB"/>
        </w:rPr>
        <w:t xml:space="preserve"> </w:t>
      </w:r>
    </w:p>
    <w:p w14:paraId="6928A345"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the case study given the original units were £100000. The selling price was £25. The total sales were £2500000. The variable cost of the Amana company was also given. The material cost was 2.50 per unit. Thus, the total is £ 250000. The labour cost was four per unit. Original amount will be £ 400000. The per unit overhead cost of the company is 1.50. Therefore, it is £150000. Thus, the contribution for the original budget was £ 1700000. As mentioned by Gutierrez, </w:t>
      </w:r>
      <w:proofErr w:type="spellStart"/>
      <w:r>
        <w:rPr>
          <w:rFonts w:ascii="Times New Roman" w:eastAsia="Times New Roman" w:hAnsi="Times New Roman" w:cs="Times New Roman"/>
          <w:sz w:val="24"/>
          <w:szCs w:val="24"/>
          <w:lang w:val="en-GB"/>
        </w:rPr>
        <w:t>Barón</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Guaita</w:t>
      </w:r>
      <w:proofErr w:type="spellEnd"/>
      <w:r>
        <w:rPr>
          <w:rFonts w:ascii="Times New Roman" w:eastAsia="Times New Roman" w:hAnsi="Times New Roman" w:cs="Times New Roman"/>
          <w:sz w:val="24"/>
          <w:szCs w:val="24"/>
          <w:lang w:val="en-GB"/>
        </w:rPr>
        <w:t xml:space="preserve"> (2020), this report helps the managers to know the performance of the business. The report is very helpful for the managers. The variable cost of the company was subtracted from the total sales of the company. Then the contribution amount came. The fixed cost of the company will be subtracted from the contribution amount to get the profit from the original budget. </w:t>
      </w:r>
    </w:p>
    <w:p w14:paraId="570C8115"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overhead and warehouse rental fixed cost of the company £200000 and £100000. The insurance and the supervisor salary of the company was £ 100000 and 50000. The total amount of the cost for the company according to the original budget was £ 350000. As stated by Student, </w:t>
      </w:r>
      <w:proofErr w:type="spellStart"/>
      <w:r>
        <w:rPr>
          <w:rFonts w:ascii="Times New Roman" w:eastAsia="Times New Roman" w:hAnsi="Times New Roman" w:cs="Times New Roman"/>
          <w:sz w:val="24"/>
          <w:szCs w:val="24"/>
          <w:lang w:val="en-GB"/>
        </w:rPr>
        <w:t>Lamers</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Amelung</w:t>
      </w:r>
      <w:proofErr w:type="spellEnd"/>
      <w:r>
        <w:rPr>
          <w:rFonts w:ascii="Times New Roman" w:eastAsia="Times New Roman" w:hAnsi="Times New Roman" w:cs="Times New Roman"/>
          <w:sz w:val="24"/>
          <w:szCs w:val="24"/>
          <w:lang w:val="en-GB"/>
        </w:rPr>
        <w:t xml:space="preserve"> (2020), fixed are those costs that are affected by the increase or decrease in the performance of the company. The profit of the Amana company according to the original budget was £ 1350000. The profit is calculated by subtracting the contribution amount and the fixed cost amount. All the amount has been taken from the case study provided. The flexed budget of the company according to the case study information was units was £ 80000 (case study). The selling price was £same as the original budget that was £ 25. </w:t>
      </w:r>
    </w:p>
    <w:p w14:paraId="15C0D581" w14:textId="1B804269"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total sale was £ 2000000 as per the flexed budget of the company. The warehouse of the company was </w:t>
      </w:r>
      <w:r w:rsidR="00854150">
        <w:rPr>
          <w:rFonts w:ascii="Times New Roman" w:eastAsia="Times New Roman" w:hAnsi="Times New Roman" w:cs="Times New Roman"/>
          <w:sz w:val="24"/>
          <w:szCs w:val="24"/>
          <w:lang w:val="en-GB"/>
        </w:rPr>
        <w:t>£ 280000,</w:t>
      </w:r>
      <w:r>
        <w:rPr>
          <w:rFonts w:ascii="Times New Roman" w:eastAsia="Times New Roman" w:hAnsi="Times New Roman" w:cs="Times New Roman"/>
          <w:sz w:val="24"/>
          <w:szCs w:val="24"/>
          <w:lang w:val="en-GB"/>
        </w:rPr>
        <w:t xml:space="preserve"> and the labour cost was £ 440000. The overhead variable cost of the company was £ 120000. The contribution amount was £ 1160000. The fixed amount of the company includes warehouse rental £ 170000. The supervisor salary for the company was £ </w:t>
      </w:r>
      <w:r>
        <w:rPr>
          <w:rFonts w:ascii="Times New Roman" w:eastAsia="Times New Roman" w:hAnsi="Times New Roman" w:cs="Times New Roman"/>
          <w:sz w:val="24"/>
          <w:szCs w:val="24"/>
          <w:lang w:val="en-GB"/>
        </w:rPr>
        <w:lastRenderedPageBreak/>
        <w:t>35000. Lastly the insurance of the company was £ 100000. The profit from the flexed budget of the company is coming to £ 855000. As mentioned by Tang</w:t>
      </w:r>
      <w:r>
        <w:rPr>
          <w:rFonts w:ascii="Times New Roman" w:eastAsia="Times New Roman" w:hAnsi="Times New Roman" w:cs="Times New Roman"/>
          <w:i/>
          <w:sz w:val="24"/>
          <w:szCs w:val="24"/>
          <w:lang w:val="en-GB"/>
        </w:rPr>
        <w:t xml:space="preserve"> et al. </w:t>
      </w:r>
      <w:r>
        <w:rPr>
          <w:rFonts w:ascii="Times New Roman" w:eastAsia="Times New Roman" w:hAnsi="Times New Roman" w:cs="Times New Roman"/>
          <w:sz w:val="24"/>
          <w:szCs w:val="24"/>
          <w:lang w:val="en-GB"/>
        </w:rPr>
        <w:t xml:space="preserve">(2019), the variable cost of the company does not conform with the accounting principle. The variable cost causes the distortion in the production cost of the company. The sales of the company are showing unfavourable conditions because it has a negative value of £500000. The material cost and the labour cost of the company is also unfavourable because both are coming in the negative value that is £ 30000 and £ 40000. </w:t>
      </w:r>
    </w:p>
    <w:p w14:paraId="21CB654C"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contribution amount of the Amana company is unfavourable because it is also showing the negative value of £ 540000. As mentioned by </w:t>
      </w:r>
      <w:proofErr w:type="spellStart"/>
      <w:r>
        <w:rPr>
          <w:rFonts w:ascii="Times New Roman" w:eastAsia="Times New Roman" w:hAnsi="Times New Roman" w:cs="Times New Roman"/>
          <w:sz w:val="24"/>
          <w:szCs w:val="24"/>
          <w:lang w:val="en-GB"/>
        </w:rPr>
        <w:t>Băițan</w:t>
      </w:r>
      <w:proofErr w:type="spellEnd"/>
      <w:r>
        <w:rPr>
          <w:rFonts w:ascii="Times New Roman" w:eastAsia="Times New Roman" w:hAnsi="Times New Roman" w:cs="Times New Roman"/>
          <w:sz w:val="24"/>
          <w:szCs w:val="24"/>
          <w:lang w:val="en-GB"/>
        </w:rPr>
        <w:t xml:space="preserve"> (2020), one important disadvantage of the variances is that it gives added weight to the outliers. The warehouse rental of the company is showing favourable conditions because it is coming to the positive value of £ 30000. In both original and flexed budget, the insurance of the company is showing the same value that is £100000. Therefore, it is favourable in condition. The salary of the supervisor of the warehouse of the company is also favourable because it is showing the positive value of £ 15000. </w:t>
      </w:r>
    </w:p>
    <w:p w14:paraId="12F9C744" w14:textId="77777777" w:rsidR="00281FB0" w:rsidRDefault="00281FB0" w:rsidP="00281FB0">
      <w:pPr>
        <w:pStyle w:val="Heading2"/>
        <w:rPr>
          <w:rFonts w:eastAsia="Arial"/>
          <w:lang w:val="en-GB"/>
        </w:rPr>
      </w:pPr>
      <w:bookmarkStart w:id="3" w:name="_Toc70331425"/>
      <w:r>
        <w:rPr>
          <w:rFonts w:eastAsia="Arial"/>
          <w:lang w:val="en-GB"/>
        </w:rPr>
        <w:t>2) Report of Amana’s performance</w:t>
      </w:r>
      <w:bookmarkEnd w:id="3"/>
      <w:r>
        <w:rPr>
          <w:rFonts w:eastAsia="Arial"/>
          <w:lang w:val="en-GB"/>
        </w:rPr>
        <w:t xml:space="preserve"> </w:t>
      </w:r>
    </w:p>
    <w:p w14:paraId="135E2717"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During the year 2020 Aman's performance was good due to the pandemic situation. The total units sold by the company was £ 1200000 according to the original budget of the company. The actual units were £ 960000. As stated by </w:t>
      </w:r>
      <w:proofErr w:type="spellStart"/>
      <w:r>
        <w:rPr>
          <w:rFonts w:ascii="Times New Roman" w:eastAsia="Times New Roman" w:hAnsi="Times New Roman" w:cs="Times New Roman"/>
          <w:sz w:val="24"/>
          <w:szCs w:val="24"/>
          <w:lang w:val="en-GB"/>
        </w:rPr>
        <w:t>Titopoulou</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i/>
          <w:sz w:val="24"/>
          <w:szCs w:val="24"/>
          <w:lang w:val="en-GB"/>
        </w:rPr>
        <w:t>.</w:t>
      </w:r>
      <w:r>
        <w:rPr>
          <w:rFonts w:ascii="Times New Roman" w:eastAsia="Times New Roman" w:hAnsi="Times New Roman" w:cs="Times New Roman"/>
          <w:sz w:val="24"/>
          <w:szCs w:val="24"/>
          <w:lang w:val="en-GB"/>
        </w:rPr>
        <w:t xml:space="preserve"> (2021), with the performance report of the company the investors and shareholders of the company are likely to invest in the company. The </w:t>
      </w:r>
      <w:r>
        <w:rPr>
          <w:rFonts w:ascii="Times New Roman" w:eastAsia="Times New Roman" w:hAnsi="Times New Roman" w:cs="Times New Roman"/>
          <w:b/>
          <w:i/>
          <w:sz w:val="24"/>
          <w:szCs w:val="24"/>
          <w:lang w:val="en-GB"/>
        </w:rPr>
        <w:t xml:space="preserve">selling price </w:t>
      </w:r>
      <w:r>
        <w:rPr>
          <w:rFonts w:ascii="Times New Roman" w:eastAsia="Times New Roman" w:hAnsi="Times New Roman" w:cs="Times New Roman"/>
          <w:sz w:val="24"/>
          <w:szCs w:val="24"/>
          <w:lang w:val="en-GB"/>
        </w:rPr>
        <w:t xml:space="preserve">per unit of the company was the same that is £ 25 for original budget and £ 20 for actual.  The total sale of the company in the year 2020 was £ 20400000 for the original budget and £ 9120000 for the actual budget of the company. For the </w:t>
      </w:r>
      <w:r>
        <w:rPr>
          <w:rFonts w:ascii="Times New Roman" w:eastAsia="Times New Roman" w:hAnsi="Times New Roman" w:cs="Times New Roman"/>
          <w:b/>
          <w:i/>
          <w:sz w:val="24"/>
          <w:szCs w:val="24"/>
          <w:lang w:val="en-GB"/>
        </w:rPr>
        <w:t>contribution</w:t>
      </w:r>
      <w:r>
        <w:rPr>
          <w:rFonts w:ascii="Times New Roman" w:eastAsia="Times New Roman" w:hAnsi="Times New Roman" w:cs="Times New Roman"/>
          <w:sz w:val="24"/>
          <w:szCs w:val="24"/>
          <w:lang w:val="en-GB"/>
        </w:rPr>
        <w:t xml:space="preserve"> amount of the company for the report of the year 2020 was conducted by subtracting the total sale from the total variable cost (VC) amount. </w:t>
      </w:r>
    </w:p>
    <w:p w14:paraId="1E0E575A"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one year, the material cost of the company was £ 3000000. The labour cost was £4800000, and the overhead cost</w:t>
      </w:r>
      <w:r>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sz w:val="24"/>
          <w:szCs w:val="24"/>
          <w:lang w:val="en-GB"/>
        </w:rPr>
        <w:t xml:space="preserve">of the company was £ 1800000. As started by Liburd and </w:t>
      </w:r>
      <w:proofErr w:type="spellStart"/>
      <w:r>
        <w:rPr>
          <w:rFonts w:ascii="Times New Roman" w:eastAsia="Times New Roman" w:hAnsi="Times New Roman" w:cs="Times New Roman"/>
          <w:sz w:val="24"/>
          <w:szCs w:val="24"/>
          <w:lang w:val="en-GB"/>
        </w:rPr>
        <w:t>Becken</w:t>
      </w:r>
      <w:proofErr w:type="spellEnd"/>
      <w:r>
        <w:rPr>
          <w:rFonts w:ascii="Times New Roman" w:eastAsia="Times New Roman" w:hAnsi="Times New Roman" w:cs="Times New Roman"/>
          <w:sz w:val="24"/>
          <w:szCs w:val="24"/>
          <w:lang w:val="en-GB"/>
        </w:rPr>
        <w:t xml:space="preserve"> (2017), this cost is not dependent on the activity of the business rather it depends on time. The contribution amount for the one year was £ 20400000. The CA of the company in the actual budget for one year was £ 9120000. </w:t>
      </w:r>
    </w:p>
    <w:p w14:paraId="2739E1CD"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profit of the company in one year according to the original budget of the company was £ 16200000. However, the profit </w:t>
      </w:r>
      <w:proofErr w:type="gramStart"/>
      <w:r>
        <w:rPr>
          <w:rFonts w:ascii="Times New Roman" w:eastAsia="Times New Roman" w:hAnsi="Times New Roman" w:cs="Times New Roman"/>
          <w:sz w:val="24"/>
          <w:szCs w:val="24"/>
          <w:lang w:val="en-GB"/>
        </w:rPr>
        <w:t>actually happened</w:t>
      </w:r>
      <w:proofErr w:type="gramEnd"/>
      <w:r>
        <w:rPr>
          <w:rFonts w:ascii="Times New Roman" w:eastAsia="Times New Roman" w:hAnsi="Times New Roman" w:cs="Times New Roman"/>
          <w:sz w:val="24"/>
          <w:szCs w:val="24"/>
          <w:lang w:val="en-GB"/>
        </w:rPr>
        <w:t xml:space="preserve"> in one year was £ 5460000. In the </w:t>
      </w:r>
      <w:proofErr w:type="gramStart"/>
      <w:r>
        <w:rPr>
          <w:rFonts w:ascii="Times New Roman" w:eastAsia="Times New Roman" w:hAnsi="Times New Roman" w:cs="Times New Roman"/>
          <w:sz w:val="24"/>
          <w:szCs w:val="24"/>
          <w:lang w:val="en-GB"/>
        </w:rPr>
        <w:t>year</w:t>
      </w:r>
      <w:proofErr w:type="gramEnd"/>
      <w:r>
        <w:rPr>
          <w:rFonts w:ascii="Times New Roman" w:eastAsia="Times New Roman" w:hAnsi="Times New Roman" w:cs="Times New Roman"/>
          <w:sz w:val="24"/>
          <w:szCs w:val="24"/>
          <w:lang w:val="en-GB"/>
        </w:rPr>
        <w:t xml:space="preserve"> the total sales of the company are unfavourable for the company because it is coming in at a minus </w:t>
      </w:r>
      <w:r>
        <w:rPr>
          <w:rFonts w:ascii="Times New Roman" w:eastAsia="Times New Roman" w:hAnsi="Times New Roman" w:cs="Times New Roman"/>
          <w:sz w:val="24"/>
          <w:szCs w:val="24"/>
          <w:lang w:val="en-GB"/>
        </w:rPr>
        <w:lastRenderedPageBreak/>
        <w:t xml:space="preserve">value that is £ 10800000. As stated by </w:t>
      </w:r>
      <w:proofErr w:type="spellStart"/>
      <w:r>
        <w:rPr>
          <w:rFonts w:ascii="Times New Roman" w:eastAsia="Times New Roman" w:hAnsi="Times New Roman" w:cs="Times New Roman"/>
          <w:sz w:val="24"/>
          <w:szCs w:val="24"/>
          <w:lang w:val="en-GB"/>
        </w:rPr>
        <w:t>Purwanto</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(2020), the value of report is important for the company because it helps to understand the financial position of the company. The material and labour cost of the company is also unfavourable for the company in the year 2020 because of the negative value of the company. The fixed cost of the company is showing the favourable condition as value is common in the positive way. As stated by </w:t>
      </w:r>
      <w:proofErr w:type="spellStart"/>
      <w:r>
        <w:rPr>
          <w:rFonts w:ascii="Times New Roman" w:eastAsia="Times New Roman" w:hAnsi="Times New Roman" w:cs="Times New Roman"/>
          <w:sz w:val="24"/>
          <w:szCs w:val="24"/>
          <w:lang w:val="en-GB"/>
        </w:rPr>
        <w:t>Radović</w:t>
      </w:r>
      <w:proofErr w:type="spellEnd"/>
      <w:r>
        <w:rPr>
          <w:rFonts w:ascii="Times New Roman" w:eastAsia="Times New Roman" w:hAnsi="Times New Roman" w:cs="Times New Roman"/>
          <w:sz w:val="24"/>
          <w:szCs w:val="24"/>
          <w:lang w:val="en-GB"/>
        </w:rPr>
        <w:t xml:space="preserve"> (2021), the impact on the fixed is less due to the variable cost of the firm. The variances of the rented warehouse of the organizations are £ 360000. Moreover, the supervisor salary variances were £ 1800000. Due to the covid 19 situation the performance of the company has gone down because of the restrictions in the travel industry by the government in every country. The lockdown process has also affected the industry because of the long-term lock down process by the government. The profit for the 2020 is also in the unfavourable position for the organization due to the underlying fact of the negative value in the profit. The pandemic situation has affected the company in a very bad way </w:t>
      </w:r>
      <w:r>
        <w:rPr>
          <w:rFonts w:ascii="Times New Roman" w:eastAsia="Times New Roman" w:hAnsi="Times New Roman" w:cs="Times New Roman"/>
          <w:i/>
          <w:iCs/>
          <w:sz w:val="24"/>
          <w:szCs w:val="24"/>
          <w:lang w:val="en-GB"/>
        </w:rPr>
        <w:t>[Refer to Appendix 1]</w:t>
      </w:r>
      <w:r>
        <w:rPr>
          <w:rFonts w:ascii="Times New Roman" w:eastAsia="Times New Roman" w:hAnsi="Times New Roman" w:cs="Times New Roman"/>
          <w:sz w:val="24"/>
          <w:szCs w:val="24"/>
          <w:lang w:val="en-GB"/>
        </w:rPr>
        <w:t xml:space="preserve">. </w:t>
      </w:r>
    </w:p>
    <w:p w14:paraId="72984199" w14:textId="77777777" w:rsidR="00281FB0" w:rsidRDefault="00281FB0" w:rsidP="00281FB0">
      <w:pPr>
        <w:pStyle w:val="Heading2"/>
        <w:rPr>
          <w:rFonts w:eastAsia="Arial"/>
          <w:lang w:val="en-GB"/>
        </w:rPr>
      </w:pPr>
      <w:bookmarkStart w:id="4" w:name="_Toc70331426"/>
      <w:r>
        <w:rPr>
          <w:rFonts w:eastAsia="Arial"/>
          <w:lang w:val="en-GB"/>
        </w:rPr>
        <w:t>3) Recommendation</w:t>
      </w:r>
      <w:bookmarkEnd w:id="4"/>
      <w:r>
        <w:rPr>
          <w:rFonts w:eastAsia="Arial"/>
          <w:lang w:val="en-GB"/>
        </w:rPr>
        <w:t xml:space="preserve"> </w:t>
      </w:r>
    </w:p>
    <w:p w14:paraId="56197966"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the above report it is recommended that the company </w:t>
      </w:r>
      <w:proofErr w:type="gramStart"/>
      <w:r>
        <w:rPr>
          <w:rFonts w:ascii="Times New Roman" w:eastAsia="Times New Roman" w:hAnsi="Times New Roman" w:cs="Times New Roman"/>
          <w:sz w:val="24"/>
          <w:szCs w:val="24"/>
          <w:lang w:val="en-GB"/>
        </w:rPr>
        <w:t>have to</w:t>
      </w:r>
      <w:proofErr w:type="gramEnd"/>
      <w:r>
        <w:rPr>
          <w:rFonts w:ascii="Times New Roman" w:eastAsia="Times New Roman" w:hAnsi="Times New Roman" w:cs="Times New Roman"/>
          <w:sz w:val="24"/>
          <w:szCs w:val="24"/>
          <w:lang w:val="en-GB"/>
        </w:rPr>
        <w:t xml:space="preserve"> maintain the original budget of the company. The original budget of the company is showing the increase in the profit for the company. As opined by Boehm and </w:t>
      </w:r>
      <w:proofErr w:type="spellStart"/>
      <w:r>
        <w:rPr>
          <w:rFonts w:ascii="Times New Roman" w:eastAsia="Times New Roman" w:hAnsi="Times New Roman" w:cs="Times New Roman"/>
          <w:sz w:val="24"/>
          <w:szCs w:val="24"/>
          <w:lang w:val="en-GB"/>
        </w:rPr>
        <w:t>Abts</w:t>
      </w:r>
      <w:proofErr w:type="spellEnd"/>
      <w:r>
        <w:rPr>
          <w:rFonts w:ascii="Times New Roman" w:eastAsia="Times New Roman" w:hAnsi="Times New Roman" w:cs="Times New Roman"/>
          <w:sz w:val="24"/>
          <w:szCs w:val="24"/>
          <w:lang w:val="en-GB"/>
        </w:rPr>
        <w:t xml:space="preserve"> (2017), the recommendation regarding the risk factor of the company is always useful for the company. The VC of the company is showing the risk factor for the company. The VC of the company can be solved by providing a good budget for the company made by the management of the company. The MC of the company is showing the risk factor in the year 2020. This issue can be solved by taking the material in low cost for the company. Therefore, focus on reducing the VC needs to be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gain higher number of profits by reducing the costs. The low material cost will help the company in increase in the profit of the company by increasing the sale of the company. The finished product from the company will come at a low price after the material cost is low by the company.</w:t>
      </w:r>
    </w:p>
    <w:p w14:paraId="2A5330C6" w14:textId="77777777" w:rsidR="00281FB0" w:rsidRDefault="00281FB0" w:rsidP="00281FB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labour charges of the company are unfavourable for the company as it has exceeded the original budget of the organization. The labour cost (LC) of the company needs to be done as per the original budget allocation for the company. The LC of the company increases the price of the finished goods of the company. Lowering the LC of the firm will help them to increase the revenue of the company. The labour for the organization should be taken from the own country to reduce the overall cost for the company. To increase the budget of the company they </w:t>
      </w:r>
      <w:r>
        <w:rPr>
          <w:rFonts w:ascii="Times New Roman" w:eastAsia="Times New Roman" w:hAnsi="Times New Roman" w:cs="Times New Roman"/>
          <w:sz w:val="24"/>
          <w:szCs w:val="24"/>
          <w:lang w:val="en-GB"/>
        </w:rPr>
        <w:lastRenderedPageBreak/>
        <w:t xml:space="preserve">need increase the sale of the company as mentioned in the original budget. For this they can give various offers to the tourist for attracting them in the company. Thus, the company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regain the business position in the tourism industry break down of the different costs has been done. Implication of offer is important for the industry. The variable </w:t>
      </w:r>
      <w:proofErr w:type="gramStart"/>
      <w:r>
        <w:rPr>
          <w:rFonts w:ascii="Times New Roman" w:eastAsia="Times New Roman" w:hAnsi="Times New Roman" w:cs="Times New Roman"/>
          <w:sz w:val="24"/>
          <w:szCs w:val="24"/>
          <w:lang w:val="en-GB"/>
        </w:rPr>
        <w:t>cost  (</w:t>
      </w:r>
      <w:proofErr w:type="gramEnd"/>
      <w:r>
        <w:rPr>
          <w:rFonts w:ascii="Times New Roman" w:eastAsia="Times New Roman" w:hAnsi="Times New Roman" w:cs="Times New Roman"/>
          <w:sz w:val="24"/>
          <w:szCs w:val="24"/>
          <w:lang w:val="en-GB"/>
        </w:rPr>
        <w:t xml:space="preserve">VC) of the company needs to be reduced by the Amana industry for raising the revenue of the company. </w:t>
      </w:r>
    </w:p>
    <w:p w14:paraId="5482D2ED" w14:textId="77777777" w:rsidR="00281FB0" w:rsidRDefault="00281FB0" w:rsidP="00F51891">
      <w:pPr>
        <w:pStyle w:val="Heading1"/>
      </w:pPr>
      <w:bookmarkStart w:id="5" w:name="_Toc70331427"/>
      <w:r>
        <w:t>Conclusion</w:t>
      </w:r>
      <w:bookmarkEnd w:id="5"/>
      <w:r>
        <w:t xml:space="preserve">  </w:t>
      </w:r>
    </w:p>
    <w:p w14:paraId="39E2B460" w14:textId="77777777" w:rsidR="00281FB0" w:rsidRDefault="00281FB0" w:rsidP="00281FB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From the above report it is concluded monthly control report </w:t>
      </w:r>
      <w:proofErr w:type="gramStart"/>
      <w:r>
        <w:rPr>
          <w:rFonts w:ascii="Times New Roman" w:hAnsi="Times New Roman" w:cs="Times New Roman"/>
          <w:sz w:val="24"/>
          <w:szCs w:val="24"/>
          <w:lang w:val="en-GB"/>
        </w:rPr>
        <w:t>is helpful in understanding</w:t>
      </w:r>
      <w:proofErr w:type="gramEnd"/>
      <w:r>
        <w:rPr>
          <w:rFonts w:ascii="Times New Roman" w:hAnsi="Times New Roman" w:cs="Times New Roman"/>
          <w:sz w:val="24"/>
          <w:szCs w:val="24"/>
          <w:lang w:val="en-GB"/>
        </w:rPr>
        <w:t xml:space="preserve"> the different expenses and costs that are associated with the firm. However, this report has been helpful in preparation of the Amana’s performance for the year 2020. The pandemic situation has badly affected the company because it is a tourism industry.</w:t>
      </w:r>
    </w:p>
    <w:p w14:paraId="492E9E64" w14:textId="77777777" w:rsidR="00281FB0" w:rsidRDefault="00281FB0" w:rsidP="00281FB0">
      <w:pPr>
        <w:spacing w:line="360" w:lineRule="auto"/>
        <w:rPr>
          <w:rFonts w:ascii="Times New Roman" w:eastAsia="Times New Roman" w:hAnsi="Times New Roman" w:cs="Times New Roman"/>
          <w:b/>
          <w:color w:val="000000" w:themeColor="text1"/>
          <w:sz w:val="28"/>
          <w:szCs w:val="24"/>
          <w:lang w:val="en-GB"/>
        </w:rPr>
      </w:pPr>
      <w:r>
        <w:rPr>
          <w:lang w:val="en-GB"/>
        </w:rPr>
        <w:br w:type="page"/>
      </w:r>
    </w:p>
    <w:p w14:paraId="1C7F422A" w14:textId="77777777" w:rsidR="00281FB0" w:rsidRDefault="00281FB0" w:rsidP="00F51891">
      <w:pPr>
        <w:pStyle w:val="Heading1"/>
      </w:pPr>
      <w:bookmarkStart w:id="6" w:name="_Toc70331428"/>
      <w:r>
        <w:lastRenderedPageBreak/>
        <w:t>Part B</w:t>
      </w:r>
      <w:bookmarkEnd w:id="6"/>
    </w:p>
    <w:p w14:paraId="591A04F2" w14:textId="77777777" w:rsidR="00281FB0" w:rsidRDefault="00281FB0" w:rsidP="00281FB0">
      <w:pPr>
        <w:pStyle w:val="Heading2"/>
        <w:rPr>
          <w:rFonts w:eastAsia="Arial"/>
          <w:lang w:val="en-GB"/>
        </w:rPr>
      </w:pPr>
      <w:bookmarkStart w:id="7" w:name="_Toc70331429"/>
      <w:r>
        <w:rPr>
          <w:rFonts w:eastAsia="Arial"/>
          <w:lang w:val="en-GB"/>
        </w:rPr>
        <w:t>Introduction</w:t>
      </w:r>
      <w:bookmarkEnd w:id="7"/>
    </w:p>
    <w:p w14:paraId="563CA0E3"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 this part the calculation for the profit for the two options will be calculated. However, the best option out of the two available options will be selected and recommended. Furthermore, </w:t>
      </w:r>
      <w:proofErr w:type="gramStart"/>
      <w:r>
        <w:rPr>
          <w:rFonts w:ascii="Times New Roman" w:eastAsia="Times New Roman" w:hAnsi="Times New Roman" w:cs="Times New Roman"/>
          <w:color w:val="000000" w:themeColor="text1"/>
          <w:sz w:val="24"/>
          <w:szCs w:val="24"/>
          <w:lang w:val="en-GB"/>
        </w:rPr>
        <w:t>in order to</w:t>
      </w:r>
      <w:proofErr w:type="gramEnd"/>
      <w:r>
        <w:rPr>
          <w:rFonts w:ascii="Times New Roman" w:eastAsia="Times New Roman" w:hAnsi="Times New Roman" w:cs="Times New Roman"/>
          <w:color w:val="000000" w:themeColor="text1"/>
          <w:sz w:val="24"/>
          <w:szCs w:val="24"/>
          <w:lang w:val="en-GB"/>
        </w:rPr>
        <w:t xml:space="preserve"> perform financial calculation information from case study needs to be extracted. For the </w:t>
      </w:r>
      <w:proofErr w:type="gramStart"/>
      <w:r>
        <w:rPr>
          <w:rFonts w:ascii="Times New Roman" w:eastAsia="Times New Roman" w:hAnsi="Times New Roman" w:cs="Times New Roman"/>
          <w:color w:val="000000" w:themeColor="text1"/>
          <w:sz w:val="24"/>
          <w:szCs w:val="24"/>
          <w:lang w:val="en-GB"/>
        </w:rPr>
        <w:t>option</w:t>
      </w:r>
      <w:proofErr w:type="gramEnd"/>
      <w:r>
        <w:rPr>
          <w:rFonts w:ascii="Times New Roman" w:eastAsia="Times New Roman" w:hAnsi="Times New Roman" w:cs="Times New Roman"/>
          <w:color w:val="000000" w:themeColor="text1"/>
          <w:sz w:val="24"/>
          <w:szCs w:val="24"/>
          <w:lang w:val="en-GB"/>
        </w:rPr>
        <w:t xml:space="preserve"> the calculation will be done with the basis of the information given in the case study. </w:t>
      </w:r>
    </w:p>
    <w:p w14:paraId="6EF510A9" w14:textId="77777777" w:rsidR="00281FB0" w:rsidRDefault="00281FB0" w:rsidP="00281FB0">
      <w:pPr>
        <w:pStyle w:val="Heading2"/>
        <w:rPr>
          <w:rFonts w:eastAsia="Arial"/>
          <w:lang w:val="en-GB"/>
        </w:rPr>
      </w:pPr>
      <w:bookmarkStart w:id="8" w:name="_Toc70331430"/>
      <w:r>
        <w:rPr>
          <w:rFonts w:eastAsia="Arial"/>
          <w:lang w:val="en-GB"/>
        </w:rPr>
        <w:t>Analysis of Mr. Amana’s decision</w:t>
      </w:r>
      <w:bookmarkEnd w:id="8"/>
    </w:p>
    <w:p w14:paraId="4A8D0853"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Based on the case study there are two options for Amana to conduct their business, which involves section of the most profitable option. According to the information in the case study in the first option the cost of setting the network will be £150000. For upgrading the current website in terms of online selling for handling the large volume of then sale it will take £50000. The salary that will be provided to the full-time programmer will be £35000 per annum. As mentioned by Graff </w:t>
      </w:r>
      <w:r>
        <w:rPr>
          <w:rFonts w:ascii="Times New Roman" w:eastAsia="Times New Roman" w:hAnsi="Times New Roman" w:cs="Times New Roman"/>
          <w:i/>
          <w:color w:val="000000" w:themeColor="text1"/>
          <w:sz w:val="24"/>
          <w:szCs w:val="24"/>
          <w:lang w:val="en-GB"/>
        </w:rPr>
        <w:t>et al.</w:t>
      </w:r>
      <w:r>
        <w:rPr>
          <w:rFonts w:ascii="Times New Roman" w:eastAsia="Times New Roman" w:hAnsi="Times New Roman" w:cs="Times New Roman"/>
          <w:color w:val="000000" w:themeColor="text1"/>
          <w:sz w:val="24"/>
          <w:szCs w:val="24"/>
          <w:lang w:val="en-GB"/>
        </w:rPr>
        <w:t xml:space="preserve"> (2017), online business ultimately results in providing satisfactory service to the clients and customers. However, it is analysed from the case that in the second option Amana wanted to sell the product directly through the Amazon. Contextually, cost required is £50000 for fulfilment fees of Amazon (case study). Thus, in case the products are sold directly on Amazon, then there is the chance of lack of control over the pricing and return policy of the product that is sold. </w:t>
      </w:r>
    </w:p>
    <w:p w14:paraId="1F852568"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There can be a high level of competition between the Amana and the other sellers in the amazon. As stated by Chen and Koebel (2017), segregation of the costs containing </w:t>
      </w:r>
      <w:proofErr w:type="gramStart"/>
      <w:r>
        <w:rPr>
          <w:rFonts w:ascii="Times New Roman" w:eastAsia="Times New Roman" w:hAnsi="Times New Roman" w:cs="Times New Roman"/>
          <w:color w:val="000000" w:themeColor="text1"/>
          <w:sz w:val="24"/>
          <w:szCs w:val="24"/>
          <w:lang w:val="en-GB"/>
        </w:rPr>
        <w:t>fixed</w:t>
      </w:r>
      <w:proofErr w:type="gramEnd"/>
      <w:r>
        <w:rPr>
          <w:rFonts w:ascii="Times New Roman" w:eastAsia="Times New Roman" w:hAnsi="Times New Roman" w:cs="Times New Roman"/>
          <w:color w:val="000000" w:themeColor="text1"/>
          <w:sz w:val="24"/>
          <w:szCs w:val="24"/>
          <w:lang w:val="en-GB"/>
        </w:rPr>
        <w:t xml:space="preserve"> and variable are helpful in understanding costs and budget of business. Additionally, it is evaluated there will be hike in the sales of 65000 in case product demand increases. In the option one the sales per unit of the company is £100000 whereas sales price is 25. Thus, the total sale of the Amana will be £2500000 (case study). In option 2 the sales per unit will be £ 65000 and the unit per sale will be the same that is 25. As opined by Liu and Tyagi (2017), the fixed cost of the company does not change with respect to the level of the production. Hence, the total sale for the option b will be £ 1625000. </w:t>
      </w:r>
    </w:p>
    <w:p w14:paraId="51F8C4AC"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 the option 2 the variable cost includes material, </w:t>
      </w:r>
      <w:proofErr w:type="gramStart"/>
      <w:r>
        <w:rPr>
          <w:rFonts w:ascii="Times New Roman" w:eastAsia="Times New Roman" w:hAnsi="Times New Roman" w:cs="Times New Roman"/>
          <w:color w:val="000000" w:themeColor="text1"/>
          <w:sz w:val="24"/>
          <w:szCs w:val="24"/>
          <w:lang w:val="en-GB"/>
        </w:rPr>
        <w:t>labour</w:t>
      </w:r>
      <w:proofErr w:type="gramEnd"/>
      <w:r>
        <w:rPr>
          <w:rFonts w:ascii="Times New Roman" w:eastAsia="Times New Roman" w:hAnsi="Times New Roman" w:cs="Times New Roman"/>
          <w:color w:val="000000" w:themeColor="text1"/>
          <w:sz w:val="24"/>
          <w:szCs w:val="24"/>
          <w:lang w:val="en-GB"/>
        </w:rPr>
        <w:t xml:space="preserve"> and overhead cost. The material cost for option a will be £280000. The labour cost will be £440000. Finally, the overhead cost will be £120000. The contribution cost for option a will be £1660000. As stated by Li, Zhu and Chen (2019), the variable cost of the company does not </w:t>
      </w:r>
      <w:proofErr w:type="gramStart"/>
      <w:r>
        <w:rPr>
          <w:rFonts w:ascii="Times New Roman" w:eastAsia="Times New Roman" w:hAnsi="Times New Roman" w:cs="Times New Roman"/>
          <w:color w:val="000000" w:themeColor="text1"/>
          <w:sz w:val="24"/>
          <w:szCs w:val="24"/>
          <w:lang w:val="en-GB"/>
        </w:rPr>
        <w:t>rise</w:t>
      </w:r>
      <w:proofErr w:type="gramEnd"/>
      <w:r>
        <w:rPr>
          <w:rFonts w:ascii="Times New Roman" w:eastAsia="Times New Roman" w:hAnsi="Times New Roman" w:cs="Times New Roman"/>
          <w:color w:val="000000" w:themeColor="text1"/>
          <w:sz w:val="24"/>
          <w:szCs w:val="24"/>
          <w:lang w:val="en-GB"/>
        </w:rPr>
        <w:t xml:space="preserve"> or fall based on the activity of the </w:t>
      </w:r>
      <w:r>
        <w:rPr>
          <w:rFonts w:ascii="Times New Roman" w:eastAsia="Times New Roman" w:hAnsi="Times New Roman" w:cs="Times New Roman"/>
          <w:color w:val="000000" w:themeColor="text1"/>
          <w:sz w:val="24"/>
          <w:szCs w:val="24"/>
          <w:lang w:val="en-GB"/>
        </w:rPr>
        <w:lastRenderedPageBreak/>
        <w:t xml:space="preserve">company. The variable cost for option b includes the same things. The material cost for the option b will be £280000. The labour cost of the option b will be £440000 and the overhead cost for the option b will be £120000 (case study). Thus, after the calculation the contribution amount for the option b will be £785000. The contribution amount is for the option a is more than the option b. From the contribution amount the fixed cost of the company will be less. The FC for the option a will be setting and delivering the network will cost £150000. For upgrading the website, it will cost £50000. </w:t>
      </w:r>
    </w:p>
    <w:p w14:paraId="4F9DD5AC"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As stated by Li</w:t>
      </w:r>
      <w:r>
        <w:rPr>
          <w:rFonts w:ascii="Times New Roman" w:eastAsia="Times New Roman" w:hAnsi="Times New Roman" w:cs="Times New Roman"/>
          <w:i/>
          <w:color w:val="000000" w:themeColor="text1"/>
          <w:sz w:val="24"/>
          <w:szCs w:val="24"/>
          <w:lang w:val="en-GB"/>
        </w:rPr>
        <w:t xml:space="preserve"> et al.</w:t>
      </w:r>
      <w:r>
        <w:rPr>
          <w:rFonts w:ascii="Times New Roman" w:eastAsia="Times New Roman" w:hAnsi="Times New Roman" w:cs="Times New Roman"/>
          <w:color w:val="000000" w:themeColor="text1"/>
          <w:sz w:val="24"/>
          <w:szCs w:val="24"/>
          <w:lang w:val="en-GB"/>
        </w:rPr>
        <w:t xml:space="preserve"> (2019), the VC changes with respect to production level. The salary for the programmer IT will be £35000 followed by rent of the warehouse will be £85000. The insurance of the company will be £100000. The supervisor salary of the warehouse will be £17500. Therefore, the profit will come from the option a will be 1222500. For the option b the fixed cost includes delivery network cost of £50000. The rent of the warehouse will be £85000. The insurance required will be £100000. As stated by </w:t>
      </w:r>
      <w:proofErr w:type="spellStart"/>
      <w:r>
        <w:rPr>
          <w:rFonts w:ascii="Times New Roman" w:eastAsia="Times New Roman" w:hAnsi="Times New Roman" w:cs="Times New Roman"/>
          <w:color w:val="000000" w:themeColor="text1"/>
          <w:sz w:val="24"/>
          <w:szCs w:val="24"/>
          <w:lang w:val="en-GB"/>
        </w:rPr>
        <w:t>Irawan</w:t>
      </w:r>
      <w:proofErr w:type="spellEnd"/>
      <w:r>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i/>
          <w:color w:val="000000" w:themeColor="text1"/>
          <w:sz w:val="24"/>
          <w:szCs w:val="24"/>
          <w:lang w:val="en-GB"/>
        </w:rPr>
        <w:t>et al</w:t>
      </w:r>
      <w:r>
        <w:rPr>
          <w:rFonts w:ascii="Times New Roman" w:eastAsia="Times New Roman" w:hAnsi="Times New Roman" w:cs="Times New Roman"/>
          <w:color w:val="000000" w:themeColor="text1"/>
          <w:sz w:val="24"/>
          <w:szCs w:val="24"/>
          <w:lang w:val="en-GB"/>
        </w:rPr>
        <w:t xml:space="preserve">. (2019), variable costs are the major part for running the business </w:t>
      </w:r>
      <w:proofErr w:type="gramStart"/>
      <w:r>
        <w:rPr>
          <w:rFonts w:ascii="Times New Roman" w:eastAsia="Times New Roman" w:hAnsi="Times New Roman" w:cs="Times New Roman"/>
          <w:color w:val="000000" w:themeColor="text1"/>
          <w:sz w:val="24"/>
          <w:szCs w:val="24"/>
          <w:lang w:val="en-GB"/>
        </w:rPr>
        <w:t>and also</w:t>
      </w:r>
      <w:proofErr w:type="gramEnd"/>
      <w:r>
        <w:rPr>
          <w:rFonts w:ascii="Times New Roman" w:eastAsia="Times New Roman" w:hAnsi="Times New Roman" w:cs="Times New Roman"/>
          <w:color w:val="000000" w:themeColor="text1"/>
          <w:sz w:val="24"/>
          <w:szCs w:val="24"/>
          <w:lang w:val="en-GB"/>
        </w:rPr>
        <w:t xml:space="preserve"> a major part for earning the profit of the business. The profit earned from the option b will be £532500. Thus, </w:t>
      </w:r>
      <w:r>
        <w:rPr>
          <w:rFonts w:ascii="Times New Roman" w:eastAsia="Times New Roman" w:hAnsi="Times New Roman" w:cs="Times New Roman"/>
          <w:b/>
          <w:bCs/>
          <w:i/>
          <w:iCs/>
          <w:color w:val="000000" w:themeColor="text1"/>
          <w:sz w:val="24"/>
          <w:szCs w:val="24"/>
          <w:lang w:val="en-GB"/>
        </w:rPr>
        <w:t>option a</w:t>
      </w:r>
      <w:r>
        <w:rPr>
          <w:rFonts w:ascii="Times New Roman" w:eastAsia="Times New Roman" w:hAnsi="Times New Roman" w:cs="Times New Roman"/>
          <w:color w:val="000000" w:themeColor="text1"/>
          <w:sz w:val="24"/>
          <w:szCs w:val="24"/>
          <w:lang w:val="en-GB"/>
        </w:rPr>
        <w:t xml:space="preserve"> is better for the Amana company to carry on the business. The profits earned in option A is also higher in comparison with option B.</w:t>
      </w:r>
    </w:p>
    <w:p w14:paraId="751B037E"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Thus, to generate higher profits company </w:t>
      </w:r>
      <w:proofErr w:type="gramStart"/>
      <w:r>
        <w:rPr>
          <w:rFonts w:ascii="Times New Roman" w:eastAsia="Times New Roman" w:hAnsi="Times New Roman" w:cs="Times New Roman"/>
          <w:color w:val="000000" w:themeColor="text1"/>
          <w:sz w:val="24"/>
          <w:szCs w:val="24"/>
          <w:lang w:val="en-GB"/>
        </w:rPr>
        <w:t>needs  to</w:t>
      </w:r>
      <w:proofErr w:type="gramEnd"/>
      <w:r>
        <w:rPr>
          <w:rFonts w:ascii="Times New Roman" w:eastAsia="Times New Roman" w:hAnsi="Times New Roman" w:cs="Times New Roman"/>
          <w:color w:val="000000" w:themeColor="text1"/>
          <w:sz w:val="24"/>
          <w:szCs w:val="24"/>
          <w:lang w:val="en-GB"/>
        </w:rPr>
        <w:t xml:space="preserve"> move forward with option a. For the calculation of the profit earned in both the options it is taken from the given case study. Along with this sales and contribution computation is also higher in option a. </w:t>
      </w:r>
    </w:p>
    <w:p w14:paraId="2861FB13"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With the implication of the variable cost the cost of the product can be controlled in the company. If the cost of the product is </w:t>
      </w:r>
      <w:proofErr w:type="gramStart"/>
      <w:r>
        <w:rPr>
          <w:rFonts w:ascii="Times New Roman" w:eastAsia="Times New Roman" w:hAnsi="Times New Roman" w:cs="Times New Roman"/>
          <w:color w:val="000000" w:themeColor="text1"/>
          <w:sz w:val="24"/>
          <w:szCs w:val="24"/>
          <w:lang w:val="en-GB"/>
        </w:rPr>
        <w:t>controlled</w:t>
      </w:r>
      <w:proofErr w:type="gramEnd"/>
      <w:r>
        <w:rPr>
          <w:rFonts w:ascii="Times New Roman" w:eastAsia="Times New Roman" w:hAnsi="Times New Roman" w:cs="Times New Roman"/>
          <w:color w:val="000000" w:themeColor="text1"/>
          <w:sz w:val="24"/>
          <w:szCs w:val="24"/>
          <w:lang w:val="en-GB"/>
        </w:rPr>
        <w:t xml:space="preserve"> then automatically the profit margin of the company will increase. As described by Bai, Cordeiro and Sarkis (2020), implications in the costs might lead business in financial troubles. The FC of the company will not be changed for the specific period of the time. The management can take decisions by thinking that the fixed cost of the company will remain the same. The option a that is its own online business will be profitable for the company. This has been concluded with the help of calculation done for both the options. The fixed cost of the company helps to reduce the variable cost of the company </w:t>
      </w:r>
      <w:r>
        <w:rPr>
          <w:rFonts w:ascii="Times New Roman" w:eastAsia="Times New Roman" w:hAnsi="Times New Roman" w:cs="Times New Roman"/>
          <w:i/>
          <w:iCs/>
          <w:color w:val="000000" w:themeColor="text1"/>
          <w:sz w:val="24"/>
          <w:szCs w:val="24"/>
          <w:lang w:val="en-GB"/>
        </w:rPr>
        <w:t>[Refer to Appendix 2].</w:t>
      </w:r>
      <w:r>
        <w:rPr>
          <w:rFonts w:ascii="Times New Roman" w:eastAsia="Times New Roman" w:hAnsi="Times New Roman" w:cs="Times New Roman"/>
          <w:color w:val="000000" w:themeColor="text1"/>
          <w:sz w:val="24"/>
          <w:szCs w:val="24"/>
          <w:lang w:val="en-GB"/>
        </w:rPr>
        <w:t xml:space="preserve"> </w:t>
      </w:r>
    </w:p>
    <w:p w14:paraId="51E9DCF2"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p>
    <w:p w14:paraId="13CE0FFA" w14:textId="77777777" w:rsidR="00281FB0" w:rsidRDefault="00281FB0" w:rsidP="00F51891">
      <w:pPr>
        <w:pStyle w:val="Heading1"/>
      </w:pPr>
      <w:bookmarkStart w:id="9" w:name="_Toc70331431"/>
      <w:r>
        <w:lastRenderedPageBreak/>
        <w:t>Recommendation and conclusion</w:t>
      </w:r>
      <w:bookmarkEnd w:id="9"/>
      <w:r>
        <w:t xml:space="preserve"> </w:t>
      </w:r>
    </w:p>
    <w:p w14:paraId="6347980D"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From the above report it is concluded that the </w:t>
      </w:r>
      <w:r>
        <w:rPr>
          <w:rFonts w:ascii="Times New Roman" w:eastAsia="Times New Roman" w:hAnsi="Times New Roman" w:cs="Times New Roman"/>
          <w:b/>
          <w:bCs/>
          <w:i/>
          <w:iCs/>
          <w:color w:val="000000" w:themeColor="text1"/>
          <w:sz w:val="24"/>
          <w:szCs w:val="24"/>
          <w:lang w:val="en-GB"/>
        </w:rPr>
        <w:t>option A</w:t>
      </w:r>
      <w:r>
        <w:rPr>
          <w:rFonts w:ascii="Times New Roman" w:eastAsia="Times New Roman" w:hAnsi="Times New Roman" w:cs="Times New Roman"/>
          <w:color w:val="000000" w:themeColor="text1"/>
          <w:sz w:val="24"/>
          <w:szCs w:val="24"/>
          <w:lang w:val="en-GB"/>
        </w:rPr>
        <w:t xml:space="preserve"> is profitable for the Amana Ltd to carry on the own business online. Thus, after the calculation the profit earned will be more in the option a then the option b. Therefore, it is recommended that the Amana should go for option </w:t>
      </w:r>
      <w:proofErr w:type="gramStart"/>
      <w:r>
        <w:rPr>
          <w:rFonts w:ascii="Times New Roman" w:eastAsia="Times New Roman" w:hAnsi="Times New Roman" w:cs="Times New Roman"/>
          <w:color w:val="000000" w:themeColor="text1"/>
          <w:sz w:val="24"/>
          <w:szCs w:val="24"/>
          <w:lang w:val="en-GB"/>
        </w:rPr>
        <w:t>a in order to</w:t>
      </w:r>
      <w:proofErr w:type="gramEnd"/>
      <w:r>
        <w:rPr>
          <w:rFonts w:ascii="Times New Roman" w:eastAsia="Times New Roman" w:hAnsi="Times New Roman" w:cs="Times New Roman"/>
          <w:color w:val="000000" w:themeColor="text1"/>
          <w:sz w:val="24"/>
          <w:szCs w:val="24"/>
          <w:lang w:val="en-GB"/>
        </w:rPr>
        <w:t xml:space="preserve"> derive maximum profit for the company.  Thus, it is analysed from the above part calculation of different costs based on their nature are helpful to determine most profitable and viable option. </w:t>
      </w:r>
    </w:p>
    <w:p w14:paraId="4CA10755" w14:textId="77777777" w:rsidR="00281FB0" w:rsidRDefault="00281FB0" w:rsidP="00281FB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14:paraId="58A33533" w14:textId="77777777" w:rsidR="00281FB0" w:rsidRDefault="00281FB0" w:rsidP="00F51891">
      <w:pPr>
        <w:pStyle w:val="Heading1"/>
      </w:pPr>
      <w:bookmarkStart w:id="10" w:name="_Toc70331432"/>
      <w:r>
        <w:lastRenderedPageBreak/>
        <w:t>References</w:t>
      </w:r>
      <w:bookmarkEnd w:id="10"/>
    </w:p>
    <w:p w14:paraId="6779C596" w14:textId="77777777" w:rsidR="002B2CFD" w:rsidRDefault="002B2CFD" w:rsidP="00281FB0">
      <w:pPr>
        <w:spacing w:line="360" w:lineRule="auto"/>
        <w:rPr>
          <w:rFonts w:ascii="Times New Roman" w:hAnsi="Times New Roman" w:cs="Times New Roman"/>
          <w:b/>
          <w:bCs/>
          <w:sz w:val="24"/>
          <w:szCs w:val="24"/>
          <w:lang w:val="en-GB"/>
        </w:rPr>
      </w:pPr>
    </w:p>
    <w:p w14:paraId="083CBFE5" w14:textId="03AB8E2B" w:rsidR="00281FB0" w:rsidRDefault="00281FB0" w:rsidP="00281FB0">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Part a</w:t>
      </w:r>
    </w:p>
    <w:p w14:paraId="1D9A69EB" w14:textId="77777777" w:rsidR="00281FB0" w:rsidRDefault="00281FB0" w:rsidP="00281FB0">
      <w:pPr>
        <w:spacing w:line="360" w:lineRule="auto"/>
        <w:rPr>
          <w:rFonts w:ascii="Times New Roman" w:hAnsi="Times New Roman" w:cs="Times New Roman"/>
          <w:color w:val="000000" w:themeColor="text1"/>
          <w:sz w:val="24"/>
          <w:szCs w:val="24"/>
          <w:shd w:val="clear" w:color="auto" w:fill="FBFBFB"/>
          <w:lang w:val="en-GB"/>
        </w:rPr>
      </w:pPr>
    </w:p>
    <w:p w14:paraId="47DE18EA" w14:textId="77777777" w:rsidR="00281FB0" w:rsidRPr="00D6431C" w:rsidRDefault="00281FB0" w:rsidP="00D6431C">
      <w:pPr>
        <w:spacing w:line="360" w:lineRule="auto"/>
        <w:rPr>
          <w:rFonts w:ascii="Times New Roman" w:hAnsi="Times New Roman" w:cs="Times New Roman"/>
          <w:color w:val="000000" w:themeColor="text1"/>
          <w:sz w:val="24"/>
          <w:szCs w:val="24"/>
          <w:lang w:val="en-GB"/>
        </w:rPr>
      </w:pPr>
      <w:r w:rsidRPr="00D6431C">
        <w:rPr>
          <w:rFonts w:ascii="Times New Roman" w:hAnsi="Times New Roman" w:cs="Times New Roman"/>
          <w:color w:val="000000" w:themeColor="text1"/>
          <w:sz w:val="24"/>
          <w:szCs w:val="24"/>
          <w:lang w:val="en-GB"/>
        </w:rPr>
        <w:t>Bai, C.A., Cordeiro, J. and Sarkis, J., 2020. Blockchain technology: Business, strategy, the environment, and sustainability.</w:t>
      </w:r>
      <w:r w:rsidRPr="00D6431C">
        <w:rPr>
          <w:rFonts w:ascii="Times New Roman" w:hAnsi="Times New Roman" w:cs="Times New Roman"/>
          <w:color w:val="000000" w:themeColor="text1"/>
          <w:sz w:val="24"/>
          <w:szCs w:val="24"/>
          <w:shd w:val="clear" w:color="auto" w:fill="FBFBFB"/>
          <w:lang w:val="en-GB"/>
        </w:rPr>
        <w:t xml:space="preserve"> </w:t>
      </w:r>
      <w:r w:rsidRPr="00D6431C">
        <w:rPr>
          <w:rFonts w:ascii="Times New Roman" w:hAnsi="Times New Roman" w:cs="Times New Roman"/>
          <w:color w:val="000000" w:themeColor="text1"/>
          <w:sz w:val="24"/>
          <w:szCs w:val="24"/>
          <w:lang w:val="en-GB"/>
        </w:rPr>
        <w:t>Bus. Strategy Environ, 29(1), pp.321-322.</w:t>
      </w:r>
    </w:p>
    <w:p w14:paraId="2E6E99DB" w14:textId="77777777" w:rsidR="00281FB0" w:rsidRPr="00D6431C" w:rsidRDefault="00281FB0" w:rsidP="00D6431C">
      <w:pPr>
        <w:spacing w:line="360" w:lineRule="auto"/>
        <w:rPr>
          <w:rFonts w:ascii="Times New Roman" w:hAnsi="Times New Roman" w:cs="Times New Roman"/>
          <w:color w:val="000000" w:themeColor="text1"/>
          <w:sz w:val="24"/>
          <w:szCs w:val="24"/>
          <w:lang w:val="en-GB"/>
        </w:rPr>
      </w:pPr>
      <w:r w:rsidRPr="00D6431C">
        <w:rPr>
          <w:rFonts w:ascii="Times New Roman" w:hAnsi="Times New Roman" w:cs="Times New Roman"/>
          <w:color w:val="000000" w:themeColor="text1"/>
          <w:sz w:val="24"/>
          <w:szCs w:val="24"/>
          <w:lang w:val="en-GB"/>
        </w:rPr>
        <w:br/>
        <w:t>Chen, X. and Koebel, B.M., 2017. Fixed cost, variable cost, markups and returns to scale.</w:t>
      </w:r>
      <w:r w:rsidRPr="00D6431C">
        <w:rPr>
          <w:rFonts w:ascii="Times New Roman" w:hAnsi="Times New Roman" w:cs="Times New Roman"/>
          <w:color w:val="000000" w:themeColor="text1"/>
          <w:sz w:val="24"/>
          <w:szCs w:val="24"/>
          <w:shd w:val="clear" w:color="auto" w:fill="FBFBFB"/>
          <w:lang w:val="en-GB"/>
        </w:rPr>
        <w:t xml:space="preserve"> </w:t>
      </w:r>
      <w:r w:rsidRPr="00D6431C">
        <w:rPr>
          <w:rFonts w:ascii="Times New Roman" w:hAnsi="Times New Roman" w:cs="Times New Roman"/>
          <w:color w:val="000000" w:themeColor="text1"/>
          <w:sz w:val="24"/>
          <w:szCs w:val="24"/>
          <w:lang w:val="en-GB"/>
        </w:rPr>
        <w:t xml:space="preserve">Annals of Economics and Statistics/Annales </w:t>
      </w:r>
      <w:proofErr w:type="spellStart"/>
      <w:r w:rsidRPr="00D6431C">
        <w:rPr>
          <w:rFonts w:ascii="Times New Roman" w:hAnsi="Times New Roman" w:cs="Times New Roman"/>
          <w:color w:val="000000" w:themeColor="text1"/>
          <w:sz w:val="24"/>
          <w:szCs w:val="24"/>
          <w:lang w:val="en-GB"/>
        </w:rPr>
        <w:t>d'Économie</w:t>
      </w:r>
      <w:proofErr w:type="spellEnd"/>
      <w:r w:rsidRPr="00D6431C">
        <w:rPr>
          <w:rFonts w:ascii="Times New Roman" w:hAnsi="Times New Roman" w:cs="Times New Roman"/>
          <w:color w:val="000000" w:themeColor="text1"/>
          <w:sz w:val="24"/>
          <w:szCs w:val="24"/>
          <w:lang w:val="en-GB"/>
        </w:rPr>
        <w:t xml:space="preserve"> et de </w:t>
      </w:r>
      <w:proofErr w:type="spellStart"/>
      <w:r w:rsidRPr="00D6431C">
        <w:rPr>
          <w:rFonts w:ascii="Times New Roman" w:hAnsi="Times New Roman" w:cs="Times New Roman"/>
          <w:color w:val="000000" w:themeColor="text1"/>
          <w:sz w:val="24"/>
          <w:szCs w:val="24"/>
          <w:lang w:val="en-GB"/>
        </w:rPr>
        <w:t>Statistique</w:t>
      </w:r>
      <w:proofErr w:type="spellEnd"/>
      <w:r w:rsidRPr="00D6431C">
        <w:rPr>
          <w:rFonts w:ascii="Times New Roman" w:hAnsi="Times New Roman" w:cs="Times New Roman"/>
          <w:color w:val="000000" w:themeColor="text1"/>
          <w:sz w:val="24"/>
          <w:szCs w:val="24"/>
          <w:lang w:val="en-GB"/>
        </w:rPr>
        <w:t>, (127), pp.61-94.</w:t>
      </w:r>
    </w:p>
    <w:p w14:paraId="64114005" w14:textId="77777777" w:rsidR="00281FB0" w:rsidRPr="00D6431C" w:rsidRDefault="00281FB0" w:rsidP="00281FB0">
      <w:pPr>
        <w:spacing w:line="360" w:lineRule="auto"/>
        <w:rPr>
          <w:rFonts w:ascii="Times New Roman" w:hAnsi="Times New Roman" w:cs="Times New Roman"/>
          <w:color w:val="000000" w:themeColor="text1"/>
          <w:sz w:val="24"/>
          <w:szCs w:val="24"/>
          <w:shd w:val="clear" w:color="auto" w:fill="FBFBFB"/>
          <w:lang w:val="en-GB"/>
        </w:rPr>
      </w:pPr>
    </w:p>
    <w:p w14:paraId="06A55983" w14:textId="56B2D132" w:rsidR="00281FB0" w:rsidRPr="00D6431C" w:rsidRDefault="00281FB0" w:rsidP="00281FB0">
      <w:pPr>
        <w:spacing w:line="360" w:lineRule="auto"/>
        <w:rPr>
          <w:rFonts w:ascii="Times New Roman" w:hAnsi="Times New Roman" w:cs="Times New Roman"/>
          <w:color w:val="000000" w:themeColor="text1"/>
          <w:sz w:val="24"/>
          <w:szCs w:val="24"/>
          <w:shd w:val="clear" w:color="auto" w:fill="FBFBFB"/>
          <w:lang w:val="en-GB"/>
        </w:rPr>
      </w:pPr>
      <w:r w:rsidRPr="00D6431C">
        <w:rPr>
          <w:rFonts w:ascii="Times New Roman" w:hAnsi="Times New Roman" w:cs="Times New Roman"/>
          <w:color w:val="000000" w:themeColor="text1"/>
          <w:sz w:val="24"/>
          <w:szCs w:val="24"/>
          <w:lang w:val="en-GB"/>
        </w:rPr>
        <w:t xml:space="preserve">Graff, J.S., Shih, C., Barker, T., </w:t>
      </w:r>
      <w:proofErr w:type="spellStart"/>
      <w:r w:rsidRPr="00D6431C">
        <w:rPr>
          <w:rFonts w:ascii="Times New Roman" w:hAnsi="Times New Roman" w:cs="Times New Roman"/>
          <w:color w:val="000000" w:themeColor="text1"/>
          <w:sz w:val="24"/>
          <w:szCs w:val="24"/>
          <w:lang w:val="en-GB"/>
        </w:rPr>
        <w:t>Dieguez</w:t>
      </w:r>
      <w:proofErr w:type="spellEnd"/>
      <w:r w:rsidRPr="00D6431C">
        <w:rPr>
          <w:rFonts w:ascii="Times New Roman" w:hAnsi="Times New Roman" w:cs="Times New Roman"/>
          <w:color w:val="000000" w:themeColor="text1"/>
          <w:sz w:val="24"/>
          <w:szCs w:val="24"/>
          <w:lang w:val="en-GB"/>
        </w:rPr>
        <w:t>, G., Larson, C., Sherman, H. and Dubois, R.W., 2017. Does a One-Size-Fits-All Cost-Sharing Approach Incentivize Appropriate Medication Use? A Roundtable on the Fairness and Ethics Associated with Variable Cost Sharing. Journal of managed care &amp; specialty pharmacy, 23(6), pp.621-627</w:t>
      </w:r>
      <w:r w:rsidRPr="00D6431C">
        <w:rPr>
          <w:rFonts w:ascii="Times New Roman" w:hAnsi="Times New Roman" w:cs="Times New Roman"/>
          <w:color w:val="000000" w:themeColor="text1"/>
          <w:sz w:val="24"/>
          <w:szCs w:val="24"/>
          <w:shd w:val="clear" w:color="auto" w:fill="FBFBFB"/>
          <w:lang w:val="en-GB"/>
        </w:rPr>
        <w:t>.</w:t>
      </w:r>
    </w:p>
    <w:p w14:paraId="2510477A" w14:textId="77777777" w:rsidR="002B2CFD" w:rsidRPr="00D6431C" w:rsidRDefault="002B2CFD" w:rsidP="00281FB0">
      <w:pPr>
        <w:spacing w:line="360" w:lineRule="auto"/>
        <w:rPr>
          <w:rFonts w:ascii="Times New Roman" w:hAnsi="Times New Roman" w:cs="Times New Roman"/>
          <w:color w:val="000000" w:themeColor="text1"/>
          <w:sz w:val="24"/>
          <w:szCs w:val="24"/>
          <w:shd w:val="clear" w:color="auto" w:fill="FBFBFB"/>
          <w:lang w:val="en-GB"/>
        </w:rPr>
      </w:pPr>
    </w:p>
    <w:p w14:paraId="10679C95" w14:textId="77777777" w:rsidR="00281FB0" w:rsidRPr="00D6431C" w:rsidRDefault="00281FB0" w:rsidP="00281FB0">
      <w:pPr>
        <w:spacing w:line="360" w:lineRule="auto"/>
        <w:rPr>
          <w:rFonts w:ascii="Times New Roman" w:hAnsi="Times New Roman" w:cs="Times New Roman"/>
          <w:color w:val="000000" w:themeColor="text1"/>
          <w:sz w:val="24"/>
          <w:szCs w:val="24"/>
          <w:shd w:val="clear" w:color="auto" w:fill="FBFBFB"/>
          <w:lang w:val="en-GB"/>
        </w:rPr>
      </w:pPr>
      <w:proofErr w:type="spellStart"/>
      <w:r w:rsidRPr="00D6431C">
        <w:rPr>
          <w:rFonts w:ascii="Times New Roman" w:hAnsi="Times New Roman" w:cs="Times New Roman"/>
          <w:color w:val="000000" w:themeColor="text1"/>
          <w:sz w:val="24"/>
          <w:szCs w:val="24"/>
          <w:lang w:val="en-GB"/>
        </w:rPr>
        <w:t>Irawan</w:t>
      </w:r>
      <w:proofErr w:type="spellEnd"/>
      <w:r w:rsidRPr="00D6431C">
        <w:rPr>
          <w:rFonts w:ascii="Times New Roman" w:hAnsi="Times New Roman" w:cs="Times New Roman"/>
          <w:color w:val="000000" w:themeColor="text1"/>
          <w:sz w:val="24"/>
          <w:szCs w:val="24"/>
          <w:lang w:val="en-GB"/>
        </w:rPr>
        <w:t xml:space="preserve">, C.A., Luis, M., </w:t>
      </w:r>
      <w:proofErr w:type="spellStart"/>
      <w:r w:rsidRPr="00D6431C">
        <w:rPr>
          <w:rFonts w:ascii="Times New Roman" w:hAnsi="Times New Roman" w:cs="Times New Roman"/>
          <w:color w:val="000000" w:themeColor="text1"/>
          <w:sz w:val="24"/>
          <w:szCs w:val="24"/>
          <w:lang w:val="en-GB"/>
        </w:rPr>
        <w:t>Salhi</w:t>
      </w:r>
      <w:proofErr w:type="spellEnd"/>
      <w:r w:rsidRPr="00D6431C">
        <w:rPr>
          <w:rFonts w:ascii="Times New Roman" w:hAnsi="Times New Roman" w:cs="Times New Roman"/>
          <w:color w:val="000000" w:themeColor="text1"/>
          <w:sz w:val="24"/>
          <w:szCs w:val="24"/>
          <w:lang w:val="en-GB"/>
        </w:rPr>
        <w:t>, S. and Imran, A., 2019. The incorporation of fixed cost and multilevel capacities into the discrete and continuous single source capacitated facility</w:t>
      </w:r>
      <w:r w:rsidRPr="00D6431C">
        <w:rPr>
          <w:rFonts w:ascii="Times New Roman" w:hAnsi="Times New Roman" w:cs="Times New Roman"/>
          <w:color w:val="000000" w:themeColor="text1"/>
          <w:sz w:val="24"/>
          <w:szCs w:val="24"/>
          <w:shd w:val="clear" w:color="auto" w:fill="FBFBFB"/>
          <w:lang w:val="en-GB"/>
        </w:rPr>
        <w:t xml:space="preserve"> </w:t>
      </w:r>
      <w:r w:rsidRPr="00D6431C">
        <w:rPr>
          <w:rFonts w:ascii="Times New Roman" w:hAnsi="Times New Roman" w:cs="Times New Roman"/>
          <w:color w:val="000000" w:themeColor="text1"/>
          <w:sz w:val="24"/>
          <w:szCs w:val="24"/>
          <w:lang w:val="en-GB"/>
        </w:rPr>
        <w:t>location problem. Annals of Operations Research, 275(2), pp.367-392.</w:t>
      </w:r>
    </w:p>
    <w:p w14:paraId="71EEB720" w14:textId="77777777" w:rsidR="00281FB0" w:rsidRPr="00D6431C" w:rsidRDefault="00281FB0" w:rsidP="00281FB0">
      <w:pPr>
        <w:spacing w:line="360" w:lineRule="auto"/>
        <w:rPr>
          <w:rFonts w:ascii="Times New Roman" w:hAnsi="Times New Roman" w:cs="Times New Roman"/>
          <w:color w:val="000000" w:themeColor="text1"/>
          <w:sz w:val="24"/>
          <w:szCs w:val="24"/>
          <w:shd w:val="clear" w:color="auto" w:fill="FBFBFB"/>
          <w:lang w:val="en-GB"/>
        </w:rPr>
      </w:pPr>
      <w:r w:rsidRPr="00D6431C">
        <w:rPr>
          <w:rFonts w:ascii="Times New Roman" w:hAnsi="Times New Roman" w:cs="Times New Roman"/>
          <w:color w:val="000000" w:themeColor="text1"/>
          <w:sz w:val="24"/>
          <w:szCs w:val="24"/>
          <w:lang w:val="en-GB"/>
        </w:rPr>
        <w:br/>
        <w:t>Li, F., Zhu, Q. and Chen, Z., 2019. Allocating a fixed cost across the decision-making units with two-stage network structures. Omega, 83, pp.139-154.</w:t>
      </w:r>
    </w:p>
    <w:p w14:paraId="6DF42CE6" w14:textId="77777777" w:rsidR="00281FB0" w:rsidRPr="00D6431C" w:rsidRDefault="00281FB0" w:rsidP="00281FB0">
      <w:pPr>
        <w:spacing w:line="360" w:lineRule="auto"/>
        <w:rPr>
          <w:rFonts w:ascii="Times New Roman" w:hAnsi="Times New Roman" w:cs="Times New Roman"/>
          <w:color w:val="000000" w:themeColor="text1"/>
          <w:sz w:val="24"/>
          <w:szCs w:val="24"/>
          <w:shd w:val="clear" w:color="auto" w:fill="FBFBFB"/>
          <w:lang w:val="en-GB"/>
        </w:rPr>
      </w:pPr>
      <w:r w:rsidRPr="00D6431C">
        <w:rPr>
          <w:rFonts w:ascii="Times New Roman" w:hAnsi="Times New Roman" w:cs="Times New Roman"/>
          <w:color w:val="000000" w:themeColor="text1"/>
          <w:sz w:val="24"/>
          <w:szCs w:val="24"/>
          <w:lang w:val="en-GB"/>
        </w:rPr>
        <w:br/>
        <w:t>Lim, E.K., Chalmers, K. and Hanlon, D., 2018. The influence of business strategy on annual</w:t>
      </w:r>
      <w:r w:rsidRPr="00D6431C">
        <w:rPr>
          <w:rFonts w:ascii="Times New Roman" w:hAnsi="Times New Roman" w:cs="Times New Roman"/>
          <w:color w:val="000000" w:themeColor="text1"/>
          <w:sz w:val="24"/>
          <w:szCs w:val="24"/>
          <w:shd w:val="clear" w:color="auto" w:fill="FBFBFB"/>
          <w:lang w:val="en-GB"/>
        </w:rPr>
        <w:t xml:space="preserve"> </w:t>
      </w:r>
      <w:r w:rsidRPr="00D6431C">
        <w:rPr>
          <w:rFonts w:ascii="Times New Roman" w:hAnsi="Times New Roman" w:cs="Times New Roman"/>
          <w:color w:val="000000" w:themeColor="text1"/>
          <w:sz w:val="24"/>
          <w:szCs w:val="24"/>
          <w:lang w:val="en-GB"/>
        </w:rPr>
        <w:t>report readability. Journal of Accounting and Public Policy, 37(1), pp.65-81.</w:t>
      </w:r>
    </w:p>
    <w:p w14:paraId="4B6B7182" w14:textId="51FD4080" w:rsidR="00281FB0" w:rsidRPr="00D6431C" w:rsidRDefault="00281FB0" w:rsidP="00281FB0">
      <w:pPr>
        <w:spacing w:line="360" w:lineRule="auto"/>
        <w:rPr>
          <w:rFonts w:ascii="Times New Roman" w:hAnsi="Times New Roman" w:cs="Times New Roman"/>
          <w:color w:val="000000" w:themeColor="text1"/>
          <w:sz w:val="24"/>
          <w:szCs w:val="24"/>
          <w:shd w:val="clear" w:color="auto" w:fill="FBFBFB"/>
          <w:lang w:val="en-GB"/>
        </w:rPr>
      </w:pPr>
      <w:r w:rsidRPr="00D6431C">
        <w:rPr>
          <w:rFonts w:ascii="Times New Roman" w:hAnsi="Times New Roman" w:cs="Times New Roman"/>
          <w:color w:val="000000" w:themeColor="text1"/>
          <w:sz w:val="24"/>
          <w:szCs w:val="24"/>
          <w:lang w:val="en-GB"/>
        </w:rPr>
        <w:br/>
        <w:t>Liu, Y. and</w:t>
      </w:r>
      <w:r w:rsidRPr="00D6431C">
        <w:rPr>
          <w:rFonts w:ascii="Times New Roman" w:hAnsi="Times New Roman" w:cs="Times New Roman"/>
          <w:color w:val="000000" w:themeColor="text1"/>
          <w:sz w:val="24"/>
          <w:szCs w:val="24"/>
          <w:shd w:val="clear" w:color="auto" w:fill="FBFBFB"/>
          <w:lang w:val="en-GB"/>
        </w:rPr>
        <w:t xml:space="preserve"> </w:t>
      </w:r>
      <w:r w:rsidRPr="00D6431C">
        <w:rPr>
          <w:rFonts w:ascii="Times New Roman" w:hAnsi="Times New Roman" w:cs="Times New Roman"/>
          <w:color w:val="000000" w:themeColor="text1"/>
          <w:sz w:val="24"/>
          <w:szCs w:val="24"/>
          <w:lang w:val="en-GB"/>
        </w:rPr>
        <w:t>Tyagi, R.K., 2017. Outsourcing to convert fixed costs into variable costs: A competitive analysis.</w:t>
      </w:r>
      <w:r w:rsidR="00D6431C">
        <w:rPr>
          <w:rFonts w:ascii="Times New Roman" w:hAnsi="Times New Roman" w:cs="Times New Roman"/>
          <w:color w:val="000000" w:themeColor="text1"/>
          <w:sz w:val="24"/>
          <w:szCs w:val="24"/>
          <w:shd w:val="clear" w:color="auto" w:fill="FBFBFB"/>
          <w:lang w:val="en-GB"/>
        </w:rPr>
        <w:t xml:space="preserve"> </w:t>
      </w:r>
      <w:r w:rsidRPr="00D6431C">
        <w:rPr>
          <w:rFonts w:ascii="Times New Roman" w:hAnsi="Times New Roman" w:cs="Times New Roman"/>
          <w:color w:val="000000" w:themeColor="text1"/>
          <w:sz w:val="24"/>
          <w:szCs w:val="24"/>
          <w:lang w:val="en-GB"/>
        </w:rPr>
        <w:t>International Journal of Research in Marketing, 34(1), pp.252-264.</w:t>
      </w:r>
    </w:p>
    <w:p w14:paraId="73EE6F1A" w14:textId="77777777" w:rsidR="00281FB0" w:rsidRDefault="00281FB0" w:rsidP="00281FB0">
      <w:pPr>
        <w:spacing w:line="360" w:lineRule="auto"/>
        <w:rPr>
          <w:rFonts w:ascii="Times New Roman" w:hAnsi="Times New Roman" w:cs="Times New Roman"/>
          <w:color w:val="000000" w:themeColor="text1"/>
          <w:sz w:val="24"/>
          <w:szCs w:val="24"/>
          <w:shd w:val="clear" w:color="auto" w:fill="FBFBFB"/>
          <w:lang w:val="en-GB"/>
        </w:rPr>
      </w:pPr>
      <w:r w:rsidRPr="00D6431C">
        <w:rPr>
          <w:rFonts w:ascii="Times New Roman" w:hAnsi="Times New Roman" w:cs="Times New Roman"/>
          <w:color w:val="000000" w:themeColor="text1"/>
          <w:sz w:val="24"/>
          <w:szCs w:val="24"/>
          <w:lang w:val="en-GB"/>
        </w:rPr>
        <w:br/>
        <w:t xml:space="preserve">Li, Y., Li, F., </w:t>
      </w:r>
      <w:proofErr w:type="spellStart"/>
      <w:r w:rsidRPr="00D6431C">
        <w:rPr>
          <w:rFonts w:ascii="Times New Roman" w:hAnsi="Times New Roman" w:cs="Times New Roman"/>
          <w:color w:val="000000" w:themeColor="text1"/>
          <w:sz w:val="24"/>
          <w:szCs w:val="24"/>
          <w:lang w:val="en-GB"/>
        </w:rPr>
        <w:t>Emrouznejad</w:t>
      </w:r>
      <w:proofErr w:type="spellEnd"/>
      <w:r w:rsidRPr="00D6431C">
        <w:rPr>
          <w:rFonts w:ascii="Times New Roman" w:hAnsi="Times New Roman" w:cs="Times New Roman"/>
          <w:color w:val="000000" w:themeColor="text1"/>
          <w:sz w:val="24"/>
          <w:szCs w:val="24"/>
          <w:lang w:val="en-GB"/>
        </w:rPr>
        <w:t xml:space="preserve">, A., Liang, L. and </w:t>
      </w:r>
      <w:proofErr w:type="spellStart"/>
      <w:r w:rsidRPr="00D6431C">
        <w:rPr>
          <w:rFonts w:ascii="Times New Roman" w:hAnsi="Times New Roman" w:cs="Times New Roman"/>
          <w:color w:val="000000" w:themeColor="text1"/>
          <w:sz w:val="24"/>
          <w:szCs w:val="24"/>
          <w:lang w:val="en-GB"/>
        </w:rPr>
        <w:t>Xie</w:t>
      </w:r>
      <w:proofErr w:type="spellEnd"/>
      <w:r w:rsidRPr="00D6431C">
        <w:rPr>
          <w:rFonts w:ascii="Times New Roman" w:hAnsi="Times New Roman" w:cs="Times New Roman"/>
          <w:color w:val="000000" w:themeColor="text1"/>
          <w:sz w:val="24"/>
          <w:szCs w:val="24"/>
          <w:lang w:val="en-GB"/>
        </w:rPr>
        <w:t>, Q., 2019. Allocating the fixed cost: an approach based on data envelopment analysis and cooperative game. Annals of Operations Research, 274(1), pp.373-394.</w:t>
      </w:r>
      <w:r w:rsidRPr="00D6431C">
        <w:rPr>
          <w:rFonts w:ascii="Times New Roman" w:hAnsi="Times New Roman" w:cs="Times New Roman"/>
          <w:color w:val="000000" w:themeColor="text1"/>
          <w:sz w:val="24"/>
          <w:szCs w:val="24"/>
          <w:lang w:val="en-GB"/>
        </w:rPr>
        <w:br/>
      </w:r>
    </w:p>
    <w:p w14:paraId="0495BA6E" w14:textId="77777777" w:rsidR="00C81D3A" w:rsidRDefault="00C81D3A" w:rsidP="00281FB0">
      <w:pPr>
        <w:spacing w:line="360" w:lineRule="auto"/>
        <w:jc w:val="both"/>
        <w:rPr>
          <w:rFonts w:ascii="Times New Roman" w:hAnsi="Times New Roman" w:cs="Times New Roman"/>
          <w:b/>
          <w:bCs/>
          <w:color w:val="000000" w:themeColor="text1"/>
          <w:sz w:val="24"/>
          <w:szCs w:val="24"/>
          <w:shd w:val="clear" w:color="auto" w:fill="FFFFFF"/>
          <w:lang w:val="en-GB"/>
        </w:rPr>
      </w:pPr>
    </w:p>
    <w:p w14:paraId="1D292159" w14:textId="5F596C1F" w:rsidR="00281FB0" w:rsidRDefault="00281FB0" w:rsidP="00281FB0">
      <w:pPr>
        <w:spacing w:line="360" w:lineRule="auto"/>
        <w:jc w:val="both"/>
        <w:rPr>
          <w:rFonts w:ascii="Times New Roman" w:hAnsi="Times New Roman" w:cs="Times New Roman"/>
          <w:b/>
          <w:bCs/>
          <w:color w:val="000000" w:themeColor="text1"/>
          <w:sz w:val="24"/>
          <w:szCs w:val="24"/>
          <w:shd w:val="clear" w:color="auto" w:fill="FFFFFF"/>
          <w:lang w:val="en-GB"/>
        </w:rPr>
      </w:pPr>
      <w:r>
        <w:rPr>
          <w:rFonts w:ascii="Times New Roman" w:hAnsi="Times New Roman" w:cs="Times New Roman"/>
          <w:b/>
          <w:bCs/>
          <w:color w:val="000000" w:themeColor="text1"/>
          <w:sz w:val="24"/>
          <w:szCs w:val="24"/>
          <w:shd w:val="clear" w:color="auto" w:fill="FFFFFF"/>
          <w:lang w:val="en-GB"/>
        </w:rPr>
        <w:lastRenderedPageBreak/>
        <w:t>Part b</w:t>
      </w:r>
    </w:p>
    <w:p w14:paraId="4DF11232" w14:textId="77777777" w:rsidR="00281FB0" w:rsidRDefault="00281FB0" w:rsidP="00281FB0">
      <w:pPr>
        <w:spacing w:line="360" w:lineRule="auto"/>
        <w:jc w:val="both"/>
        <w:rPr>
          <w:rFonts w:ascii="Times New Roman" w:hAnsi="Times New Roman" w:cs="Times New Roman"/>
          <w:b/>
          <w:bCs/>
          <w:color w:val="000000" w:themeColor="text1"/>
          <w:sz w:val="24"/>
          <w:szCs w:val="24"/>
          <w:shd w:val="clear" w:color="auto" w:fill="FFFFFF"/>
          <w:lang w:val="en-GB"/>
        </w:rPr>
      </w:pPr>
    </w:p>
    <w:p w14:paraId="3453F137"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Băițan</w:t>
      </w:r>
      <w:proofErr w:type="spellEnd"/>
      <w:r>
        <w:rPr>
          <w:rFonts w:ascii="Times New Roman" w:hAnsi="Times New Roman" w:cs="Times New Roman"/>
          <w:color w:val="000000" w:themeColor="text1"/>
          <w:sz w:val="24"/>
          <w:szCs w:val="24"/>
          <w:shd w:val="clear" w:color="auto" w:fill="FFFFFF"/>
          <w:lang w:val="en-GB"/>
        </w:rPr>
        <w:t xml:space="preserve">, </w:t>
      </w:r>
      <w:proofErr w:type="spellStart"/>
      <w:r>
        <w:rPr>
          <w:rFonts w:ascii="Times New Roman" w:hAnsi="Times New Roman" w:cs="Times New Roman"/>
          <w:color w:val="000000" w:themeColor="text1"/>
          <w:sz w:val="24"/>
          <w:szCs w:val="24"/>
          <w:shd w:val="clear" w:color="auto" w:fill="FFFFFF"/>
          <w:lang w:val="en-GB"/>
        </w:rPr>
        <w:t>g.f</w:t>
      </w:r>
      <w:proofErr w:type="spellEnd"/>
      <w:r>
        <w:rPr>
          <w:rFonts w:ascii="Times New Roman" w:hAnsi="Times New Roman" w:cs="Times New Roman"/>
          <w:color w:val="000000" w:themeColor="text1"/>
          <w:sz w:val="24"/>
          <w:szCs w:val="24"/>
          <w:shd w:val="clear" w:color="auto" w:fill="FFFFFF"/>
          <w:lang w:val="en-GB"/>
        </w:rPr>
        <w:t>., 2020. The importance of physical training in the military using the sandbag for fitness. </w:t>
      </w:r>
      <w:r>
        <w:rPr>
          <w:rFonts w:ascii="Times New Roman" w:hAnsi="Times New Roman" w:cs="Times New Roman"/>
          <w:i/>
          <w:iCs/>
          <w:color w:val="000000" w:themeColor="text1"/>
          <w:sz w:val="24"/>
          <w:szCs w:val="24"/>
          <w:shd w:val="clear" w:color="auto" w:fill="FFFFFF"/>
          <w:lang w:val="en-GB"/>
        </w:rPr>
        <w:t>Bulletin of "Carol I “National Defence University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9</w:t>
      </w:r>
      <w:r>
        <w:rPr>
          <w:rFonts w:ascii="Times New Roman" w:hAnsi="Times New Roman" w:cs="Times New Roman"/>
          <w:color w:val="000000" w:themeColor="text1"/>
          <w:sz w:val="24"/>
          <w:szCs w:val="24"/>
          <w:shd w:val="clear" w:color="auto" w:fill="FFFFFF"/>
          <w:lang w:val="en-GB"/>
        </w:rPr>
        <w:t>(3), pp.176-182.</w:t>
      </w:r>
    </w:p>
    <w:p w14:paraId="135997C9" w14:textId="77777777" w:rsidR="00281FB0" w:rsidRDefault="00281FB0" w:rsidP="00281FB0">
      <w:pPr>
        <w:spacing w:line="360" w:lineRule="auto"/>
        <w:rPr>
          <w:rFonts w:ascii="Times New Roman" w:hAnsi="Times New Roman" w:cs="Times New Roman"/>
          <w:b/>
          <w:bCs/>
          <w:color w:val="000000" w:themeColor="text1"/>
          <w:sz w:val="24"/>
          <w:szCs w:val="24"/>
          <w:shd w:val="clear" w:color="auto" w:fill="FFFFFF"/>
          <w:lang w:val="en-GB"/>
        </w:rPr>
      </w:pPr>
    </w:p>
    <w:p w14:paraId="6F20B476"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Gutierrez Rodriguez, A.J., </w:t>
      </w:r>
      <w:proofErr w:type="spellStart"/>
      <w:r>
        <w:rPr>
          <w:rFonts w:ascii="Times New Roman" w:hAnsi="Times New Roman" w:cs="Times New Roman"/>
          <w:color w:val="000000" w:themeColor="text1"/>
          <w:sz w:val="24"/>
          <w:szCs w:val="24"/>
          <w:shd w:val="clear" w:color="auto" w:fill="FFFFFF"/>
          <w:lang w:val="en-GB"/>
        </w:rPr>
        <w:t>Barón</w:t>
      </w:r>
      <w:proofErr w:type="spellEnd"/>
      <w:r>
        <w:rPr>
          <w:rFonts w:ascii="Times New Roman" w:hAnsi="Times New Roman" w:cs="Times New Roman"/>
          <w:color w:val="000000" w:themeColor="text1"/>
          <w:sz w:val="24"/>
          <w:szCs w:val="24"/>
          <w:shd w:val="clear" w:color="auto" w:fill="FFFFFF"/>
          <w:lang w:val="en-GB"/>
        </w:rPr>
        <w:t xml:space="preserve">, N.J. and </w:t>
      </w:r>
      <w:proofErr w:type="spellStart"/>
      <w:r>
        <w:rPr>
          <w:rFonts w:ascii="Times New Roman" w:hAnsi="Times New Roman" w:cs="Times New Roman"/>
          <w:color w:val="000000" w:themeColor="text1"/>
          <w:sz w:val="24"/>
          <w:szCs w:val="24"/>
          <w:shd w:val="clear" w:color="auto" w:fill="FFFFFF"/>
          <w:lang w:val="en-GB"/>
        </w:rPr>
        <w:t>Guaita</w:t>
      </w:r>
      <w:proofErr w:type="spellEnd"/>
      <w:r>
        <w:rPr>
          <w:rFonts w:ascii="Times New Roman" w:hAnsi="Times New Roman" w:cs="Times New Roman"/>
          <w:color w:val="000000" w:themeColor="text1"/>
          <w:sz w:val="24"/>
          <w:szCs w:val="24"/>
          <w:shd w:val="clear" w:color="auto" w:fill="FFFFFF"/>
          <w:lang w:val="en-GB"/>
        </w:rPr>
        <w:t xml:space="preserve"> Martinez, J.M., 2020. Validity of dynamic capabilities in the operation based on new sustainability narratives on nature tourism SMEs and clusters. </w:t>
      </w:r>
      <w:r>
        <w:rPr>
          <w:rFonts w:ascii="Times New Roman" w:hAnsi="Times New Roman" w:cs="Times New Roman"/>
          <w:i/>
          <w:iCs/>
          <w:color w:val="000000" w:themeColor="text1"/>
          <w:sz w:val="24"/>
          <w:szCs w:val="24"/>
          <w:shd w:val="clear" w:color="auto" w:fill="FFFFFF"/>
          <w:lang w:val="en-GB"/>
        </w:rPr>
        <w:t>Sustainability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12</w:t>
      </w:r>
      <w:r>
        <w:rPr>
          <w:rFonts w:ascii="Times New Roman" w:hAnsi="Times New Roman" w:cs="Times New Roman"/>
          <w:color w:val="000000" w:themeColor="text1"/>
          <w:sz w:val="24"/>
          <w:szCs w:val="24"/>
          <w:shd w:val="clear" w:color="auto" w:fill="FFFFFF"/>
          <w:lang w:val="en-GB"/>
        </w:rPr>
        <w:t>(3), p.1004.</w:t>
      </w:r>
    </w:p>
    <w:p w14:paraId="54B806C8"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
    <w:p w14:paraId="32E9007F"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Liburd, J.J. and </w:t>
      </w:r>
      <w:proofErr w:type="spellStart"/>
      <w:r>
        <w:rPr>
          <w:rFonts w:ascii="Times New Roman" w:hAnsi="Times New Roman" w:cs="Times New Roman"/>
          <w:color w:val="000000" w:themeColor="text1"/>
          <w:sz w:val="24"/>
          <w:szCs w:val="24"/>
          <w:shd w:val="clear" w:color="auto" w:fill="FFFFFF"/>
          <w:lang w:val="en-GB"/>
        </w:rPr>
        <w:t>Becken</w:t>
      </w:r>
      <w:proofErr w:type="spellEnd"/>
      <w:r>
        <w:rPr>
          <w:rFonts w:ascii="Times New Roman" w:hAnsi="Times New Roman" w:cs="Times New Roman"/>
          <w:color w:val="000000" w:themeColor="text1"/>
          <w:sz w:val="24"/>
          <w:szCs w:val="24"/>
          <w:shd w:val="clear" w:color="auto" w:fill="FFFFFF"/>
          <w:lang w:val="en-GB"/>
        </w:rPr>
        <w:t xml:space="preserve">, S., 2017. Values in nature conservation, </w:t>
      </w:r>
      <w:proofErr w:type="gramStart"/>
      <w:r>
        <w:rPr>
          <w:rFonts w:ascii="Times New Roman" w:hAnsi="Times New Roman" w:cs="Times New Roman"/>
          <w:color w:val="000000" w:themeColor="text1"/>
          <w:sz w:val="24"/>
          <w:szCs w:val="24"/>
          <w:shd w:val="clear" w:color="auto" w:fill="FFFFFF"/>
          <w:lang w:val="en-GB"/>
        </w:rPr>
        <w:t>tourism</w:t>
      </w:r>
      <w:proofErr w:type="gramEnd"/>
      <w:r>
        <w:rPr>
          <w:rFonts w:ascii="Times New Roman" w:hAnsi="Times New Roman" w:cs="Times New Roman"/>
          <w:color w:val="000000" w:themeColor="text1"/>
          <w:sz w:val="24"/>
          <w:szCs w:val="24"/>
          <w:shd w:val="clear" w:color="auto" w:fill="FFFFFF"/>
          <w:lang w:val="en-GB"/>
        </w:rPr>
        <w:t xml:space="preserve"> and UNESCO World Heritage Site stewardship. </w:t>
      </w:r>
      <w:r>
        <w:rPr>
          <w:rFonts w:ascii="Times New Roman" w:hAnsi="Times New Roman" w:cs="Times New Roman"/>
          <w:i/>
          <w:iCs/>
          <w:color w:val="000000" w:themeColor="text1"/>
          <w:sz w:val="24"/>
          <w:szCs w:val="24"/>
          <w:shd w:val="clear" w:color="auto" w:fill="FFFFFF"/>
          <w:lang w:val="en-GB"/>
        </w:rPr>
        <w:t>Journal of Sustainable Tourism</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25</w:t>
      </w:r>
      <w:r>
        <w:rPr>
          <w:rFonts w:ascii="Times New Roman" w:hAnsi="Times New Roman" w:cs="Times New Roman"/>
          <w:color w:val="000000" w:themeColor="text1"/>
          <w:sz w:val="24"/>
          <w:szCs w:val="24"/>
          <w:shd w:val="clear" w:color="auto" w:fill="FFFFFF"/>
          <w:lang w:val="en-GB"/>
        </w:rPr>
        <w:t>(12), pp.1719-1735.</w:t>
      </w:r>
    </w:p>
    <w:p w14:paraId="2FC4D9CF"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
    <w:p w14:paraId="2DE4B397"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Purwanto</w:t>
      </w:r>
      <w:proofErr w:type="spellEnd"/>
      <w:r>
        <w:rPr>
          <w:rFonts w:ascii="Times New Roman" w:hAnsi="Times New Roman" w:cs="Times New Roman"/>
          <w:color w:val="000000" w:themeColor="text1"/>
          <w:sz w:val="24"/>
          <w:szCs w:val="24"/>
          <w:shd w:val="clear" w:color="auto" w:fill="FFFFFF"/>
          <w:lang w:val="en-GB"/>
        </w:rPr>
        <w:t xml:space="preserve">, A., </w:t>
      </w:r>
      <w:proofErr w:type="spellStart"/>
      <w:r>
        <w:rPr>
          <w:rFonts w:ascii="Times New Roman" w:hAnsi="Times New Roman" w:cs="Times New Roman"/>
          <w:color w:val="000000" w:themeColor="text1"/>
          <w:sz w:val="24"/>
          <w:szCs w:val="24"/>
          <w:shd w:val="clear" w:color="auto" w:fill="FFFFFF"/>
          <w:lang w:val="en-GB"/>
        </w:rPr>
        <w:t>Asbari</w:t>
      </w:r>
      <w:proofErr w:type="spellEnd"/>
      <w:r>
        <w:rPr>
          <w:rFonts w:ascii="Times New Roman" w:hAnsi="Times New Roman" w:cs="Times New Roman"/>
          <w:color w:val="000000" w:themeColor="text1"/>
          <w:sz w:val="24"/>
          <w:szCs w:val="24"/>
          <w:shd w:val="clear" w:color="auto" w:fill="FFFFFF"/>
          <w:lang w:val="en-GB"/>
        </w:rPr>
        <w:t xml:space="preserve">, M., </w:t>
      </w:r>
      <w:proofErr w:type="spellStart"/>
      <w:r>
        <w:rPr>
          <w:rFonts w:ascii="Times New Roman" w:hAnsi="Times New Roman" w:cs="Times New Roman"/>
          <w:color w:val="000000" w:themeColor="text1"/>
          <w:sz w:val="24"/>
          <w:szCs w:val="24"/>
          <w:shd w:val="clear" w:color="auto" w:fill="FFFFFF"/>
          <w:lang w:val="en-GB"/>
        </w:rPr>
        <w:t>Fahlevi</w:t>
      </w:r>
      <w:proofErr w:type="spellEnd"/>
      <w:r>
        <w:rPr>
          <w:rFonts w:ascii="Times New Roman" w:hAnsi="Times New Roman" w:cs="Times New Roman"/>
          <w:color w:val="000000" w:themeColor="text1"/>
          <w:sz w:val="24"/>
          <w:szCs w:val="24"/>
          <w:shd w:val="clear" w:color="auto" w:fill="FFFFFF"/>
          <w:lang w:val="en-GB"/>
        </w:rPr>
        <w:t xml:space="preserve">, M., </w:t>
      </w:r>
      <w:proofErr w:type="spellStart"/>
      <w:r>
        <w:rPr>
          <w:rFonts w:ascii="Times New Roman" w:hAnsi="Times New Roman" w:cs="Times New Roman"/>
          <w:color w:val="000000" w:themeColor="text1"/>
          <w:sz w:val="24"/>
          <w:szCs w:val="24"/>
          <w:shd w:val="clear" w:color="auto" w:fill="FFFFFF"/>
          <w:lang w:val="en-GB"/>
        </w:rPr>
        <w:t>Mufid</w:t>
      </w:r>
      <w:proofErr w:type="spellEnd"/>
      <w:r>
        <w:rPr>
          <w:rFonts w:ascii="Times New Roman" w:hAnsi="Times New Roman" w:cs="Times New Roman"/>
          <w:color w:val="000000" w:themeColor="text1"/>
          <w:sz w:val="24"/>
          <w:szCs w:val="24"/>
          <w:shd w:val="clear" w:color="auto" w:fill="FFFFFF"/>
          <w:lang w:val="en-GB"/>
        </w:rPr>
        <w:t xml:space="preserve">, A., </w:t>
      </w:r>
      <w:proofErr w:type="spellStart"/>
      <w:r>
        <w:rPr>
          <w:rFonts w:ascii="Times New Roman" w:hAnsi="Times New Roman" w:cs="Times New Roman"/>
          <w:color w:val="000000" w:themeColor="text1"/>
          <w:sz w:val="24"/>
          <w:szCs w:val="24"/>
          <w:shd w:val="clear" w:color="auto" w:fill="FFFFFF"/>
          <w:lang w:val="en-GB"/>
        </w:rPr>
        <w:t>Agistiawati</w:t>
      </w:r>
      <w:proofErr w:type="spellEnd"/>
      <w:r>
        <w:rPr>
          <w:rFonts w:ascii="Times New Roman" w:hAnsi="Times New Roman" w:cs="Times New Roman"/>
          <w:color w:val="000000" w:themeColor="text1"/>
          <w:sz w:val="24"/>
          <w:szCs w:val="24"/>
          <w:shd w:val="clear" w:color="auto" w:fill="FFFFFF"/>
          <w:lang w:val="en-GB"/>
        </w:rPr>
        <w:t xml:space="preserve">, E., </w:t>
      </w:r>
      <w:proofErr w:type="spellStart"/>
      <w:r>
        <w:rPr>
          <w:rFonts w:ascii="Times New Roman" w:hAnsi="Times New Roman" w:cs="Times New Roman"/>
          <w:color w:val="000000" w:themeColor="text1"/>
          <w:sz w:val="24"/>
          <w:szCs w:val="24"/>
          <w:shd w:val="clear" w:color="auto" w:fill="FFFFFF"/>
          <w:lang w:val="en-GB"/>
        </w:rPr>
        <w:t>Cahyono</w:t>
      </w:r>
      <w:proofErr w:type="spellEnd"/>
      <w:r>
        <w:rPr>
          <w:rFonts w:ascii="Times New Roman" w:hAnsi="Times New Roman" w:cs="Times New Roman"/>
          <w:color w:val="000000" w:themeColor="text1"/>
          <w:sz w:val="24"/>
          <w:szCs w:val="24"/>
          <w:shd w:val="clear" w:color="auto" w:fill="FFFFFF"/>
          <w:lang w:val="en-GB"/>
        </w:rPr>
        <w:t xml:space="preserve">, Y. and </w:t>
      </w:r>
      <w:proofErr w:type="spellStart"/>
      <w:r>
        <w:rPr>
          <w:rFonts w:ascii="Times New Roman" w:hAnsi="Times New Roman" w:cs="Times New Roman"/>
          <w:color w:val="000000" w:themeColor="text1"/>
          <w:sz w:val="24"/>
          <w:szCs w:val="24"/>
          <w:shd w:val="clear" w:color="auto" w:fill="FFFFFF"/>
          <w:lang w:val="en-GB"/>
        </w:rPr>
        <w:t>Suryani</w:t>
      </w:r>
      <w:proofErr w:type="spellEnd"/>
      <w:r>
        <w:rPr>
          <w:rFonts w:ascii="Times New Roman" w:hAnsi="Times New Roman" w:cs="Times New Roman"/>
          <w:color w:val="000000" w:themeColor="text1"/>
          <w:sz w:val="24"/>
          <w:szCs w:val="24"/>
          <w:shd w:val="clear" w:color="auto" w:fill="FFFFFF"/>
          <w:lang w:val="en-GB"/>
        </w:rPr>
        <w:t xml:space="preserve">, P., 2020. Impact of Work </w:t>
      </w:r>
      <w:proofErr w:type="gramStart"/>
      <w:r>
        <w:rPr>
          <w:rFonts w:ascii="Times New Roman" w:hAnsi="Times New Roman" w:cs="Times New Roman"/>
          <w:color w:val="000000" w:themeColor="text1"/>
          <w:sz w:val="24"/>
          <w:szCs w:val="24"/>
          <w:shd w:val="clear" w:color="auto" w:fill="FFFFFF"/>
          <w:lang w:val="en-GB"/>
        </w:rPr>
        <w:t>From</w:t>
      </w:r>
      <w:proofErr w:type="gramEnd"/>
      <w:r>
        <w:rPr>
          <w:rFonts w:ascii="Times New Roman" w:hAnsi="Times New Roman" w:cs="Times New Roman"/>
          <w:color w:val="000000" w:themeColor="text1"/>
          <w:sz w:val="24"/>
          <w:szCs w:val="24"/>
          <w:shd w:val="clear" w:color="auto" w:fill="FFFFFF"/>
          <w:lang w:val="en-GB"/>
        </w:rPr>
        <w:t xml:space="preserve"> Home (WFH) on Indonesian Teachers Performance During the Covid-19 Pandemic: An Exploratory Study. </w:t>
      </w:r>
      <w:r>
        <w:rPr>
          <w:rFonts w:ascii="Times New Roman" w:hAnsi="Times New Roman" w:cs="Times New Roman"/>
          <w:i/>
          <w:iCs/>
          <w:color w:val="000000" w:themeColor="text1"/>
          <w:sz w:val="24"/>
          <w:szCs w:val="24"/>
          <w:shd w:val="clear" w:color="auto" w:fill="FFFFFF"/>
          <w:lang w:val="en-GB"/>
        </w:rPr>
        <w:t>International Journal of Advanced Science and Technology</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29</w:t>
      </w:r>
      <w:r>
        <w:rPr>
          <w:rFonts w:ascii="Times New Roman" w:hAnsi="Times New Roman" w:cs="Times New Roman"/>
          <w:color w:val="000000" w:themeColor="text1"/>
          <w:sz w:val="24"/>
          <w:szCs w:val="24"/>
          <w:shd w:val="clear" w:color="auto" w:fill="FFFFFF"/>
          <w:lang w:val="en-GB"/>
        </w:rPr>
        <w:t>(5), pp.6235-</w:t>
      </w:r>
      <w:proofErr w:type="gramStart"/>
      <w:r>
        <w:rPr>
          <w:rFonts w:ascii="Times New Roman" w:hAnsi="Times New Roman" w:cs="Times New Roman"/>
          <w:color w:val="000000" w:themeColor="text1"/>
          <w:sz w:val="24"/>
          <w:szCs w:val="24"/>
          <w:shd w:val="clear" w:color="auto" w:fill="FFFFFF"/>
          <w:lang w:val="en-GB"/>
        </w:rPr>
        <w:t>6244..</w:t>
      </w:r>
      <w:proofErr w:type="gramEnd"/>
    </w:p>
    <w:p w14:paraId="39CA7615"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
    <w:p w14:paraId="2720CF62"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Radović-Marković</w:t>
      </w:r>
      <w:proofErr w:type="spellEnd"/>
      <w:r>
        <w:rPr>
          <w:rFonts w:ascii="Times New Roman" w:hAnsi="Times New Roman" w:cs="Times New Roman"/>
          <w:color w:val="000000" w:themeColor="text1"/>
          <w:sz w:val="24"/>
          <w:szCs w:val="24"/>
          <w:shd w:val="clear" w:color="auto" w:fill="FFFFFF"/>
          <w:lang w:val="en-GB"/>
        </w:rPr>
        <w:t>, M., 2010. Advantages and disadvantages of e-learning in comparison to traditional forms of learning. </w:t>
      </w:r>
      <w:r>
        <w:rPr>
          <w:rFonts w:ascii="Times New Roman" w:hAnsi="Times New Roman" w:cs="Times New Roman"/>
          <w:i/>
          <w:iCs/>
          <w:color w:val="000000" w:themeColor="text1"/>
          <w:sz w:val="24"/>
          <w:szCs w:val="24"/>
          <w:shd w:val="clear" w:color="auto" w:fill="FFFFFF"/>
          <w:lang w:val="en-GB"/>
        </w:rPr>
        <w:t xml:space="preserve">Annals of the University of </w:t>
      </w:r>
      <w:proofErr w:type="spellStart"/>
      <w:r>
        <w:rPr>
          <w:rFonts w:ascii="Times New Roman" w:hAnsi="Times New Roman" w:cs="Times New Roman"/>
          <w:i/>
          <w:iCs/>
          <w:color w:val="000000" w:themeColor="text1"/>
          <w:sz w:val="24"/>
          <w:szCs w:val="24"/>
          <w:shd w:val="clear" w:color="auto" w:fill="FFFFFF"/>
          <w:lang w:val="en-GB"/>
        </w:rPr>
        <w:t>Petroşani</w:t>
      </w:r>
      <w:proofErr w:type="spellEnd"/>
      <w:r>
        <w:rPr>
          <w:rFonts w:ascii="Times New Roman" w:hAnsi="Times New Roman" w:cs="Times New Roman"/>
          <w:i/>
          <w:iCs/>
          <w:color w:val="000000" w:themeColor="text1"/>
          <w:sz w:val="24"/>
          <w:szCs w:val="24"/>
          <w:shd w:val="clear" w:color="auto" w:fill="FFFFFF"/>
          <w:lang w:val="en-GB"/>
        </w:rPr>
        <w:t>, Economics</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10</w:t>
      </w:r>
      <w:r>
        <w:rPr>
          <w:rFonts w:ascii="Times New Roman" w:hAnsi="Times New Roman" w:cs="Times New Roman"/>
          <w:color w:val="000000" w:themeColor="text1"/>
          <w:sz w:val="24"/>
          <w:szCs w:val="24"/>
          <w:shd w:val="clear" w:color="auto" w:fill="FFFFFF"/>
          <w:lang w:val="en-GB"/>
        </w:rPr>
        <w:t>(2), pp.289-298.</w:t>
      </w:r>
    </w:p>
    <w:p w14:paraId="30C0AE95" w14:textId="3F8869A7" w:rsidR="00281FB0" w:rsidRDefault="00281FB0" w:rsidP="00281FB0">
      <w:pPr>
        <w:spacing w:line="360" w:lineRule="auto"/>
        <w:rPr>
          <w:rFonts w:ascii="Times New Roman" w:hAnsi="Times New Roman" w:cs="Times New Roman"/>
          <w:sz w:val="24"/>
          <w:szCs w:val="24"/>
          <w:lang w:val="en-GB"/>
        </w:rPr>
      </w:pPr>
      <w:r>
        <w:rPr>
          <w:rFonts w:ascii="Times New Roman" w:hAnsi="Times New Roman" w:cs="Times New Roman"/>
          <w:color w:val="000000" w:themeColor="text1"/>
          <w:sz w:val="24"/>
          <w:szCs w:val="24"/>
          <w:shd w:val="clear" w:color="auto" w:fill="FFFFFF"/>
          <w:lang w:val="en-GB"/>
        </w:rPr>
        <w:t xml:space="preserve">Boehm, B. and </w:t>
      </w:r>
      <w:proofErr w:type="spellStart"/>
      <w:r>
        <w:rPr>
          <w:rFonts w:ascii="Times New Roman" w:hAnsi="Times New Roman" w:cs="Times New Roman"/>
          <w:color w:val="000000" w:themeColor="text1"/>
          <w:sz w:val="24"/>
          <w:szCs w:val="24"/>
          <w:shd w:val="clear" w:color="auto" w:fill="FFFFFF"/>
          <w:lang w:val="en-GB"/>
        </w:rPr>
        <w:t>Abts</w:t>
      </w:r>
      <w:proofErr w:type="spellEnd"/>
      <w:r>
        <w:rPr>
          <w:rFonts w:ascii="Times New Roman" w:hAnsi="Times New Roman" w:cs="Times New Roman"/>
          <w:color w:val="000000" w:themeColor="text1"/>
          <w:sz w:val="24"/>
          <w:szCs w:val="24"/>
          <w:shd w:val="clear" w:color="auto" w:fill="FFFFFF"/>
          <w:lang w:val="en-GB"/>
        </w:rPr>
        <w:t xml:space="preserve">, C., 2017. COTS integration: Plug and </w:t>
      </w:r>
      <w:r w:rsidR="00D6431C">
        <w:rPr>
          <w:rFonts w:ascii="Times New Roman" w:hAnsi="Times New Roman" w:cs="Times New Roman"/>
          <w:color w:val="000000" w:themeColor="text1"/>
          <w:sz w:val="24"/>
          <w:szCs w:val="24"/>
          <w:shd w:val="clear" w:color="auto" w:fill="FFFFFF"/>
          <w:lang w:val="en-GB"/>
        </w:rPr>
        <w:t xml:space="preserve">pray. </w:t>
      </w:r>
      <w:r>
        <w:rPr>
          <w:rFonts w:ascii="Times New Roman" w:hAnsi="Times New Roman" w:cs="Times New Roman"/>
          <w:i/>
          <w:iCs/>
          <w:color w:val="000000" w:themeColor="text1"/>
          <w:sz w:val="24"/>
          <w:szCs w:val="24"/>
          <w:shd w:val="clear" w:color="auto" w:fill="FFFFFF"/>
          <w:lang w:val="en-GB"/>
        </w:rPr>
        <w:t>Computer</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32</w:t>
      </w:r>
      <w:r>
        <w:rPr>
          <w:rFonts w:ascii="Times New Roman" w:hAnsi="Times New Roman" w:cs="Times New Roman"/>
          <w:color w:val="000000" w:themeColor="text1"/>
          <w:sz w:val="24"/>
          <w:szCs w:val="24"/>
          <w:shd w:val="clear" w:color="auto" w:fill="FFFFFF"/>
          <w:lang w:val="en-GB"/>
        </w:rPr>
        <w:t>(1), pp.135-138</w:t>
      </w:r>
      <w:r>
        <w:rPr>
          <w:rFonts w:ascii="Times New Roman" w:hAnsi="Times New Roman" w:cs="Times New Roman"/>
          <w:color w:val="222222"/>
          <w:sz w:val="24"/>
          <w:szCs w:val="24"/>
          <w:shd w:val="clear" w:color="auto" w:fill="FFFFFF"/>
          <w:lang w:val="en-GB"/>
        </w:rPr>
        <w:t>.</w:t>
      </w:r>
    </w:p>
    <w:p w14:paraId="6AF644A5"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
    <w:p w14:paraId="04B468D4"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Student, J., </w:t>
      </w:r>
      <w:proofErr w:type="spellStart"/>
      <w:r>
        <w:rPr>
          <w:rFonts w:ascii="Times New Roman" w:hAnsi="Times New Roman" w:cs="Times New Roman"/>
          <w:color w:val="000000" w:themeColor="text1"/>
          <w:sz w:val="24"/>
          <w:szCs w:val="24"/>
          <w:shd w:val="clear" w:color="auto" w:fill="FFFFFF"/>
          <w:lang w:val="en-GB"/>
        </w:rPr>
        <w:t>Lamers</w:t>
      </w:r>
      <w:proofErr w:type="spellEnd"/>
      <w:r>
        <w:rPr>
          <w:rFonts w:ascii="Times New Roman" w:hAnsi="Times New Roman" w:cs="Times New Roman"/>
          <w:color w:val="000000" w:themeColor="text1"/>
          <w:sz w:val="24"/>
          <w:szCs w:val="24"/>
          <w:shd w:val="clear" w:color="auto" w:fill="FFFFFF"/>
          <w:lang w:val="en-GB"/>
        </w:rPr>
        <w:t xml:space="preserve">, M. and </w:t>
      </w:r>
      <w:proofErr w:type="spellStart"/>
      <w:r>
        <w:rPr>
          <w:rFonts w:ascii="Times New Roman" w:hAnsi="Times New Roman" w:cs="Times New Roman"/>
          <w:color w:val="000000" w:themeColor="text1"/>
          <w:sz w:val="24"/>
          <w:szCs w:val="24"/>
          <w:shd w:val="clear" w:color="auto" w:fill="FFFFFF"/>
          <w:lang w:val="en-GB"/>
        </w:rPr>
        <w:t>Amelung</w:t>
      </w:r>
      <w:proofErr w:type="spellEnd"/>
      <w:r>
        <w:rPr>
          <w:rFonts w:ascii="Times New Roman" w:hAnsi="Times New Roman" w:cs="Times New Roman"/>
          <w:color w:val="000000" w:themeColor="text1"/>
          <w:sz w:val="24"/>
          <w:szCs w:val="24"/>
          <w:shd w:val="clear" w:color="auto" w:fill="FFFFFF"/>
          <w:lang w:val="en-GB"/>
        </w:rPr>
        <w:t>, B., 2020. A dynamic vulnerability approach for tourism destinations. </w:t>
      </w:r>
      <w:r>
        <w:rPr>
          <w:rFonts w:ascii="Times New Roman" w:hAnsi="Times New Roman" w:cs="Times New Roman"/>
          <w:i/>
          <w:iCs/>
          <w:color w:val="000000" w:themeColor="text1"/>
          <w:sz w:val="24"/>
          <w:szCs w:val="24"/>
          <w:shd w:val="clear" w:color="auto" w:fill="FFFFFF"/>
          <w:lang w:val="en-GB"/>
        </w:rPr>
        <w:t>Journal of Sustainable Tourism</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28</w:t>
      </w:r>
      <w:r>
        <w:rPr>
          <w:rFonts w:ascii="Times New Roman" w:hAnsi="Times New Roman" w:cs="Times New Roman"/>
          <w:color w:val="000000" w:themeColor="text1"/>
          <w:sz w:val="24"/>
          <w:szCs w:val="24"/>
          <w:shd w:val="clear" w:color="auto" w:fill="FFFFFF"/>
          <w:lang w:val="en-GB"/>
        </w:rPr>
        <w:t>(3), pp.475-496.</w:t>
      </w:r>
    </w:p>
    <w:p w14:paraId="18263C4C"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
    <w:p w14:paraId="0DE3FAB1" w14:textId="77777777"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Tang, Z., Liu, L., Li, X., Shi, C., Zhang, N., Zhu, Z. and Bi, J., 2019. Evaluation on the eco-innovation level of the tourism industry in Heilongjiang Province, China: From the perspective of dynamic evolution and spatial difference. </w:t>
      </w:r>
      <w:r>
        <w:rPr>
          <w:rFonts w:ascii="Times New Roman" w:hAnsi="Times New Roman" w:cs="Times New Roman"/>
          <w:i/>
          <w:iCs/>
          <w:color w:val="000000" w:themeColor="text1"/>
          <w:sz w:val="24"/>
          <w:szCs w:val="24"/>
          <w:shd w:val="clear" w:color="auto" w:fill="FFFFFF"/>
          <w:lang w:val="en-GB"/>
        </w:rPr>
        <w:t>International Journal of Sustainable Development and Planning</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14</w:t>
      </w:r>
      <w:r>
        <w:rPr>
          <w:rFonts w:ascii="Times New Roman" w:hAnsi="Times New Roman" w:cs="Times New Roman"/>
          <w:color w:val="000000" w:themeColor="text1"/>
          <w:sz w:val="24"/>
          <w:szCs w:val="24"/>
          <w:shd w:val="clear" w:color="auto" w:fill="FFFFFF"/>
          <w:lang w:val="en-GB"/>
        </w:rPr>
        <w:t>(3), pp.202-215.</w:t>
      </w:r>
    </w:p>
    <w:p w14:paraId="27B491F9" w14:textId="77777777" w:rsidR="006B6C90" w:rsidRDefault="006B6C90" w:rsidP="00281FB0">
      <w:pPr>
        <w:spacing w:line="360" w:lineRule="auto"/>
        <w:rPr>
          <w:rFonts w:ascii="Times New Roman" w:hAnsi="Times New Roman" w:cs="Times New Roman"/>
          <w:color w:val="000000" w:themeColor="text1"/>
          <w:sz w:val="24"/>
          <w:szCs w:val="24"/>
          <w:shd w:val="clear" w:color="auto" w:fill="FFFFFF"/>
          <w:lang w:val="en-GB"/>
        </w:rPr>
      </w:pPr>
    </w:p>
    <w:p w14:paraId="7E150BEC" w14:textId="31B92B08" w:rsidR="00281FB0" w:rsidRDefault="00281FB0" w:rsidP="00281FB0">
      <w:pPr>
        <w:spacing w:line="360" w:lineRule="auto"/>
        <w:rPr>
          <w:rFonts w:ascii="Times New Roman" w:hAnsi="Times New Roman" w:cs="Times New Roman"/>
          <w:color w:val="000000" w:themeColor="text1"/>
          <w:sz w:val="24"/>
          <w:szCs w:val="24"/>
          <w:shd w:val="clear" w:color="auto" w:fill="FFFFFF"/>
          <w:lang w:val="en-GB"/>
        </w:rPr>
      </w:pPr>
      <w:proofErr w:type="spellStart"/>
      <w:r>
        <w:rPr>
          <w:rFonts w:ascii="Times New Roman" w:hAnsi="Times New Roman" w:cs="Times New Roman"/>
          <w:color w:val="000000" w:themeColor="text1"/>
          <w:sz w:val="24"/>
          <w:szCs w:val="24"/>
          <w:shd w:val="clear" w:color="auto" w:fill="FFFFFF"/>
          <w:lang w:val="en-GB"/>
        </w:rPr>
        <w:t>Titopoulou</w:t>
      </w:r>
      <w:proofErr w:type="spellEnd"/>
      <w:r>
        <w:rPr>
          <w:rFonts w:ascii="Times New Roman" w:hAnsi="Times New Roman" w:cs="Times New Roman"/>
          <w:color w:val="000000" w:themeColor="text1"/>
          <w:sz w:val="24"/>
          <w:szCs w:val="24"/>
          <w:shd w:val="clear" w:color="auto" w:fill="FFFFFF"/>
          <w:lang w:val="en-GB"/>
        </w:rPr>
        <w:t xml:space="preserve">, M., </w:t>
      </w:r>
      <w:proofErr w:type="spellStart"/>
      <w:r>
        <w:rPr>
          <w:rFonts w:ascii="Times New Roman" w:hAnsi="Times New Roman" w:cs="Times New Roman"/>
          <w:color w:val="000000" w:themeColor="text1"/>
          <w:sz w:val="24"/>
          <w:szCs w:val="24"/>
          <w:shd w:val="clear" w:color="auto" w:fill="FFFFFF"/>
          <w:lang w:val="en-GB"/>
        </w:rPr>
        <w:t>Ganeva</w:t>
      </w:r>
      <w:proofErr w:type="spellEnd"/>
      <w:r>
        <w:rPr>
          <w:rFonts w:ascii="Times New Roman" w:hAnsi="Times New Roman" w:cs="Times New Roman"/>
          <w:color w:val="000000" w:themeColor="text1"/>
          <w:sz w:val="24"/>
          <w:szCs w:val="24"/>
          <w:shd w:val="clear" w:color="auto" w:fill="FFFFFF"/>
          <w:lang w:val="en-GB"/>
        </w:rPr>
        <w:t xml:space="preserve">, R., </w:t>
      </w:r>
      <w:proofErr w:type="spellStart"/>
      <w:r>
        <w:rPr>
          <w:rFonts w:ascii="Times New Roman" w:hAnsi="Times New Roman" w:cs="Times New Roman"/>
          <w:color w:val="000000" w:themeColor="text1"/>
          <w:sz w:val="24"/>
          <w:szCs w:val="24"/>
          <w:shd w:val="clear" w:color="auto" w:fill="FFFFFF"/>
          <w:lang w:val="en-GB"/>
        </w:rPr>
        <w:t>Staykova</w:t>
      </w:r>
      <w:proofErr w:type="spellEnd"/>
      <w:r>
        <w:rPr>
          <w:rFonts w:ascii="Times New Roman" w:hAnsi="Times New Roman" w:cs="Times New Roman"/>
          <w:color w:val="000000" w:themeColor="text1"/>
          <w:sz w:val="24"/>
          <w:szCs w:val="24"/>
          <w:shd w:val="clear" w:color="auto" w:fill="FFFFFF"/>
          <w:lang w:val="en-GB"/>
        </w:rPr>
        <w:t xml:space="preserve">, J. and </w:t>
      </w:r>
      <w:proofErr w:type="spellStart"/>
      <w:r>
        <w:rPr>
          <w:rFonts w:ascii="Times New Roman" w:hAnsi="Times New Roman" w:cs="Times New Roman"/>
          <w:color w:val="000000" w:themeColor="text1"/>
          <w:sz w:val="24"/>
          <w:szCs w:val="24"/>
          <w:shd w:val="clear" w:color="auto" w:fill="FFFFFF"/>
          <w:lang w:val="en-GB"/>
        </w:rPr>
        <w:t>Titopoulos</w:t>
      </w:r>
      <w:proofErr w:type="spellEnd"/>
      <w:r>
        <w:rPr>
          <w:rFonts w:ascii="Times New Roman" w:hAnsi="Times New Roman" w:cs="Times New Roman"/>
          <w:color w:val="000000" w:themeColor="text1"/>
          <w:sz w:val="24"/>
          <w:szCs w:val="24"/>
          <w:shd w:val="clear" w:color="auto" w:fill="FFFFFF"/>
          <w:lang w:val="en-GB"/>
        </w:rPr>
        <w:t>, E., 2021. Advantages and Disadvantages of the Different Types of Working Hours' Organisation. </w:t>
      </w:r>
      <w:r>
        <w:rPr>
          <w:rFonts w:ascii="Times New Roman" w:hAnsi="Times New Roman" w:cs="Times New Roman"/>
          <w:i/>
          <w:iCs/>
          <w:color w:val="000000" w:themeColor="text1"/>
          <w:sz w:val="24"/>
          <w:szCs w:val="24"/>
          <w:shd w:val="clear" w:color="auto" w:fill="FFFFFF"/>
          <w:lang w:val="en-GB"/>
        </w:rPr>
        <w:t>European Journal of Economics and Business Studies</w:t>
      </w:r>
      <w:r>
        <w:rPr>
          <w:rFonts w:ascii="Times New Roman" w:hAnsi="Times New Roman" w:cs="Times New Roman"/>
          <w:color w:val="000000" w:themeColor="text1"/>
          <w:sz w:val="24"/>
          <w:szCs w:val="24"/>
          <w:shd w:val="clear" w:color="auto" w:fill="FFFFFF"/>
          <w:lang w:val="en-GB"/>
        </w:rPr>
        <w:t>, </w:t>
      </w:r>
      <w:r>
        <w:rPr>
          <w:rFonts w:ascii="Times New Roman" w:hAnsi="Times New Roman" w:cs="Times New Roman"/>
          <w:i/>
          <w:iCs/>
          <w:color w:val="000000" w:themeColor="text1"/>
          <w:sz w:val="24"/>
          <w:szCs w:val="24"/>
          <w:shd w:val="clear" w:color="auto" w:fill="FFFFFF"/>
          <w:lang w:val="en-GB"/>
        </w:rPr>
        <w:t>5</w:t>
      </w:r>
      <w:r>
        <w:rPr>
          <w:rFonts w:ascii="Times New Roman" w:hAnsi="Times New Roman" w:cs="Times New Roman"/>
          <w:color w:val="000000" w:themeColor="text1"/>
          <w:sz w:val="24"/>
          <w:szCs w:val="24"/>
          <w:shd w:val="clear" w:color="auto" w:fill="FFFFFF"/>
          <w:lang w:val="en-GB"/>
        </w:rPr>
        <w:t>(3), pp.62-66.</w:t>
      </w:r>
    </w:p>
    <w:p w14:paraId="087762B6" w14:textId="77777777" w:rsidR="00281FB0" w:rsidRDefault="00281FB0" w:rsidP="00281FB0">
      <w:pPr>
        <w:spacing w:line="360" w:lineRule="auto"/>
        <w:rPr>
          <w:rFonts w:ascii="Times New Roman" w:hAnsi="Times New Roman" w:cs="Times New Roman"/>
          <w:color w:val="000000" w:themeColor="text1"/>
          <w:sz w:val="24"/>
          <w:szCs w:val="24"/>
          <w:lang w:val="en-GB"/>
        </w:rPr>
      </w:pPr>
    </w:p>
    <w:p w14:paraId="4D678EE4" w14:textId="38651C80" w:rsidR="00281FB0" w:rsidRPr="00FC33A4" w:rsidRDefault="00281FB0" w:rsidP="00FC33A4">
      <w:pPr>
        <w:spacing w:line="360" w:lineRule="auto"/>
        <w:rPr>
          <w:rFonts w:ascii="Times New Roman" w:eastAsia="Times New Roman" w:hAnsi="Times New Roman" w:cs="Times New Roman"/>
          <w:b/>
          <w:bCs/>
          <w:color w:val="000000" w:themeColor="text1"/>
          <w:sz w:val="28"/>
          <w:szCs w:val="28"/>
          <w:lang w:val="en-GB"/>
        </w:rPr>
      </w:pPr>
      <w:r w:rsidRPr="00FC33A4">
        <w:rPr>
          <w:rFonts w:ascii="Times New Roman" w:hAnsi="Times New Roman" w:cs="Times New Roman"/>
          <w:b/>
          <w:bCs/>
          <w:sz w:val="24"/>
          <w:szCs w:val="24"/>
        </w:rPr>
        <w:t>Appendices</w:t>
      </w:r>
    </w:p>
    <w:p w14:paraId="18E1ABE7" w14:textId="77777777" w:rsidR="00281FB0" w:rsidRDefault="00281FB0" w:rsidP="00281FB0">
      <w:pPr>
        <w:pStyle w:val="Heading2"/>
        <w:rPr>
          <w:rFonts w:eastAsia="Arial"/>
          <w:lang w:val="en-GB"/>
        </w:rPr>
      </w:pPr>
      <w:bookmarkStart w:id="11" w:name="_Toc70331433"/>
      <w:r>
        <w:rPr>
          <w:rFonts w:eastAsia="Arial"/>
          <w:lang w:val="en-GB"/>
        </w:rPr>
        <w:t>Appendix 1: Part A</w:t>
      </w:r>
      <w:bookmarkEnd w:id="11"/>
    </w:p>
    <w:tbl>
      <w:tblPr>
        <w:tblStyle w:val="TableGrid1"/>
        <w:tblW w:w="9918" w:type="dxa"/>
        <w:tblInd w:w="0" w:type="dxa"/>
        <w:tblLook w:val="04A0" w:firstRow="1" w:lastRow="0" w:firstColumn="1" w:lastColumn="0" w:noHBand="0" w:noVBand="1"/>
      </w:tblPr>
      <w:tblGrid>
        <w:gridCol w:w="870"/>
        <w:gridCol w:w="3080"/>
        <w:gridCol w:w="1556"/>
        <w:gridCol w:w="1556"/>
        <w:gridCol w:w="1456"/>
        <w:gridCol w:w="1865"/>
      </w:tblGrid>
      <w:tr w:rsidR="007D7DD9" w:rsidRPr="007D7DD9" w14:paraId="72A77A01"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583832BB" w14:textId="77777777" w:rsidR="007D7DD9" w:rsidRPr="007D7DD9" w:rsidRDefault="007D7DD9" w:rsidP="007D7DD9">
            <w:pPr>
              <w:spacing w:line="240" w:lineRule="auto"/>
              <w:rPr>
                <w:rFonts w:ascii="Times New Roman" w:eastAsia="Times New Roman" w:hAnsi="Times New Roman" w:cs="Times New Roman"/>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7EFF214C"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1CAD59FF"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1624901"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72977C22"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38821D36"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5994678"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E006CF4" w14:textId="77777777" w:rsidR="007D7DD9" w:rsidRPr="007D7DD9" w:rsidRDefault="007D7DD9" w:rsidP="007D7DD9">
            <w:pPr>
              <w:spacing w:line="240" w:lineRule="auto"/>
              <w:jc w:val="center"/>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PART A</w:t>
            </w:r>
          </w:p>
        </w:tc>
        <w:tc>
          <w:tcPr>
            <w:tcW w:w="3080" w:type="dxa"/>
            <w:tcBorders>
              <w:top w:val="single" w:sz="4" w:space="0" w:color="auto"/>
              <w:left w:val="single" w:sz="4" w:space="0" w:color="auto"/>
              <w:bottom w:val="single" w:sz="4" w:space="0" w:color="auto"/>
              <w:right w:val="single" w:sz="4" w:space="0" w:color="auto"/>
            </w:tcBorders>
            <w:noWrap/>
            <w:hideMark/>
          </w:tcPr>
          <w:p w14:paraId="11609865"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1556" w:type="dxa"/>
            <w:tcBorders>
              <w:top w:val="single" w:sz="4" w:space="0" w:color="auto"/>
              <w:left w:val="single" w:sz="4" w:space="0" w:color="auto"/>
              <w:bottom w:val="single" w:sz="4" w:space="0" w:color="auto"/>
              <w:right w:val="single" w:sz="4" w:space="0" w:color="auto"/>
            </w:tcBorders>
            <w:noWrap/>
            <w:hideMark/>
          </w:tcPr>
          <w:p w14:paraId="41C326AB"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76AF4F00"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3E76ADE2"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69F98CBE"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37A3D701"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04311D39" w14:textId="77777777" w:rsidR="007D7DD9" w:rsidRPr="007D7DD9" w:rsidRDefault="007D7DD9" w:rsidP="007D7DD9">
            <w:pPr>
              <w:spacing w:line="240" w:lineRule="auto"/>
              <w:jc w:val="center"/>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I</w:t>
            </w:r>
          </w:p>
        </w:tc>
        <w:tc>
          <w:tcPr>
            <w:tcW w:w="6192" w:type="dxa"/>
            <w:gridSpan w:val="3"/>
            <w:tcBorders>
              <w:top w:val="single" w:sz="4" w:space="0" w:color="auto"/>
              <w:left w:val="single" w:sz="4" w:space="0" w:color="auto"/>
              <w:bottom w:val="single" w:sz="4" w:space="0" w:color="auto"/>
              <w:right w:val="single" w:sz="4" w:space="0" w:color="auto"/>
            </w:tcBorders>
            <w:noWrap/>
            <w:hideMark/>
          </w:tcPr>
          <w:p w14:paraId="6B3ACCF3" w14:textId="77777777" w:rsidR="007D7DD9" w:rsidRPr="007D7DD9" w:rsidRDefault="007D7DD9" w:rsidP="007D7DD9">
            <w:pPr>
              <w:spacing w:line="240" w:lineRule="auto"/>
              <w:jc w:val="center"/>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Monthly control report showing Original Budget, Flexed </w:t>
            </w:r>
            <w:proofErr w:type="gramStart"/>
            <w:r w:rsidRPr="007D7DD9">
              <w:rPr>
                <w:rFonts w:ascii="Times New Roman" w:eastAsia="Calibri" w:hAnsi="Times New Roman" w:cs="Times New Roman"/>
                <w:sz w:val="24"/>
                <w:szCs w:val="24"/>
                <w:lang w:val="en-GB" w:eastAsia="en-US"/>
              </w:rPr>
              <w:t>Budget</w:t>
            </w:r>
            <w:proofErr w:type="gramEnd"/>
            <w:r w:rsidRPr="007D7DD9">
              <w:rPr>
                <w:rFonts w:ascii="Times New Roman" w:eastAsia="Calibri" w:hAnsi="Times New Roman" w:cs="Times New Roman"/>
                <w:sz w:val="24"/>
                <w:szCs w:val="24"/>
                <w:lang w:val="en-GB" w:eastAsia="en-US"/>
              </w:rPr>
              <w:t xml:space="preserve"> and Variances</w:t>
            </w:r>
          </w:p>
        </w:tc>
        <w:tc>
          <w:tcPr>
            <w:tcW w:w="1188" w:type="dxa"/>
            <w:tcBorders>
              <w:top w:val="single" w:sz="4" w:space="0" w:color="auto"/>
              <w:left w:val="single" w:sz="4" w:space="0" w:color="auto"/>
              <w:bottom w:val="single" w:sz="4" w:space="0" w:color="auto"/>
              <w:right w:val="single" w:sz="4" w:space="0" w:color="auto"/>
            </w:tcBorders>
            <w:noWrap/>
            <w:hideMark/>
          </w:tcPr>
          <w:p w14:paraId="49D57DCA"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865" w:type="dxa"/>
            <w:tcBorders>
              <w:top w:val="single" w:sz="4" w:space="0" w:color="auto"/>
              <w:left w:val="single" w:sz="4" w:space="0" w:color="auto"/>
              <w:bottom w:val="single" w:sz="4" w:space="0" w:color="auto"/>
              <w:right w:val="single" w:sz="4" w:space="0" w:color="auto"/>
            </w:tcBorders>
            <w:noWrap/>
            <w:hideMark/>
          </w:tcPr>
          <w:p w14:paraId="1E477D6F"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62874562"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237C0660"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680D4F83"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61B04F19"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3D74B3F"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356E8F92"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6D86AC27"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7CADA056"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7A7DAC1F"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42411434"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Particulars</w:t>
            </w:r>
          </w:p>
        </w:tc>
        <w:tc>
          <w:tcPr>
            <w:tcW w:w="1556" w:type="dxa"/>
            <w:tcBorders>
              <w:top w:val="single" w:sz="4" w:space="0" w:color="auto"/>
              <w:left w:val="single" w:sz="4" w:space="0" w:color="auto"/>
              <w:bottom w:val="single" w:sz="4" w:space="0" w:color="auto"/>
              <w:right w:val="single" w:sz="4" w:space="0" w:color="auto"/>
            </w:tcBorders>
            <w:noWrap/>
            <w:hideMark/>
          </w:tcPr>
          <w:p w14:paraId="55B0DAF1"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Original </w:t>
            </w:r>
            <w:proofErr w:type="gramStart"/>
            <w:r w:rsidRPr="007D7DD9">
              <w:rPr>
                <w:rFonts w:ascii="Times New Roman" w:eastAsia="Calibri" w:hAnsi="Times New Roman" w:cs="Times New Roman"/>
                <w:b/>
                <w:bCs/>
                <w:sz w:val="24"/>
                <w:szCs w:val="24"/>
                <w:lang w:val="en-GB" w:eastAsia="en-US"/>
              </w:rPr>
              <w:t>Budget  (</w:t>
            </w:r>
            <w:proofErr w:type="gramEnd"/>
            <w:r w:rsidRPr="007D7DD9">
              <w:rPr>
                <w:rFonts w:ascii="Times New Roman" w:eastAsia="Calibri" w:hAnsi="Times New Roman" w:cs="Times New Roman"/>
                <w:b/>
                <w:bCs/>
                <w:sz w:val="24"/>
                <w:szCs w:val="24"/>
                <w:lang w:val="en-GB" w:eastAsia="en-US"/>
              </w:rPr>
              <w:t xml:space="preserve">£) </w:t>
            </w:r>
          </w:p>
        </w:tc>
        <w:tc>
          <w:tcPr>
            <w:tcW w:w="1556" w:type="dxa"/>
            <w:tcBorders>
              <w:top w:val="single" w:sz="4" w:space="0" w:color="auto"/>
              <w:left w:val="single" w:sz="4" w:space="0" w:color="auto"/>
              <w:bottom w:val="single" w:sz="4" w:space="0" w:color="auto"/>
              <w:right w:val="single" w:sz="4" w:space="0" w:color="auto"/>
            </w:tcBorders>
            <w:noWrap/>
            <w:hideMark/>
          </w:tcPr>
          <w:p w14:paraId="7CCC3766"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Flexed </w:t>
            </w:r>
            <w:proofErr w:type="gramStart"/>
            <w:r w:rsidRPr="007D7DD9">
              <w:rPr>
                <w:rFonts w:ascii="Times New Roman" w:eastAsia="Calibri" w:hAnsi="Times New Roman" w:cs="Times New Roman"/>
                <w:b/>
                <w:bCs/>
                <w:sz w:val="24"/>
                <w:szCs w:val="24"/>
                <w:lang w:val="en-GB" w:eastAsia="en-US"/>
              </w:rPr>
              <w:t>Budget  (</w:t>
            </w:r>
            <w:proofErr w:type="gramEnd"/>
            <w:r w:rsidRPr="007D7DD9">
              <w:rPr>
                <w:rFonts w:ascii="Times New Roman" w:eastAsia="Calibri" w:hAnsi="Times New Roman" w:cs="Times New Roman"/>
                <w:b/>
                <w:bCs/>
                <w:sz w:val="24"/>
                <w:szCs w:val="24"/>
                <w:lang w:val="en-GB" w:eastAsia="en-US"/>
              </w:rPr>
              <w:t xml:space="preserve">£) </w:t>
            </w:r>
          </w:p>
        </w:tc>
        <w:tc>
          <w:tcPr>
            <w:tcW w:w="1188" w:type="dxa"/>
            <w:tcBorders>
              <w:top w:val="single" w:sz="4" w:space="0" w:color="auto"/>
              <w:left w:val="single" w:sz="4" w:space="0" w:color="auto"/>
              <w:bottom w:val="single" w:sz="4" w:space="0" w:color="auto"/>
              <w:right w:val="single" w:sz="4" w:space="0" w:color="auto"/>
            </w:tcBorders>
            <w:noWrap/>
            <w:hideMark/>
          </w:tcPr>
          <w:p w14:paraId="41763AD1"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Variances</w:t>
            </w:r>
          </w:p>
        </w:tc>
        <w:tc>
          <w:tcPr>
            <w:tcW w:w="1865" w:type="dxa"/>
            <w:tcBorders>
              <w:top w:val="single" w:sz="4" w:space="0" w:color="auto"/>
              <w:left w:val="single" w:sz="4" w:space="0" w:color="auto"/>
              <w:bottom w:val="single" w:sz="4" w:space="0" w:color="auto"/>
              <w:right w:val="single" w:sz="4" w:space="0" w:color="auto"/>
            </w:tcBorders>
            <w:noWrap/>
            <w:hideMark/>
          </w:tcPr>
          <w:p w14:paraId="6FBB3A04" w14:textId="77777777" w:rsidR="007D7DD9" w:rsidRPr="007D7DD9" w:rsidRDefault="007D7DD9" w:rsidP="007D7DD9">
            <w:pPr>
              <w:spacing w:line="256" w:lineRule="auto"/>
              <w:rPr>
                <w:rFonts w:ascii="Calibri" w:eastAsia="Calibri" w:hAnsi="Calibri"/>
                <w:b/>
                <w:bCs/>
                <w:lang w:val="en-GB" w:eastAsia="en-US"/>
              </w:rPr>
            </w:pPr>
          </w:p>
        </w:tc>
      </w:tr>
      <w:tr w:rsidR="007D7DD9" w:rsidRPr="007D7DD9" w14:paraId="6A4F5DC7"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2BED113C"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40BAE65D"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5D246722"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58956C06"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775E18DD"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6FECCBB2"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61D3797A"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01CD8DB6"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45C2409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Units</w:t>
            </w:r>
          </w:p>
        </w:tc>
        <w:tc>
          <w:tcPr>
            <w:tcW w:w="1556" w:type="dxa"/>
            <w:tcBorders>
              <w:top w:val="single" w:sz="4" w:space="0" w:color="auto"/>
              <w:left w:val="single" w:sz="4" w:space="0" w:color="auto"/>
              <w:bottom w:val="single" w:sz="4" w:space="0" w:color="auto"/>
              <w:right w:val="single" w:sz="4" w:space="0" w:color="auto"/>
            </w:tcBorders>
            <w:noWrap/>
            <w:hideMark/>
          </w:tcPr>
          <w:p w14:paraId="48354AB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100,000 </w:t>
            </w:r>
          </w:p>
        </w:tc>
        <w:tc>
          <w:tcPr>
            <w:tcW w:w="1556" w:type="dxa"/>
            <w:tcBorders>
              <w:top w:val="single" w:sz="4" w:space="0" w:color="auto"/>
              <w:left w:val="single" w:sz="4" w:space="0" w:color="auto"/>
              <w:bottom w:val="single" w:sz="4" w:space="0" w:color="auto"/>
              <w:right w:val="single" w:sz="4" w:space="0" w:color="auto"/>
            </w:tcBorders>
            <w:noWrap/>
            <w:hideMark/>
          </w:tcPr>
          <w:p w14:paraId="3F7FEEC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80,000 </w:t>
            </w:r>
          </w:p>
        </w:tc>
        <w:tc>
          <w:tcPr>
            <w:tcW w:w="1188" w:type="dxa"/>
            <w:tcBorders>
              <w:top w:val="single" w:sz="4" w:space="0" w:color="auto"/>
              <w:left w:val="single" w:sz="4" w:space="0" w:color="auto"/>
              <w:bottom w:val="single" w:sz="4" w:space="0" w:color="auto"/>
              <w:right w:val="single" w:sz="4" w:space="0" w:color="auto"/>
            </w:tcBorders>
            <w:noWrap/>
            <w:hideMark/>
          </w:tcPr>
          <w:p w14:paraId="29F806C9"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865" w:type="dxa"/>
            <w:tcBorders>
              <w:top w:val="single" w:sz="4" w:space="0" w:color="auto"/>
              <w:left w:val="single" w:sz="4" w:space="0" w:color="auto"/>
              <w:bottom w:val="single" w:sz="4" w:space="0" w:color="auto"/>
              <w:right w:val="single" w:sz="4" w:space="0" w:color="auto"/>
            </w:tcBorders>
            <w:noWrap/>
            <w:hideMark/>
          </w:tcPr>
          <w:p w14:paraId="2B29133B"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031EA5C2"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08E81C42"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4B90C8C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Selling Price (£)</w:t>
            </w:r>
          </w:p>
        </w:tc>
        <w:tc>
          <w:tcPr>
            <w:tcW w:w="1556" w:type="dxa"/>
            <w:tcBorders>
              <w:top w:val="single" w:sz="4" w:space="0" w:color="auto"/>
              <w:left w:val="single" w:sz="4" w:space="0" w:color="auto"/>
              <w:bottom w:val="single" w:sz="4" w:space="0" w:color="auto"/>
              <w:right w:val="single" w:sz="4" w:space="0" w:color="auto"/>
            </w:tcBorders>
            <w:noWrap/>
            <w:hideMark/>
          </w:tcPr>
          <w:p w14:paraId="0C7321A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 </w:t>
            </w:r>
          </w:p>
        </w:tc>
        <w:tc>
          <w:tcPr>
            <w:tcW w:w="1556" w:type="dxa"/>
            <w:tcBorders>
              <w:top w:val="single" w:sz="4" w:space="0" w:color="auto"/>
              <w:left w:val="single" w:sz="4" w:space="0" w:color="auto"/>
              <w:bottom w:val="single" w:sz="4" w:space="0" w:color="auto"/>
              <w:right w:val="single" w:sz="4" w:space="0" w:color="auto"/>
            </w:tcBorders>
            <w:noWrap/>
            <w:hideMark/>
          </w:tcPr>
          <w:p w14:paraId="37DE053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 </w:t>
            </w:r>
          </w:p>
        </w:tc>
        <w:tc>
          <w:tcPr>
            <w:tcW w:w="1188" w:type="dxa"/>
            <w:tcBorders>
              <w:top w:val="single" w:sz="4" w:space="0" w:color="auto"/>
              <w:left w:val="single" w:sz="4" w:space="0" w:color="auto"/>
              <w:bottom w:val="single" w:sz="4" w:space="0" w:color="auto"/>
              <w:right w:val="single" w:sz="4" w:space="0" w:color="auto"/>
            </w:tcBorders>
            <w:noWrap/>
            <w:hideMark/>
          </w:tcPr>
          <w:p w14:paraId="5B79EB43"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865" w:type="dxa"/>
            <w:tcBorders>
              <w:top w:val="single" w:sz="4" w:space="0" w:color="auto"/>
              <w:left w:val="single" w:sz="4" w:space="0" w:color="auto"/>
              <w:bottom w:val="single" w:sz="4" w:space="0" w:color="auto"/>
              <w:right w:val="single" w:sz="4" w:space="0" w:color="auto"/>
            </w:tcBorders>
            <w:noWrap/>
            <w:hideMark/>
          </w:tcPr>
          <w:p w14:paraId="6F434799"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064D0DD"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9C9A99D"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587CD755"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85DCCEB"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518B2292"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61BA14A7"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3AB72DCC"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7AC48CE4"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56AD7B63"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58635B4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Sales</w:t>
            </w:r>
          </w:p>
        </w:tc>
        <w:tc>
          <w:tcPr>
            <w:tcW w:w="1556" w:type="dxa"/>
            <w:tcBorders>
              <w:top w:val="single" w:sz="4" w:space="0" w:color="auto"/>
              <w:left w:val="single" w:sz="4" w:space="0" w:color="auto"/>
              <w:bottom w:val="single" w:sz="4" w:space="0" w:color="auto"/>
              <w:right w:val="single" w:sz="4" w:space="0" w:color="auto"/>
            </w:tcBorders>
            <w:noWrap/>
            <w:hideMark/>
          </w:tcPr>
          <w:p w14:paraId="76B1BC9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2,500,000 </w:t>
            </w:r>
          </w:p>
        </w:tc>
        <w:tc>
          <w:tcPr>
            <w:tcW w:w="1556" w:type="dxa"/>
            <w:tcBorders>
              <w:top w:val="single" w:sz="4" w:space="0" w:color="auto"/>
              <w:left w:val="single" w:sz="4" w:space="0" w:color="auto"/>
              <w:bottom w:val="single" w:sz="4" w:space="0" w:color="auto"/>
              <w:right w:val="single" w:sz="4" w:space="0" w:color="auto"/>
            </w:tcBorders>
            <w:noWrap/>
            <w:hideMark/>
          </w:tcPr>
          <w:p w14:paraId="1B9CA1C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2,000,000 </w:t>
            </w:r>
          </w:p>
        </w:tc>
        <w:tc>
          <w:tcPr>
            <w:tcW w:w="1188" w:type="dxa"/>
            <w:tcBorders>
              <w:top w:val="single" w:sz="4" w:space="0" w:color="auto"/>
              <w:left w:val="single" w:sz="4" w:space="0" w:color="auto"/>
              <w:bottom w:val="single" w:sz="4" w:space="0" w:color="auto"/>
              <w:right w:val="single" w:sz="4" w:space="0" w:color="auto"/>
            </w:tcBorders>
            <w:noWrap/>
            <w:hideMark/>
          </w:tcPr>
          <w:p w14:paraId="62F64C3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(500,000)</w:t>
            </w:r>
          </w:p>
        </w:tc>
        <w:tc>
          <w:tcPr>
            <w:tcW w:w="1865" w:type="dxa"/>
            <w:tcBorders>
              <w:top w:val="single" w:sz="4" w:space="0" w:color="auto"/>
              <w:left w:val="single" w:sz="4" w:space="0" w:color="auto"/>
              <w:bottom w:val="single" w:sz="4" w:space="0" w:color="auto"/>
              <w:right w:val="single" w:sz="4" w:space="0" w:color="auto"/>
            </w:tcBorders>
            <w:noWrap/>
            <w:hideMark/>
          </w:tcPr>
          <w:p w14:paraId="1DD7CC4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08A9912D"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15E0382"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6EB975A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u w:val="single"/>
                <w:lang w:val="en-GB" w:eastAsia="en-US"/>
              </w:rPr>
              <w:t>Less:</w:t>
            </w:r>
            <w:r w:rsidRPr="007D7DD9">
              <w:rPr>
                <w:rFonts w:ascii="Times New Roman" w:eastAsia="Calibri" w:hAnsi="Times New Roman" w:cs="Times New Roman"/>
                <w:sz w:val="24"/>
                <w:szCs w:val="24"/>
                <w:lang w:val="en-GB" w:eastAsia="en-US"/>
              </w:rPr>
              <w:t xml:space="preserve">  Variable Costs</w:t>
            </w:r>
          </w:p>
        </w:tc>
        <w:tc>
          <w:tcPr>
            <w:tcW w:w="1556" w:type="dxa"/>
            <w:tcBorders>
              <w:top w:val="single" w:sz="4" w:space="0" w:color="auto"/>
              <w:left w:val="single" w:sz="4" w:space="0" w:color="auto"/>
              <w:bottom w:val="single" w:sz="4" w:space="0" w:color="auto"/>
              <w:right w:val="single" w:sz="4" w:space="0" w:color="auto"/>
            </w:tcBorders>
            <w:noWrap/>
            <w:hideMark/>
          </w:tcPr>
          <w:p w14:paraId="5BE3894B"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556" w:type="dxa"/>
            <w:tcBorders>
              <w:top w:val="single" w:sz="4" w:space="0" w:color="auto"/>
              <w:left w:val="single" w:sz="4" w:space="0" w:color="auto"/>
              <w:bottom w:val="single" w:sz="4" w:space="0" w:color="auto"/>
              <w:right w:val="single" w:sz="4" w:space="0" w:color="auto"/>
            </w:tcBorders>
            <w:noWrap/>
            <w:hideMark/>
          </w:tcPr>
          <w:p w14:paraId="4316E560"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606A79A0"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6FC8E296"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6D3286A1"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C332869"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01A245C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Materials</w:t>
            </w:r>
          </w:p>
        </w:tc>
        <w:tc>
          <w:tcPr>
            <w:tcW w:w="1556" w:type="dxa"/>
            <w:tcBorders>
              <w:top w:val="single" w:sz="4" w:space="0" w:color="auto"/>
              <w:left w:val="single" w:sz="4" w:space="0" w:color="auto"/>
              <w:bottom w:val="single" w:sz="4" w:space="0" w:color="auto"/>
              <w:right w:val="single" w:sz="4" w:space="0" w:color="auto"/>
            </w:tcBorders>
            <w:noWrap/>
            <w:hideMark/>
          </w:tcPr>
          <w:p w14:paraId="495B79B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(250,000)</w:t>
            </w:r>
          </w:p>
        </w:tc>
        <w:tc>
          <w:tcPr>
            <w:tcW w:w="1556" w:type="dxa"/>
            <w:tcBorders>
              <w:top w:val="single" w:sz="4" w:space="0" w:color="auto"/>
              <w:left w:val="single" w:sz="4" w:space="0" w:color="auto"/>
              <w:bottom w:val="single" w:sz="4" w:space="0" w:color="auto"/>
              <w:right w:val="single" w:sz="4" w:space="0" w:color="auto"/>
            </w:tcBorders>
            <w:noWrap/>
            <w:hideMark/>
          </w:tcPr>
          <w:p w14:paraId="5558876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(280,000)</w:t>
            </w:r>
          </w:p>
        </w:tc>
        <w:tc>
          <w:tcPr>
            <w:tcW w:w="1188" w:type="dxa"/>
            <w:tcBorders>
              <w:top w:val="single" w:sz="4" w:space="0" w:color="auto"/>
              <w:left w:val="single" w:sz="4" w:space="0" w:color="auto"/>
              <w:bottom w:val="single" w:sz="4" w:space="0" w:color="auto"/>
              <w:right w:val="single" w:sz="4" w:space="0" w:color="auto"/>
            </w:tcBorders>
            <w:noWrap/>
            <w:hideMark/>
          </w:tcPr>
          <w:p w14:paraId="404FEC7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(30,000)</w:t>
            </w:r>
          </w:p>
        </w:tc>
        <w:tc>
          <w:tcPr>
            <w:tcW w:w="1865" w:type="dxa"/>
            <w:tcBorders>
              <w:top w:val="single" w:sz="4" w:space="0" w:color="auto"/>
              <w:left w:val="single" w:sz="4" w:space="0" w:color="auto"/>
              <w:bottom w:val="single" w:sz="4" w:space="0" w:color="auto"/>
              <w:right w:val="single" w:sz="4" w:space="0" w:color="auto"/>
            </w:tcBorders>
            <w:noWrap/>
            <w:hideMark/>
          </w:tcPr>
          <w:p w14:paraId="552E52FD"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7D01C5C5"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663BCB5"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7B4B4D1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Labour</w:t>
            </w:r>
          </w:p>
        </w:tc>
        <w:tc>
          <w:tcPr>
            <w:tcW w:w="1556" w:type="dxa"/>
            <w:tcBorders>
              <w:top w:val="single" w:sz="4" w:space="0" w:color="auto"/>
              <w:left w:val="single" w:sz="4" w:space="0" w:color="auto"/>
              <w:bottom w:val="single" w:sz="4" w:space="0" w:color="auto"/>
              <w:right w:val="single" w:sz="4" w:space="0" w:color="auto"/>
            </w:tcBorders>
            <w:noWrap/>
            <w:hideMark/>
          </w:tcPr>
          <w:p w14:paraId="12D91CF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(400,000)</w:t>
            </w:r>
          </w:p>
        </w:tc>
        <w:tc>
          <w:tcPr>
            <w:tcW w:w="1556" w:type="dxa"/>
            <w:tcBorders>
              <w:top w:val="single" w:sz="4" w:space="0" w:color="auto"/>
              <w:left w:val="single" w:sz="4" w:space="0" w:color="auto"/>
              <w:bottom w:val="single" w:sz="4" w:space="0" w:color="auto"/>
              <w:right w:val="single" w:sz="4" w:space="0" w:color="auto"/>
            </w:tcBorders>
            <w:noWrap/>
            <w:hideMark/>
          </w:tcPr>
          <w:p w14:paraId="2E38C66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(440,000)</w:t>
            </w:r>
          </w:p>
        </w:tc>
        <w:tc>
          <w:tcPr>
            <w:tcW w:w="1188" w:type="dxa"/>
            <w:tcBorders>
              <w:top w:val="single" w:sz="4" w:space="0" w:color="auto"/>
              <w:left w:val="single" w:sz="4" w:space="0" w:color="auto"/>
              <w:bottom w:val="single" w:sz="4" w:space="0" w:color="auto"/>
              <w:right w:val="single" w:sz="4" w:space="0" w:color="auto"/>
            </w:tcBorders>
            <w:noWrap/>
            <w:hideMark/>
          </w:tcPr>
          <w:p w14:paraId="53216B9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(40,000)</w:t>
            </w:r>
          </w:p>
        </w:tc>
        <w:tc>
          <w:tcPr>
            <w:tcW w:w="1865" w:type="dxa"/>
            <w:tcBorders>
              <w:top w:val="single" w:sz="4" w:space="0" w:color="auto"/>
              <w:left w:val="single" w:sz="4" w:space="0" w:color="auto"/>
              <w:bottom w:val="single" w:sz="4" w:space="0" w:color="auto"/>
              <w:right w:val="single" w:sz="4" w:space="0" w:color="auto"/>
            </w:tcBorders>
            <w:noWrap/>
            <w:hideMark/>
          </w:tcPr>
          <w:p w14:paraId="44293C7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177C8B20"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80D1246"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3882DD1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Overhead</w:t>
            </w:r>
          </w:p>
        </w:tc>
        <w:tc>
          <w:tcPr>
            <w:tcW w:w="1556" w:type="dxa"/>
            <w:tcBorders>
              <w:top w:val="single" w:sz="4" w:space="0" w:color="auto"/>
              <w:left w:val="single" w:sz="4" w:space="0" w:color="auto"/>
              <w:bottom w:val="single" w:sz="4" w:space="0" w:color="auto"/>
              <w:right w:val="single" w:sz="4" w:space="0" w:color="auto"/>
            </w:tcBorders>
            <w:noWrap/>
            <w:hideMark/>
          </w:tcPr>
          <w:p w14:paraId="0F67ECF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(150,000)</w:t>
            </w:r>
          </w:p>
        </w:tc>
        <w:tc>
          <w:tcPr>
            <w:tcW w:w="1556" w:type="dxa"/>
            <w:tcBorders>
              <w:top w:val="single" w:sz="4" w:space="0" w:color="auto"/>
              <w:left w:val="single" w:sz="4" w:space="0" w:color="auto"/>
              <w:bottom w:val="single" w:sz="4" w:space="0" w:color="auto"/>
              <w:right w:val="single" w:sz="4" w:space="0" w:color="auto"/>
            </w:tcBorders>
            <w:noWrap/>
            <w:hideMark/>
          </w:tcPr>
          <w:p w14:paraId="20FB332D"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(120,000)</w:t>
            </w:r>
          </w:p>
        </w:tc>
        <w:tc>
          <w:tcPr>
            <w:tcW w:w="1188" w:type="dxa"/>
            <w:tcBorders>
              <w:top w:val="single" w:sz="4" w:space="0" w:color="auto"/>
              <w:left w:val="single" w:sz="4" w:space="0" w:color="auto"/>
              <w:bottom w:val="single" w:sz="4" w:space="0" w:color="auto"/>
              <w:right w:val="single" w:sz="4" w:space="0" w:color="auto"/>
            </w:tcBorders>
            <w:noWrap/>
            <w:hideMark/>
          </w:tcPr>
          <w:p w14:paraId="5FE6FE9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30,000 </w:t>
            </w:r>
          </w:p>
        </w:tc>
        <w:tc>
          <w:tcPr>
            <w:tcW w:w="1865" w:type="dxa"/>
            <w:tcBorders>
              <w:top w:val="single" w:sz="4" w:space="0" w:color="auto"/>
              <w:left w:val="single" w:sz="4" w:space="0" w:color="auto"/>
              <w:bottom w:val="single" w:sz="4" w:space="0" w:color="auto"/>
              <w:right w:val="single" w:sz="4" w:space="0" w:color="auto"/>
            </w:tcBorders>
            <w:noWrap/>
            <w:hideMark/>
          </w:tcPr>
          <w:p w14:paraId="3BC1DE5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39109C4F"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FF20F56"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24431F60"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3E17642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556" w:type="dxa"/>
            <w:tcBorders>
              <w:top w:val="single" w:sz="4" w:space="0" w:color="auto"/>
              <w:left w:val="single" w:sz="4" w:space="0" w:color="auto"/>
              <w:bottom w:val="single" w:sz="4" w:space="0" w:color="auto"/>
              <w:right w:val="single" w:sz="4" w:space="0" w:color="auto"/>
            </w:tcBorders>
            <w:noWrap/>
            <w:hideMark/>
          </w:tcPr>
          <w:p w14:paraId="226990B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188" w:type="dxa"/>
            <w:tcBorders>
              <w:top w:val="single" w:sz="4" w:space="0" w:color="auto"/>
              <w:left w:val="single" w:sz="4" w:space="0" w:color="auto"/>
              <w:bottom w:val="single" w:sz="4" w:space="0" w:color="auto"/>
              <w:right w:val="single" w:sz="4" w:space="0" w:color="auto"/>
            </w:tcBorders>
            <w:noWrap/>
            <w:hideMark/>
          </w:tcPr>
          <w:p w14:paraId="46E2B6C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865" w:type="dxa"/>
            <w:tcBorders>
              <w:top w:val="single" w:sz="4" w:space="0" w:color="auto"/>
              <w:left w:val="single" w:sz="4" w:space="0" w:color="auto"/>
              <w:bottom w:val="single" w:sz="4" w:space="0" w:color="auto"/>
              <w:right w:val="single" w:sz="4" w:space="0" w:color="auto"/>
            </w:tcBorders>
            <w:noWrap/>
            <w:hideMark/>
          </w:tcPr>
          <w:p w14:paraId="028B678F"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274B991B"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D4967DB"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14220F48"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Contribution</w:t>
            </w:r>
          </w:p>
        </w:tc>
        <w:tc>
          <w:tcPr>
            <w:tcW w:w="1556" w:type="dxa"/>
            <w:tcBorders>
              <w:top w:val="single" w:sz="4" w:space="0" w:color="auto"/>
              <w:left w:val="single" w:sz="4" w:space="0" w:color="auto"/>
              <w:bottom w:val="single" w:sz="4" w:space="0" w:color="auto"/>
              <w:right w:val="single" w:sz="4" w:space="0" w:color="auto"/>
            </w:tcBorders>
            <w:noWrap/>
            <w:hideMark/>
          </w:tcPr>
          <w:p w14:paraId="79B10502"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1,700,000 </w:t>
            </w:r>
          </w:p>
        </w:tc>
        <w:tc>
          <w:tcPr>
            <w:tcW w:w="1556" w:type="dxa"/>
            <w:tcBorders>
              <w:top w:val="single" w:sz="4" w:space="0" w:color="auto"/>
              <w:left w:val="single" w:sz="4" w:space="0" w:color="auto"/>
              <w:bottom w:val="single" w:sz="4" w:space="0" w:color="auto"/>
              <w:right w:val="single" w:sz="4" w:space="0" w:color="auto"/>
            </w:tcBorders>
            <w:noWrap/>
            <w:hideMark/>
          </w:tcPr>
          <w:p w14:paraId="171A2559"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1,160,000 </w:t>
            </w:r>
          </w:p>
        </w:tc>
        <w:tc>
          <w:tcPr>
            <w:tcW w:w="1188" w:type="dxa"/>
            <w:tcBorders>
              <w:top w:val="single" w:sz="4" w:space="0" w:color="auto"/>
              <w:left w:val="single" w:sz="4" w:space="0" w:color="auto"/>
              <w:bottom w:val="single" w:sz="4" w:space="0" w:color="auto"/>
              <w:right w:val="single" w:sz="4" w:space="0" w:color="auto"/>
            </w:tcBorders>
            <w:noWrap/>
            <w:hideMark/>
          </w:tcPr>
          <w:p w14:paraId="6117987A"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(540,000)</w:t>
            </w:r>
          </w:p>
        </w:tc>
        <w:tc>
          <w:tcPr>
            <w:tcW w:w="1865" w:type="dxa"/>
            <w:tcBorders>
              <w:top w:val="single" w:sz="4" w:space="0" w:color="auto"/>
              <w:left w:val="single" w:sz="4" w:space="0" w:color="auto"/>
              <w:bottom w:val="single" w:sz="4" w:space="0" w:color="auto"/>
              <w:right w:val="single" w:sz="4" w:space="0" w:color="auto"/>
            </w:tcBorders>
            <w:noWrap/>
            <w:hideMark/>
          </w:tcPr>
          <w:p w14:paraId="614175A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78A58002"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A3D69F1"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411600D1"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042A2999"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608A73A0"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3A829EF0"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4018208C"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492DD035"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002CD52D"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52FAC9F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u w:val="single"/>
                <w:lang w:val="en-GB" w:eastAsia="en-US"/>
              </w:rPr>
              <w:t>Less:</w:t>
            </w:r>
            <w:r w:rsidRPr="007D7DD9">
              <w:rPr>
                <w:rFonts w:ascii="Times New Roman" w:eastAsia="Calibri" w:hAnsi="Times New Roman" w:cs="Times New Roman"/>
                <w:sz w:val="24"/>
                <w:szCs w:val="24"/>
                <w:lang w:val="en-GB" w:eastAsia="en-US"/>
              </w:rPr>
              <w:t xml:space="preserve">  Fixed Overheads</w:t>
            </w:r>
          </w:p>
        </w:tc>
        <w:tc>
          <w:tcPr>
            <w:tcW w:w="1556" w:type="dxa"/>
            <w:tcBorders>
              <w:top w:val="single" w:sz="4" w:space="0" w:color="auto"/>
              <w:left w:val="single" w:sz="4" w:space="0" w:color="auto"/>
              <w:bottom w:val="single" w:sz="4" w:space="0" w:color="auto"/>
              <w:right w:val="single" w:sz="4" w:space="0" w:color="auto"/>
            </w:tcBorders>
            <w:noWrap/>
            <w:hideMark/>
          </w:tcPr>
          <w:p w14:paraId="7A238995"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556" w:type="dxa"/>
            <w:tcBorders>
              <w:top w:val="single" w:sz="4" w:space="0" w:color="auto"/>
              <w:left w:val="single" w:sz="4" w:space="0" w:color="auto"/>
              <w:bottom w:val="single" w:sz="4" w:space="0" w:color="auto"/>
              <w:right w:val="single" w:sz="4" w:space="0" w:color="auto"/>
            </w:tcBorders>
            <w:noWrap/>
            <w:hideMark/>
          </w:tcPr>
          <w:p w14:paraId="40621AD5"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0EAC210B"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7C7C574B"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62A32EA7"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7D9953BF"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7E2EC61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Warehouse Rental</w:t>
            </w:r>
          </w:p>
        </w:tc>
        <w:tc>
          <w:tcPr>
            <w:tcW w:w="1556" w:type="dxa"/>
            <w:tcBorders>
              <w:top w:val="single" w:sz="4" w:space="0" w:color="auto"/>
              <w:left w:val="single" w:sz="4" w:space="0" w:color="auto"/>
              <w:bottom w:val="single" w:sz="4" w:space="0" w:color="auto"/>
              <w:right w:val="single" w:sz="4" w:space="0" w:color="auto"/>
            </w:tcBorders>
            <w:noWrap/>
            <w:hideMark/>
          </w:tcPr>
          <w:p w14:paraId="6371416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(200,000)</w:t>
            </w:r>
          </w:p>
        </w:tc>
        <w:tc>
          <w:tcPr>
            <w:tcW w:w="1556" w:type="dxa"/>
            <w:tcBorders>
              <w:top w:val="single" w:sz="4" w:space="0" w:color="auto"/>
              <w:left w:val="single" w:sz="4" w:space="0" w:color="auto"/>
              <w:bottom w:val="single" w:sz="4" w:space="0" w:color="auto"/>
              <w:right w:val="single" w:sz="4" w:space="0" w:color="auto"/>
            </w:tcBorders>
            <w:noWrap/>
            <w:hideMark/>
          </w:tcPr>
          <w:p w14:paraId="0AE80F4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(170,000)</w:t>
            </w:r>
          </w:p>
        </w:tc>
        <w:tc>
          <w:tcPr>
            <w:tcW w:w="1188" w:type="dxa"/>
            <w:tcBorders>
              <w:top w:val="single" w:sz="4" w:space="0" w:color="auto"/>
              <w:left w:val="single" w:sz="4" w:space="0" w:color="auto"/>
              <w:bottom w:val="single" w:sz="4" w:space="0" w:color="auto"/>
              <w:right w:val="single" w:sz="4" w:space="0" w:color="auto"/>
            </w:tcBorders>
            <w:noWrap/>
            <w:hideMark/>
          </w:tcPr>
          <w:p w14:paraId="039EC30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30,000 </w:t>
            </w:r>
          </w:p>
        </w:tc>
        <w:tc>
          <w:tcPr>
            <w:tcW w:w="1865" w:type="dxa"/>
            <w:tcBorders>
              <w:top w:val="single" w:sz="4" w:space="0" w:color="auto"/>
              <w:left w:val="single" w:sz="4" w:space="0" w:color="auto"/>
              <w:bottom w:val="single" w:sz="4" w:space="0" w:color="auto"/>
              <w:right w:val="single" w:sz="4" w:space="0" w:color="auto"/>
            </w:tcBorders>
            <w:noWrap/>
            <w:hideMark/>
          </w:tcPr>
          <w:p w14:paraId="7CABB74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6631761F"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2941B348"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5887993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Insurance</w:t>
            </w:r>
          </w:p>
        </w:tc>
        <w:tc>
          <w:tcPr>
            <w:tcW w:w="1556" w:type="dxa"/>
            <w:tcBorders>
              <w:top w:val="single" w:sz="4" w:space="0" w:color="auto"/>
              <w:left w:val="single" w:sz="4" w:space="0" w:color="auto"/>
              <w:bottom w:val="single" w:sz="4" w:space="0" w:color="auto"/>
              <w:right w:val="single" w:sz="4" w:space="0" w:color="auto"/>
            </w:tcBorders>
            <w:noWrap/>
            <w:hideMark/>
          </w:tcPr>
          <w:p w14:paraId="650E88F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(100,000)</w:t>
            </w:r>
          </w:p>
        </w:tc>
        <w:tc>
          <w:tcPr>
            <w:tcW w:w="1556" w:type="dxa"/>
            <w:tcBorders>
              <w:top w:val="single" w:sz="4" w:space="0" w:color="auto"/>
              <w:left w:val="single" w:sz="4" w:space="0" w:color="auto"/>
              <w:bottom w:val="single" w:sz="4" w:space="0" w:color="auto"/>
              <w:right w:val="single" w:sz="4" w:space="0" w:color="auto"/>
            </w:tcBorders>
            <w:noWrap/>
            <w:hideMark/>
          </w:tcPr>
          <w:p w14:paraId="79A90A0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(100,000)</w:t>
            </w:r>
          </w:p>
        </w:tc>
        <w:tc>
          <w:tcPr>
            <w:tcW w:w="1188" w:type="dxa"/>
            <w:tcBorders>
              <w:top w:val="single" w:sz="4" w:space="0" w:color="auto"/>
              <w:left w:val="single" w:sz="4" w:space="0" w:color="auto"/>
              <w:bottom w:val="single" w:sz="4" w:space="0" w:color="auto"/>
              <w:right w:val="single" w:sz="4" w:space="0" w:color="auto"/>
            </w:tcBorders>
            <w:noWrap/>
            <w:hideMark/>
          </w:tcPr>
          <w:p w14:paraId="64F18A8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   </w:t>
            </w:r>
          </w:p>
        </w:tc>
        <w:tc>
          <w:tcPr>
            <w:tcW w:w="1865" w:type="dxa"/>
            <w:tcBorders>
              <w:top w:val="single" w:sz="4" w:space="0" w:color="auto"/>
              <w:left w:val="single" w:sz="4" w:space="0" w:color="auto"/>
              <w:bottom w:val="single" w:sz="4" w:space="0" w:color="auto"/>
              <w:right w:val="single" w:sz="4" w:space="0" w:color="auto"/>
            </w:tcBorders>
            <w:noWrap/>
            <w:hideMark/>
          </w:tcPr>
          <w:p w14:paraId="215C1F8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78B4C794"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28D706F"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571F1EC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Fulltime warehouse supervisor salary</w:t>
            </w:r>
          </w:p>
        </w:tc>
        <w:tc>
          <w:tcPr>
            <w:tcW w:w="1556" w:type="dxa"/>
            <w:tcBorders>
              <w:top w:val="single" w:sz="4" w:space="0" w:color="auto"/>
              <w:left w:val="single" w:sz="4" w:space="0" w:color="auto"/>
              <w:bottom w:val="single" w:sz="4" w:space="0" w:color="auto"/>
              <w:right w:val="single" w:sz="4" w:space="0" w:color="auto"/>
            </w:tcBorders>
            <w:noWrap/>
            <w:hideMark/>
          </w:tcPr>
          <w:p w14:paraId="5FEB901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(50,000)</w:t>
            </w:r>
          </w:p>
        </w:tc>
        <w:tc>
          <w:tcPr>
            <w:tcW w:w="1556" w:type="dxa"/>
            <w:tcBorders>
              <w:top w:val="single" w:sz="4" w:space="0" w:color="auto"/>
              <w:left w:val="single" w:sz="4" w:space="0" w:color="auto"/>
              <w:bottom w:val="single" w:sz="4" w:space="0" w:color="auto"/>
              <w:right w:val="single" w:sz="4" w:space="0" w:color="auto"/>
            </w:tcBorders>
            <w:noWrap/>
            <w:hideMark/>
          </w:tcPr>
          <w:p w14:paraId="6B03316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(35,000)</w:t>
            </w:r>
          </w:p>
        </w:tc>
        <w:tc>
          <w:tcPr>
            <w:tcW w:w="1188" w:type="dxa"/>
            <w:tcBorders>
              <w:top w:val="single" w:sz="4" w:space="0" w:color="auto"/>
              <w:left w:val="single" w:sz="4" w:space="0" w:color="auto"/>
              <w:bottom w:val="single" w:sz="4" w:space="0" w:color="auto"/>
              <w:right w:val="single" w:sz="4" w:space="0" w:color="auto"/>
            </w:tcBorders>
            <w:noWrap/>
            <w:hideMark/>
          </w:tcPr>
          <w:p w14:paraId="748BD41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15,000 </w:t>
            </w:r>
          </w:p>
        </w:tc>
        <w:tc>
          <w:tcPr>
            <w:tcW w:w="1865" w:type="dxa"/>
            <w:tcBorders>
              <w:top w:val="single" w:sz="4" w:space="0" w:color="auto"/>
              <w:left w:val="single" w:sz="4" w:space="0" w:color="auto"/>
              <w:bottom w:val="single" w:sz="4" w:space="0" w:color="auto"/>
              <w:right w:val="single" w:sz="4" w:space="0" w:color="auto"/>
            </w:tcBorders>
            <w:noWrap/>
            <w:hideMark/>
          </w:tcPr>
          <w:p w14:paraId="3355AC0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46F25C34"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A596676"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62BC93B5"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777B749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556" w:type="dxa"/>
            <w:tcBorders>
              <w:top w:val="single" w:sz="4" w:space="0" w:color="auto"/>
              <w:left w:val="single" w:sz="4" w:space="0" w:color="auto"/>
              <w:bottom w:val="single" w:sz="4" w:space="0" w:color="auto"/>
              <w:right w:val="single" w:sz="4" w:space="0" w:color="auto"/>
            </w:tcBorders>
            <w:noWrap/>
            <w:hideMark/>
          </w:tcPr>
          <w:p w14:paraId="5634F65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188" w:type="dxa"/>
            <w:tcBorders>
              <w:top w:val="single" w:sz="4" w:space="0" w:color="auto"/>
              <w:left w:val="single" w:sz="4" w:space="0" w:color="auto"/>
              <w:bottom w:val="single" w:sz="4" w:space="0" w:color="auto"/>
              <w:right w:val="single" w:sz="4" w:space="0" w:color="auto"/>
            </w:tcBorders>
            <w:noWrap/>
            <w:hideMark/>
          </w:tcPr>
          <w:p w14:paraId="48DC0D1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865" w:type="dxa"/>
            <w:tcBorders>
              <w:top w:val="single" w:sz="4" w:space="0" w:color="auto"/>
              <w:left w:val="single" w:sz="4" w:space="0" w:color="auto"/>
              <w:bottom w:val="single" w:sz="4" w:space="0" w:color="auto"/>
              <w:right w:val="single" w:sz="4" w:space="0" w:color="auto"/>
            </w:tcBorders>
            <w:noWrap/>
            <w:hideMark/>
          </w:tcPr>
          <w:p w14:paraId="3CEF6494"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5D5A5765"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5AC819F2"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499837B3"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Profit</w:t>
            </w:r>
          </w:p>
        </w:tc>
        <w:tc>
          <w:tcPr>
            <w:tcW w:w="1556" w:type="dxa"/>
            <w:tcBorders>
              <w:top w:val="single" w:sz="4" w:space="0" w:color="auto"/>
              <w:left w:val="single" w:sz="4" w:space="0" w:color="auto"/>
              <w:bottom w:val="single" w:sz="4" w:space="0" w:color="auto"/>
              <w:right w:val="single" w:sz="4" w:space="0" w:color="auto"/>
            </w:tcBorders>
            <w:noWrap/>
            <w:hideMark/>
          </w:tcPr>
          <w:p w14:paraId="6F9D9F3F"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1,350,000 </w:t>
            </w:r>
          </w:p>
        </w:tc>
        <w:tc>
          <w:tcPr>
            <w:tcW w:w="1556" w:type="dxa"/>
            <w:tcBorders>
              <w:top w:val="single" w:sz="4" w:space="0" w:color="auto"/>
              <w:left w:val="single" w:sz="4" w:space="0" w:color="auto"/>
              <w:bottom w:val="single" w:sz="4" w:space="0" w:color="auto"/>
              <w:right w:val="single" w:sz="4" w:space="0" w:color="auto"/>
            </w:tcBorders>
            <w:noWrap/>
            <w:hideMark/>
          </w:tcPr>
          <w:p w14:paraId="0CF33032"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855,000 </w:t>
            </w:r>
          </w:p>
        </w:tc>
        <w:tc>
          <w:tcPr>
            <w:tcW w:w="1188" w:type="dxa"/>
            <w:tcBorders>
              <w:top w:val="single" w:sz="4" w:space="0" w:color="auto"/>
              <w:left w:val="single" w:sz="4" w:space="0" w:color="auto"/>
              <w:bottom w:val="single" w:sz="4" w:space="0" w:color="auto"/>
              <w:right w:val="single" w:sz="4" w:space="0" w:color="auto"/>
            </w:tcBorders>
            <w:noWrap/>
            <w:hideMark/>
          </w:tcPr>
          <w:p w14:paraId="688CAED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(495,000)</w:t>
            </w:r>
          </w:p>
        </w:tc>
        <w:tc>
          <w:tcPr>
            <w:tcW w:w="1865" w:type="dxa"/>
            <w:tcBorders>
              <w:top w:val="single" w:sz="4" w:space="0" w:color="auto"/>
              <w:left w:val="single" w:sz="4" w:space="0" w:color="auto"/>
              <w:bottom w:val="single" w:sz="4" w:space="0" w:color="auto"/>
              <w:right w:val="single" w:sz="4" w:space="0" w:color="auto"/>
            </w:tcBorders>
            <w:noWrap/>
            <w:hideMark/>
          </w:tcPr>
          <w:p w14:paraId="781BCB7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0E02D574"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DD7A790"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05443268"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244E7342"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70A87CA5"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0AC2C5B3"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6D270BF6"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35B877E4"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DC38B00"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71B839E4"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391D730"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CF933EA"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0F496BEE"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0EBE4DB9"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02191103"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00DC3CD3"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1C1619B6"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16E5114B"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6CD535BC"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4A7B5A6E"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79490A32"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517B248C"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6AE427C" w14:textId="77777777" w:rsidR="007D7DD9" w:rsidRPr="007D7DD9" w:rsidRDefault="007D7DD9" w:rsidP="007D7DD9">
            <w:pPr>
              <w:spacing w:line="240" w:lineRule="auto"/>
              <w:jc w:val="center"/>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lastRenderedPageBreak/>
              <w:t>II</w:t>
            </w:r>
          </w:p>
        </w:tc>
        <w:tc>
          <w:tcPr>
            <w:tcW w:w="3080" w:type="dxa"/>
            <w:tcBorders>
              <w:top w:val="single" w:sz="4" w:space="0" w:color="auto"/>
              <w:left w:val="single" w:sz="4" w:space="0" w:color="auto"/>
              <w:bottom w:val="single" w:sz="4" w:space="0" w:color="auto"/>
              <w:right w:val="single" w:sz="4" w:space="0" w:color="auto"/>
            </w:tcBorders>
            <w:noWrap/>
            <w:hideMark/>
          </w:tcPr>
          <w:p w14:paraId="363950D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Amana's performance during the year 2020</w:t>
            </w:r>
          </w:p>
        </w:tc>
        <w:tc>
          <w:tcPr>
            <w:tcW w:w="1556" w:type="dxa"/>
            <w:tcBorders>
              <w:top w:val="single" w:sz="4" w:space="0" w:color="auto"/>
              <w:left w:val="single" w:sz="4" w:space="0" w:color="auto"/>
              <w:bottom w:val="single" w:sz="4" w:space="0" w:color="auto"/>
              <w:right w:val="single" w:sz="4" w:space="0" w:color="auto"/>
            </w:tcBorders>
            <w:noWrap/>
            <w:hideMark/>
          </w:tcPr>
          <w:p w14:paraId="4FDEFEA7"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556" w:type="dxa"/>
            <w:tcBorders>
              <w:top w:val="single" w:sz="4" w:space="0" w:color="auto"/>
              <w:left w:val="single" w:sz="4" w:space="0" w:color="auto"/>
              <w:bottom w:val="single" w:sz="4" w:space="0" w:color="auto"/>
              <w:right w:val="single" w:sz="4" w:space="0" w:color="auto"/>
            </w:tcBorders>
            <w:noWrap/>
            <w:hideMark/>
          </w:tcPr>
          <w:p w14:paraId="38DC2F80"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72170B60"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791C65D2"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18E2A1F9"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7C35E10D"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3A07B9E4"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55733791"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027AA6A"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4CC17E32"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36132E43"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33C28EF2"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96C9AEF"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6680959E"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Particulars</w:t>
            </w:r>
          </w:p>
        </w:tc>
        <w:tc>
          <w:tcPr>
            <w:tcW w:w="1556" w:type="dxa"/>
            <w:tcBorders>
              <w:top w:val="single" w:sz="4" w:space="0" w:color="auto"/>
              <w:left w:val="single" w:sz="4" w:space="0" w:color="auto"/>
              <w:bottom w:val="single" w:sz="4" w:space="0" w:color="auto"/>
              <w:right w:val="single" w:sz="4" w:space="0" w:color="auto"/>
            </w:tcBorders>
            <w:noWrap/>
            <w:hideMark/>
          </w:tcPr>
          <w:p w14:paraId="6DF8C395"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Original </w:t>
            </w:r>
            <w:proofErr w:type="gramStart"/>
            <w:r w:rsidRPr="007D7DD9">
              <w:rPr>
                <w:rFonts w:ascii="Times New Roman" w:eastAsia="Calibri" w:hAnsi="Times New Roman" w:cs="Times New Roman"/>
                <w:b/>
                <w:bCs/>
                <w:sz w:val="24"/>
                <w:szCs w:val="24"/>
                <w:lang w:val="en-GB" w:eastAsia="en-US"/>
              </w:rPr>
              <w:t>Budget  (</w:t>
            </w:r>
            <w:proofErr w:type="gramEnd"/>
            <w:r w:rsidRPr="007D7DD9">
              <w:rPr>
                <w:rFonts w:ascii="Times New Roman" w:eastAsia="Calibri" w:hAnsi="Times New Roman" w:cs="Times New Roman"/>
                <w:b/>
                <w:bCs/>
                <w:sz w:val="24"/>
                <w:szCs w:val="24"/>
                <w:lang w:val="en-GB" w:eastAsia="en-US"/>
              </w:rPr>
              <w:t xml:space="preserve">£) </w:t>
            </w:r>
          </w:p>
        </w:tc>
        <w:tc>
          <w:tcPr>
            <w:tcW w:w="1556" w:type="dxa"/>
            <w:tcBorders>
              <w:top w:val="single" w:sz="4" w:space="0" w:color="auto"/>
              <w:left w:val="single" w:sz="4" w:space="0" w:color="auto"/>
              <w:bottom w:val="single" w:sz="4" w:space="0" w:color="auto"/>
              <w:right w:val="single" w:sz="4" w:space="0" w:color="auto"/>
            </w:tcBorders>
            <w:noWrap/>
            <w:hideMark/>
          </w:tcPr>
          <w:p w14:paraId="7B742EA0"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w:t>
            </w:r>
            <w:proofErr w:type="gramStart"/>
            <w:r w:rsidRPr="007D7DD9">
              <w:rPr>
                <w:rFonts w:ascii="Times New Roman" w:eastAsia="Calibri" w:hAnsi="Times New Roman" w:cs="Times New Roman"/>
                <w:b/>
                <w:bCs/>
                <w:sz w:val="24"/>
                <w:szCs w:val="24"/>
                <w:lang w:val="en-GB" w:eastAsia="en-US"/>
              </w:rPr>
              <w:t>Actual  (</w:t>
            </w:r>
            <w:proofErr w:type="gramEnd"/>
            <w:r w:rsidRPr="007D7DD9">
              <w:rPr>
                <w:rFonts w:ascii="Times New Roman" w:eastAsia="Calibri" w:hAnsi="Times New Roman" w:cs="Times New Roman"/>
                <w:b/>
                <w:bCs/>
                <w:sz w:val="24"/>
                <w:szCs w:val="24"/>
                <w:lang w:val="en-GB" w:eastAsia="en-US"/>
              </w:rPr>
              <w:t xml:space="preserve">£) </w:t>
            </w:r>
          </w:p>
        </w:tc>
        <w:tc>
          <w:tcPr>
            <w:tcW w:w="1188" w:type="dxa"/>
            <w:tcBorders>
              <w:top w:val="single" w:sz="4" w:space="0" w:color="auto"/>
              <w:left w:val="single" w:sz="4" w:space="0" w:color="auto"/>
              <w:bottom w:val="single" w:sz="4" w:space="0" w:color="auto"/>
              <w:right w:val="single" w:sz="4" w:space="0" w:color="auto"/>
            </w:tcBorders>
            <w:noWrap/>
            <w:hideMark/>
          </w:tcPr>
          <w:p w14:paraId="332DA7F0"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Variances</w:t>
            </w:r>
          </w:p>
        </w:tc>
        <w:tc>
          <w:tcPr>
            <w:tcW w:w="1865" w:type="dxa"/>
            <w:tcBorders>
              <w:top w:val="single" w:sz="4" w:space="0" w:color="auto"/>
              <w:left w:val="single" w:sz="4" w:space="0" w:color="auto"/>
              <w:bottom w:val="single" w:sz="4" w:space="0" w:color="auto"/>
              <w:right w:val="single" w:sz="4" w:space="0" w:color="auto"/>
            </w:tcBorders>
            <w:noWrap/>
            <w:hideMark/>
          </w:tcPr>
          <w:p w14:paraId="799066BE"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r>
      <w:tr w:rsidR="007D7DD9" w:rsidRPr="007D7DD9" w14:paraId="34648ED5"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9F2A092"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7C06E5E4"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2FAE4867"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C1C5289"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759737AB"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453F9C86"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03D28564"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0C8462B"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6E38895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Units</w:t>
            </w:r>
          </w:p>
        </w:tc>
        <w:tc>
          <w:tcPr>
            <w:tcW w:w="1556" w:type="dxa"/>
            <w:tcBorders>
              <w:top w:val="single" w:sz="4" w:space="0" w:color="auto"/>
              <w:left w:val="single" w:sz="4" w:space="0" w:color="auto"/>
              <w:bottom w:val="single" w:sz="4" w:space="0" w:color="auto"/>
              <w:right w:val="single" w:sz="4" w:space="0" w:color="auto"/>
            </w:tcBorders>
            <w:noWrap/>
            <w:hideMark/>
          </w:tcPr>
          <w:p w14:paraId="09FA489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1,200,000 </w:t>
            </w:r>
          </w:p>
        </w:tc>
        <w:tc>
          <w:tcPr>
            <w:tcW w:w="1556" w:type="dxa"/>
            <w:tcBorders>
              <w:top w:val="single" w:sz="4" w:space="0" w:color="auto"/>
              <w:left w:val="single" w:sz="4" w:space="0" w:color="auto"/>
              <w:bottom w:val="single" w:sz="4" w:space="0" w:color="auto"/>
              <w:right w:val="single" w:sz="4" w:space="0" w:color="auto"/>
            </w:tcBorders>
            <w:noWrap/>
            <w:hideMark/>
          </w:tcPr>
          <w:p w14:paraId="61BEBAB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960,000 </w:t>
            </w:r>
          </w:p>
        </w:tc>
        <w:tc>
          <w:tcPr>
            <w:tcW w:w="1188" w:type="dxa"/>
            <w:tcBorders>
              <w:top w:val="single" w:sz="4" w:space="0" w:color="auto"/>
              <w:left w:val="single" w:sz="4" w:space="0" w:color="auto"/>
              <w:bottom w:val="single" w:sz="4" w:space="0" w:color="auto"/>
              <w:right w:val="single" w:sz="4" w:space="0" w:color="auto"/>
            </w:tcBorders>
            <w:noWrap/>
            <w:hideMark/>
          </w:tcPr>
          <w:p w14:paraId="6D0DE8BA"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865" w:type="dxa"/>
            <w:tcBorders>
              <w:top w:val="single" w:sz="4" w:space="0" w:color="auto"/>
              <w:left w:val="single" w:sz="4" w:space="0" w:color="auto"/>
              <w:bottom w:val="single" w:sz="4" w:space="0" w:color="auto"/>
              <w:right w:val="single" w:sz="4" w:space="0" w:color="auto"/>
            </w:tcBorders>
            <w:noWrap/>
            <w:hideMark/>
          </w:tcPr>
          <w:p w14:paraId="49A61723"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696F3DC0"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3E54017B"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37C98F5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Selling Price (£)</w:t>
            </w:r>
          </w:p>
        </w:tc>
        <w:tc>
          <w:tcPr>
            <w:tcW w:w="1556" w:type="dxa"/>
            <w:tcBorders>
              <w:top w:val="single" w:sz="4" w:space="0" w:color="auto"/>
              <w:left w:val="single" w:sz="4" w:space="0" w:color="auto"/>
              <w:bottom w:val="single" w:sz="4" w:space="0" w:color="auto"/>
              <w:right w:val="single" w:sz="4" w:space="0" w:color="auto"/>
            </w:tcBorders>
            <w:noWrap/>
            <w:hideMark/>
          </w:tcPr>
          <w:p w14:paraId="4A8CFDA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 </w:t>
            </w:r>
          </w:p>
        </w:tc>
        <w:tc>
          <w:tcPr>
            <w:tcW w:w="1556" w:type="dxa"/>
            <w:tcBorders>
              <w:top w:val="single" w:sz="4" w:space="0" w:color="auto"/>
              <w:left w:val="single" w:sz="4" w:space="0" w:color="auto"/>
              <w:bottom w:val="single" w:sz="4" w:space="0" w:color="auto"/>
              <w:right w:val="single" w:sz="4" w:space="0" w:color="auto"/>
            </w:tcBorders>
            <w:noWrap/>
            <w:hideMark/>
          </w:tcPr>
          <w:p w14:paraId="1DEB017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20 </w:t>
            </w:r>
          </w:p>
        </w:tc>
        <w:tc>
          <w:tcPr>
            <w:tcW w:w="1188" w:type="dxa"/>
            <w:tcBorders>
              <w:top w:val="single" w:sz="4" w:space="0" w:color="auto"/>
              <w:left w:val="single" w:sz="4" w:space="0" w:color="auto"/>
              <w:bottom w:val="single" w:sz="4" w:space="0" w:color="auto"/>
              <w:right w:val="single" w:sz="4" w:space="0" w:color="auto"/>
            </w:tcBorders>
            <w:noWrap/>
            <w:hideMark/>
          </w:tcPr>
          <w:p w14:paraId="5BA36B32"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865" w:type="dxa"/>
            <w:tcBorders>
              <w:top w:val="single" w:sz="4" w:space="0" w:color="auto"/>
              <w:left w:val="single" w:sz="4" w:space="0" w:color="auto"/>
              <w:bottom w:val="single" w:sz="4" w:space="0" w:color="auto"/>
              <w:right w:val="single" w:sz="4" w:space="0" w:color="auto"/>
            </w:tcBorders>
            <w:noWrap/>
            <w:hideMark/>
          </w:tcPr>
          <w:p w14:paraId="275455E0"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C4508C3"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BA0E49C"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166F2A2A"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1B1398A"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6F94A62"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64A776FA"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078C4BCF"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30209B4E"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F6DDC08"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649F0BC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Sales</w:t>
            </w:r>
          </w:p>
        </w:tc>
        <w:tc>
          <w:tcPr>
            <w:tcW w:w="1556" w:type="dxa"/>
            <w:tcBorders>
              <w:top w:val="single" w:sz="4" w:space="0" w:color="auto"/>
              <w:left w:val="single" w:sz="4" w:space="0" w:color="auto"/>
              <w:bottom w:val="single" w:sz="4" w:space="0" w:color="auto"/>
              <w:right w:val="single" w:sz="4" w:space="0" w:color="auto"/>
            </w:tcBorders>
            <w:noWrap/>
            <w:hideMark/>
          </w:tcPr>
          <w:p w14:paraId="4493A84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30,000,000 </w:t>
            </w:r>
          </w:p>
        </w:tc>
        <w:tc>
          <w:tcPr>
            <w:tcW w:w="1556" w:type="dxa"/>
            <w:tcBorders>
              <w:top w:val="single" w:sz="4" w:space="0" w:color="auto"/>
              <w:left w:val="single" w:sz="4" w:space="0" w:color="auto"/>
              <w:bottom w:val="single" w:sz="4" w:space="0" w:color="auto"/>
              <w:right w:val="single" w:sz="4" w:space="0" w:color="auto"/>
            </w:tcBorders>
            <w:noWrap/>
            <w:hideMark/>
          </w:tcPr>
          <w:p w14:paraId="6FABCDE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19,200,000 </w:t>
            </w:r>
          </w:p>
        </w:tc>
        <w:tc>
          <w:tcPr>
            <w:tcW w:w="1188" w:type="dxa"/>
            <w:tcBorders>
              <w:top w:val="single" w:sz="4" w:space="0" w:color="auto"/>
              <w:left w:val="single" w:sz="4" w:space="0" w:color="auto"/>
              <w:bottom w:val="single" w:sz="4" w:space="0" w:color="auto"/>
              <w:right w:val="single" w:sz="4" w:space="0" w:color="auto"/>
            </w:tcBorders>
            <w:noWrap/>
            <w:hideMark/>
          </w:tcPr>
          <w:p w14:paraId="2D084CBA"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(10,800,000)</w:t>
            </w:r>
          </w:p>
        </w:tc>
        <w:tc>
          <w:tcPr>
            <w:tcW w:w="1865" w:type="dxa"/>
            <w:tcBorders>
              <w:top w:val="single" w:sz="4" w:space="0" w:color="auto"/>
              <w:left w:val="single" w:sz="4" w:space="0" w:color="auto"/>
              <w:bottom w:val="single" w:sz="4" w:space="0" w:color="auto"/>
              <w:right w:val="single" w:sz="4" w:space="0" w:color="auto"/>
            </w:tcBorders>
            <w:noWrap/>
            <w:hideMark/>
          </w:tcPr>
          <w:p w14:paraId="32743BA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5980FCA8"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DF2D6ED"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182C28E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u w:val="single"/>
                <w:lang w:val="en-GB" w:eastAsia="en-US"/>
              </w:rPr>
              <w:t>Less:</w:t>
            </w:r>
            <w:r w:rsidRPr="007D7DD9">
              <w:rPr>
                <w:rFonts w:ascii="Times New Roman" w:eastAsia="Calibri" w:hAnsi="Times New Roman" w:cs="Times New Roman"/>
                <w:sz w:val="24"/>
                <w:szCs w:val="24"/>
                <w:lang w:val="en-GB" w:eastAsia="en-US"/>
              </w:rPr>
              <w:t xml:space="preserve">  Variable Costs</w:t>
            </w:r>
          </w:p>
        </w:tc>
        <w:tc>
          <w:tcPr>
            <w:tcW w:w="1556" w:type="dxa"/>
            <w:tcBorders>
              <w:top w:val="single" w:sz="4" w:space="0" w:color="auto"/>
              <w:left w:val="single" w:sz="4" w:space="0" w:color="auto"/>
              <w:bottom w:val="single" w:sz="4" w:space="0" w:color="auto"/>
              <w:right w:val="single" w:sz="4" w:space="0" w:color="auto"/>
            </w:tcBorders>
            <w:noWrap/>
            <w:hideMark/>
          </w:tcPr>
          <w:p w14:paraId="7129E17C"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556" w:type="dxa"/>
            <w:tcBorders>
              <w:top w:val="single" w:sz="4" w:space="0" w:color="auto"/>
              <w:left w:val="single" w:sz="4" w:space="0" w:color="auto"/>
              <w:bottom w:val="single" w:sz="4" w:space="0" w:color="auto"/>
              <w:right w:val="single" w:sz="4" w:space="0" w:color="auto"/>
            </w:tcBorders>
            <w:noWrap/>
            <w:hideMark/>
          </w:tcPr>
          <w:p w14:paraId="6EBC3B65"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463F7A84"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0C4BF84B"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4BDB3AF6"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469A7B3"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245362B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Materials</w:t>
            </w:r>
          </w:p>
        </w:tc>
        <w:tc>
          <w:tcPr>
            <w:tcW w:w="1556" w:type="dxa"/>
            <w:tcBorders>
              <w:top w:val="single" w:sz="4" w:space="0" w:color="auto"/>
              <w:left w:val="single" w:sz="4" w:space="0" w:color="auto"/>
              <w:bottom w:val="single" w:sz="4" w:space="0" w:color="auto"/>
              <w:right w:val="single" w:sz="4" w:space="0" w:color="auto"/>
            </w:tcBorders>
            <w:noWrap/>
            <w:hideMark/>
          </w:tcPr>
          <w:p w14:paraId="2DFF7E9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(3,000,000)</w:t>
            </w:r>
          </w:p>
        </w:tc>
        <w:tc>
          <w:tcPr>
            <w:tcW w:w="1556" w:type="dxa"/>
            <w:tcBorders>
              <w:top w:val="single" w:sz="4" w:space="0" w:color="auto"/>
              <w:left w:val="single" w:sz="4" w:space="0" w:color="auto"/>
              <w:bottom w:val="single" w:sz="4" w:space="0" w:color="auto"/>
              <w:right w:val="single" w:sz="4" w:space="0" w:color="auto"/>
            </w:tcBorders>
            <w:noWrap/>
            <w:hideMark/>
          </w:tcPr>
          <w:p w14:paraId="3DA76A5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(3,360,000)</w:t>
            </w:r>
          </w:p>
        </w:tc>
        <w:tc>
          <w:tcPr>
            <w:tcW w:w="1188" w:type="dxa"/>
            <w:tcBorders>
              <w:top w:val="single" w:sz="4" w:space="0" w:color="auto"/>
              <w:left w:val="single" w:sz="4" w:space="0" w:color="auto"/>
              <w:bottom w:val="single" w:sz="4" w:space="0" w:color="auto"/>
              <w:right w:val="single" w:sz="4" w:space="0" w:color="auto"/>
            </w:tcBorders>
            <w:noWrap/>
            <w:hideMark/>
          </w:tcPr>
          <w:p w14:paraId="5AA6D05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(360,000)</w:t>
            </w:r>
          </w:p>
        </w:tc>
        <w:tc>
          <w:tcPr>
            <w:tcW w:w="1865" w:type="dxa"/>
            <w:tcBorders>
              <w:top w:val="single" w:sz="4" w:space="0" w:color="auto"/>
              <w:left w:val="single" w:sz="4" w:space="0" w:color="auto"/>
              <w:bottom w:val="single" w:sz="4" w:space="0" w:color="auto"/>
              <w:right w:val="single" w:sz="4" w:space="0" w:color="auto"/>
            </w:tcBorders>
            <w:noWrap/>
            <w:hideMark/>
          </w:tcPr>
          <w:p w14:paraId="4C93597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6AE51358"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3471D353"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0DC4D67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Labour</w:t>
            </w:r>
          </w:p>
        </w:tc>
        <w:tc>
          <w:tcPr>
            <w:tcW w:w="1556" w:type="dxa"/>
            <w:tcBorders>
              <w:top w:val="single" w:sz="4" w:space="0" w:color="auto"/>
              <w:left w:val="single" w:sz="4" w:space="0" w:color="auto"/>
              <w:bottom w:val="single" w:sz="4" w:space="0" w:color="auto"/>
              <w:right w:val="single" w:sz="4" w:space="0" w:color="auto"/>
            </w:tcBorders>
            <w:noWrap/>
            <w:hideMark/>
          </w:tcPr>
          <w:p w14:paraId="53647FBA"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(4,800,000)</w:t>
            </w:r>
          </w:p>
        </w:tc>
        <w:tc>
          <w:tcPr>
            <w:tcW w:w="1556" w:type="dxa"/>
            <w:tcBorders>
              <w:top w:val="single" w:sz="4" w:space="0" w:color="auto"/>
              <w:left w:val="single" w:sz="4" w:space="0" w:color="auto"/>
              <w:bottom w:val="single" w:sz="4" w:space="0" w:color="auto"/>
              <w:right w:val="single" w:sz="4" w:space="0" w:color="auto"/>
            </w:tcBorders>
            <w:noWrap/>
            <w:hideMark/>
          </w:tcPr>
          <w:p w14:paraId="5184DD0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(5,280,000)</w:t>
            </w:r>
          </w:p>
        </w:tc>
        <w:tc>
          <w:tcPr>
            <w:tcW w:w="1188" w:type="dxa"/>
            <w:tcBorders>
              <w:top w:val="single" w:sz="4" w:space="0" w:color="auto"/>
              <w:left w:val="single" w:sz="4" w:space="0" w:color="auto"/>
              <w:bottom w:val="single" w:sz="4" w:space="0" w:color="auto"/>
              <w:right w:val="single" w:sz="4" w:space="0" w:color="auto"/>
            </w:tcBorders>
            <w:noWrap/>
            <w:hideMark/>
          </w:tcPr>
          <w:p w14:paraId="711F78C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(480,000)</w:t>
            </w:r>
          </w:p>
        </w:tc>
        <w:tc>
          <w:tcPr>
            <w:tcW w:w="1865" w:type="dxa"/>
            <w:tcBorders>
              <w:top w:val="single" w:sz="4" w:space="0" w:color="auto"/>
              <w:left w:val="single" w:sz="4" w:space="0" w:color="auto"/>
              <w:bottom w:val="single" w:sz="4" w:space="0" w:color="auto"/>
              <w:right w:val="single" w:sz="4" w:space="0" w:color="auto"/>
            </w:tcBorders>
            <w:noWrap/>
            <w:hideMark/>
          </w:tcPr>
          <w:p w14:paraId="5F696F7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61FF891D"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71241A3E"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110F9F5B"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Overhead</w:t>
            </w:r>
          </w:p>
        </w:tc>
        <w:tc>
          <w:tcPr>
            <w:tcW w:w="1556" w:type="dxa"/>
            <w:tcBorders>
              <w:top w:val="single" w:sz="4" w:space="0" w:color="auto"/>
              <w:left w:val="single" w:sz="4" w:space="0" w:color="auto"/>
              <w:bottom w:val="single" w:sz="4" w:space="0" w:color="auto"/>
              <w:right w:val="single" w:sz="4" w:space="0" w:color="auto"/>
            </w:tcBorders>
            <w:noWrap/>
            <w:hideMark/>
          </w:tcPr>
          <w:p w14:paraId="1F61300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(1,800,000)</w:t>
            </w:r>
          </w:p>
        </w:tc>
        <w:tc>
          <w:tcPr>
            <w:tcW w:w="1556" w:type="dxa"/>
            <w:tcBorders>
              <w:top w:val="single" w:sz="4" w:space="0" w:color="auto"/>
              <w:left w:val="single" w:sz="4" w:space="0" w:color="auto"/>
              <w:bottom w:val="single" w:sz="4" w:space="0" w:color="auto"/>
              <w:right w:val="single" w:sz="4" w:space="0" w:color="auto"/>
            </w:tcBorders>
            <w:noWrap/>
            <w:hideMark/>
          </w:tcPr>
          <w:p w14:paraId="6E7BC7A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(1,440,000)</w:t>
            </w:r>
          </w:p>
        </w:tc>
        <w:tc>
          <w:tcPr>
            <w:tcW w:w="1188" w:type="dxa"/>
            <w:tcBorders>
              <w:top w:val="single" w:sz="4" w:space="0" w:color="auto"/>
              <w:left w:val="single" w:sz="4" w:space="0" w:color="auto"/>
              <w:bottom w:val="single" w:sz="4" w:space="0" w:color="auto"/>
              <w:right w:val="single" w:sz="4" w:space="0" w:color="auto"/>
            </w:tcBorders>
            <w:noWrap/>
            <w:hideMark/>
          </w:tcPr>
          <w:p w14:paraId="1DA6D5A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360,000 </w:t>
            </w:r>
          </w:p>
        </w:tc>
        <w:tc>
          <w:tcPr>
            <w:tcW w:w="1865" w:type="dxa"/>
            <w:tcBorders>
              <w:top w:val="single" w:sz="4" w:space="0" w:color="auto"/>
              <w:left w:val="single" w:sz="4" w:space="0" w:color="auto"/>
              <w:bottom w:val="single" w:sz="4" w:space="0" w:color="auto"/>
              <w:right w:val="single" w:sz="4" w:space="0" w:color="auto"/>
            </w:tcBorders>
            <w:noWrap/>
            <w:hideMark/>
          </w:tcPr>
          <w:p w14:paraId="245EC02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6F155021"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233C06A9"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50D8552A"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164808F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556" w:type="dxa"/>
            <w:tcBorders>
              <w:top w:val="single" w:sz="4" w:space="0" w:color="auto"/>
              <w:left w:val="single" w:sz="4" w:space="0" w:color="auto"/>
              <w:bottom w:val="single" w:sz="4" w:space="0" w:color="auto"/>
              <w:right w:val="single" w:sz="4" w:space="0" w:color="auto"/>
            </w:tcBorders>
            <w:noWrap/>
            <w:hideMark/>
          </w:tcPr>
          <w:p w14:paraId="648BF9D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188" w:type="dxa"/>
            <w:tcBorders>
              <w:top w:val="single" w:sz="4" w:space="0" w:color="auto"/>
              <w:left w:val="single" w:sz="4" w:space="0" w:color="auto"/>
              <w:bottom w:val="single" w:sz="4" w:space="0" w:color="auto"/>
              <w:right w:val="single" w:sz="4" w:space="0" w:color="auto"/>
            </w:tcBorders>
            <w:noWrap/>
            <w:hideMark/>
          </w:tcPr>
          <w:p w14:paraId="68FC835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865" w:type="dxa"/>
            <w:tcBorders>
              <w:top w:val="single" w:sz="4" w:space="0" w:color="auto"/>
              <w:left w:val="single" w:sz="4" w:space="0" w:color="auto"/>
              <w:bottom w:val="single" w:sz="4" w:space="0" w:color="auto"/>
              <w:right w:val="single" w:sz="4" w:space="0" w:color="auto"/>
            </w:tcBorders>
            <w:noWrap/>
            <w:hideMark/>
          </w:tcPr>
          <w:p w14:paraId="3A47C9CB"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0C3B9206"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FAFE499"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39E1768F"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Contribution</w:t>
            </w:r>
          </w:p>
        </w:tc>
        <w:tc>
          <w:tcPr>
            <w:tcW w:w="1556" w:type="dxa"/>
            <w:tcBorders>
              <w:top w:val="single" w:sz="4" w:space="0" w:color="auto"/>
              <w:left w:val="single" w:sz="4" w:space="0" w:color="auto"/>
              <w:bottom w:val="single" w:sz="4" w:space="0" w:color="auto"/>
              <w:right w:val="single" w:sz="4" w:space="0" w:color="auto"/>
            </w:tcBorders>
            <w:noWrap/>
            <w:hideMark/>
          </w:tcPr>
          <w:p w14:paraId="198E0F8A"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20,400,000 </w:t>
            </w:r>
          </w:p>
        </w:tc>
        <w:tc>
          <w:tcPr>
            <w:tcW w:w="1556" w:type="dxa"/>
            <w:tcBorders>
              <w:top w:val="single" w:sz="4" w:space="0" w:color="auto"/>
              <w:left w:val="single" w:sz="4" w:space="0" w:color="auto"/>
              <w:bottom w:val="single" w:sz="4" w:space="0" w:color="auto"/>
              <w:right w:val="single" w:sz="4" w:space="0" w:color="auto"/>
            </w:tcBorders>
            <w:noWrap/>
            <w:hideMark/>
          </w:tcPr>
          <w:p w14:paraId="79F6CE76"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9,120,000 </w:t>
            </w:r>
          </w:p>
        </w:tc>
        <w:tc>
          <w:tcPr>
            <w:tcW w:w="1188" w:type="dxa"/>
            <w:tcBorders>
              <w:top w:val="single" w:sz="4" w:space="0" w:color="auto"/>
              <w:left w:val="single" w:sz="4" w:space="0" w:color="auto"/>
              <w:bottom w:val="single" w:sz="4" w:space="0" w:color="auto"/>
              <w:right w:val="single" w:sz="4" w:space="0" w:color="auto"/>
            </w:tcBorders>
            <w:noWrap/>
            <w:hideMark/>
          </w:tcPr>
          <w:p w14:paraId="0C5B80F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(11,280,000)</w:t>
            </w:r>
          </w:p>
        </w:tc>
        <w:tc>
          <w:tcPr>
            <w:tcW w:w="1865" w:type="dxa"/>
            <w:tcBorders>
              <w:top w:val="single" w:sz="4" w:space="0" w:color="auto"/>
              <w:left w:val="single" w:sz="4" w:space="0" w:color="auto"/>
              <w:bottom w:val="single" w:sz="4" w:space="0" w:color="auto"/>
              <w:right w:val="single" w:sz="4" w:space="0" w:color="auto"/>
            </w:tcBorders>
            <w:noWrap/>
            <w:hideMark/>
          </w:tcPr>
          <w:p w14:paraId="2D6EBC5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5270CA69"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45DA9CC"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7847EB18"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7A12FED0"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45C65E95"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66275F0E"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0F768FA1"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71E7E221"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C11FD74"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693526C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u w:val="single"/>
                <w:lang w:val="en-GB" w:eastAsia="en-US"/>
              </w:rPr>
              <w:t>Less:</w:t>
            </w:r>
            <w:r w:rsidRPr="007D7DD9">
              <w:rPr>
                <w:rFonts w:ascii="Times New Roman" w:eastAsia="Calibri" w:hAnsi="Times New Roman" w:cs="Times New Roman"/>
                <w:sz w:val="24"/>
                <w:szCs w:val="24"/>
                <w:lang w:val="en-GB" w:eastAsia="en-US"/>
              </w:rPr>
              <w:t xml:space="preserve">  Fixed Overheads</w:t>
            </w:r>
          </w:p>
        </w:tc>
        <w:tc>
          <w:tcPr>
            <w:tcW w:w="1556" w:type="dxa"/>
            <w:tcBorders>
              <w:top w:val="single" w:sz="4" w:space="0" w:color="auto"/>
              <w:left w:val="single" w:sz="4" w:space="0" w:color="auto"/>
              <w:bottom w:val="single" w:sz="4" w:space="0" w:color="auto"/>
              <w:right w:val="single" w:sz="4" w:space="0" w:color="auto"/>
            </w:tcBorders>
            <w:noWrap/>
            <w:hideMark/>
          </w:tcPr>
          <w:p w14:paraId="371D7FC1"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1556" w:type="dxa"/>
            <w:tcBorders>
              <w:top w:val="single" w:sz="4" w:space="0" w:color="auto"/>
              <w:left w:val="single" w:sz="4" w:space="0" w:color="auto"/>
              <w:bottom w:val="single" w:sz="4" w:space="0" w:color="auto"/>
              <w:right w:val="single" w:sz="4" w:space="0" w:color="auto"/>
            </w:tcBorders>
            <w:noWrap/>
            <w:hideMark/>
          </w:tcPr>
          <w:p w14:paraId="01BAD254"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7723915E"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2A8CAD7A"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6DCC3C57"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7DB10C2"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5A1EDD9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Warehouse Rental</w:t>
            </w:r>
          </w:p>
        </w:tc>
        <w:tc>
          <w:tcPr>
            <w:tcW w:w="1556" w:type="dxa"/>
            <w:tcBorders>
              <w:top w:val="single" w:sz="4" w:space="0" w:color="auto"/>
              <w:left w:val="single" w:sz="4" w:space="0" w:color="auto"/>
              <w:bottom w:val="single" w:sz="4" w:space="0" w:color="auto"/>
              <w:right w:val="single" w:sz="4" w:space="0" w:color="auto"/>
            </w:tcBorders>
            <w:noWrap/>
            <w:hideMark/>
          </w:tcPr>
          <w:p w14:paraId="6D2787AD"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(2,400,000)</w:t>
            </w:r>
          </w:p>
        </w:tc>
        <w:tc>
          <w:tcPr>
            <w:tcW w:w="1556" w:type="dxa"/>
            <w:tcBorders>
              <w:top w:val="single" w:sz="4" w:space="0" w:color="auto"/>
              <w:left w:val="single" w:sz="4" w:space="0" w:color="auto"/>
              <w:bottom w:val="single" w:sz="4" w:space="0" w:color="auto"/>
              <w:right w:val="single" w:sz="4" w:space="0" w:color="auto"/>
            </w:tcBorders>
            <w:noWrap/>
            <w:hideMark/>
          </w:tcPr>
          <w:p w14:paraId="208CDCE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(2,040,000)</w:t>
            </w:r>
          </w:p>
        </w:tc>
        <w:tc>
          <w:tcPr>
            <w:tcW w:w="1188" w:type="dxa"/>
            <w:tcBorders>
              <w:top w:val="single" w:sz="4" w:space="0" w:color="auto"/>
              <w:left w:val="single" w:sz="4" w:space="0" w:color="auto"/>
              <w:bottom w:val="single" w:sz="4" w:space="0" w:color="auto"/>
              <w:right w:val="single" w:sz="4" w:space="0" w:color="auto"/>
            </w:tcBorders>
            <w:noWrap/>
            <w:hideMark/>
          </w:tcPr>
          <w:p w14:paraId="57044B4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360,000 </w:t>
            </w:r>
          </w:p>
        </w:tc>
        <w:tc>
          <w:tcPr>
            <w:tcW w:w="1865" w:type="dxa"/>
            <w:tcBorders>
              <w:top w:val="single" w:sz="4" w:space="0" w:color="auto"/>
              <w:left w:val="single" w:sz="4" w:space="0" w:color="auto"/>
              <w:bottom w:val="single" w:sz="4" w:space="0" w:color="auto"/>
              <w:right w:val="single" w:sz="4" w:space="0" w:color="auto"/>
            </w:tcBorders>
            <w:noWrap/>
            <w:hideMark/>
          </w:tcPr>
          <w:p w14:paraId="5AC90B8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5EADD53B"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F33D0F0"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11E3606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Insurance</w:t>
            </w:r>
          </w:p>
        </w:tc>
        <w:tc>
          <w:tcPr>
            <w:tcW w:w="1556" w:type="dxa"/>
            <w:tcBorders>
              <w:top w:val="single" w:sz="4" w:space="0" w:color="auto"/>
              <w:left w:val="single" w:sz="4" w:space="0" w:color="auto"/>
              <w:bottom w:val="single" w:sz="4" w:space="0" w:color="auto"/>
              <w:right w:val="single" w:sz="4" w:space="0" w:color="auto"/>
            </w:tcBorders>
            <w:noWrap/>
            <w:hideMark/>
          </w:tcPr>
          <w:p w14:paraId="5AF71C4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(1,200,000)</w:t>
            </w:r>
          </w:p>
        </w:tc>
        <w:tc>
          <w:tcPr>
            <w:tcW w:w="1556" w:type="dxa"/>
            <w:tcBorders>
              <w:top w:val="single" w:sz="4" w:space="0" w:color="auto"/>
              <w:left w:val="single" w:sz="4" w:space="0" w:color="auto"/>
              <w:bottom w:val="single" w:sz="4" w:space="0" w:color="auto"/>
              <w:right w:val="single" w:sz="4" w:space="0" w:color="auto"/>
            </w:tcBorders>
            <w:noWrap/>
            <w:hideMark/>
          </w:tcPr>
          <w:p w14:paraId="5503973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(1,200,000)</w:t>
            </w:r>
          </w:p>
        </w:tc>
        <w:tc>
          <w:tcPr>
            <w:tcW w:w="1188" w:type="dxa"/>
            <w:tcBorders>
              <w:top w:val="single" w:sz="4" w:space="0" w:color="auto"/>
              <w:left w:val="single" w:sz="4" w:space="0" w:color="auto"/>
              <w:bottom w:val="single" w:sz="4" w:space="0" w:color="auto"/>
              <w:right w:val="single" w:sz="4" w:space="0" w:color="auto"/>
            </w:tcBorders>
            <w:noWrap/>
            <w:hideMark/>
          </w:tcPr>
          <w:p w14:paraId="05CE171E"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   </w:t>
            </w:r>
          </w:p>
        </w:tc>
        <w:tc>
          <w:tcPr>
            <w:tcW w:w="1865" w:type="dxa"/>
            <w:tcBorders>
              <w:top w:val="single" w:sz="4" w:space="0" w:color="auto"/>
              <w:left w:val="single" w:sz="4" w:space="0" w:color="auto"/>
              <w:bottom w:val="single" w:sz="4" w:space="0" w:color="auto"/>
              <w:right w:val="single" w:sz="4" w:space="0" w:color="auto"/>
            </w:tcBorders>
            <w:noWrap/>
            <w:hideMark/>
          </w:tcPr>
          <w:p w14:paraId="4E599B7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6E3E6FCA"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DDA30B1"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468AE49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Fulltime warehouse supervisor salary</w:t>
            </w:r>
          </w:p>
        </w:tc>
        <w:tc>
          <w:tcPr>
            <w:tcW w:w="1556" w:type="dxa"/>
            <w:tcBorders>
              <w:top w:val="single" w:sz="4" w:space="0" w:color="auto"/>
              <w:left w:val="single" w:sz="4" w:space="0" w:color="auto"/>
              <w:bottom w:val="single" w:sz="4" w:space="0" w:color="auto"/>
              <w:right w:val="single" w:sz="4" w:space="0" w:color="auto"/>
            </w:tcBorders>
            <w:noWrap/>
            <w:hideMark/>
          </w:tcPr>
          <w:p w14:paraId="5970837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(600,000)</w:t>
            </w:r>
          </w:p>
        </w:tc>
        <w:tc>
          <w:tcPr>
            <w:tcW w:w="1556" w:type="dxa"/>
            <w:tcBorders>
              <w:top w:val="single" w:sz="4" w:space="0" w:color="auto"/>
              <w:left w:val="single" w:sz="4" w:space="0" w:color="auto"/>
              <w:bottom w:val="single" w:sz="4" w:space="0" w:color="auto"/>
              <w:right w:val="single" w:sz="4" w:space="0" w:color="auto"/>
            </w:tcBorders>
            <w:noWrap/>
            <w:hideMark/>
          </w:tcPr>
          <w:p w14:paraId="4C6F794A"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(420,000)</w:t>
            </w:r>
          </w:p>
        </w:tc>
        <w:tc>
          <w:tcPr>
            <w:tcW w:w="1188" w:type="dxa"/>
            <w:tcBorders>
              <w:top w:val="single" w:sz="4" w:space="0" w:color="auto"/>
              <w:left w:val="single" w:sz="4" w:space="0" w:color="auto"/>
              <w:bottom w:val="single" w:sz="4" w:space="0" w:color="auto"/>
              <w:right w:val="single" w:sz="4" w:space="0" w:color="auto"/>
            </w:tcBorders>
            <w:noWrap/>
            <w:hideMark/>
          </w:tcPr>
          <w:p w14:paraId="6B8CF3A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180,000 </w:t>
            </w:r>
          </w:p>
        </w:tc>
        <w:tc>
          <w:tcPr>
            <w:tcW w:w="1865" w:type="dxa"/>
            <w:tcBorders>
              <w:top w:val="single" w:sz="4" w:space="0" w:color="auto"/>
              <w:left w:val="single" w:sz="4" w:space="0" w:color="auto"/>
              <w:bottom w:val="single" w:sz="4" w:space="0" w:color="auto"/>
              <w:right w:val="single" w:sz="4" w:space="0" w:color="auto"/>
            </w:tcBorders>
            <w:noWrap/>
            <w:hideMark/>
          </w:tcPr>
          <w:p w14:paraId="196C63D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Favourable</w:t>
            </w:r>
          </w:p>
        </w:tc>
      </w:tr>
      <w:tr w:rsidR="007D7DD9" w:rsidRPr="007D7DD9" w14:paraId="5A23459D"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6C5385ED"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5B45C484"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1E90D9B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556" w:type="dxa"/>
            <w:tcBorders>
              <w:top w:val="single" w:sz="4" w:space="0" w:color="auto"/>
              <w:left w:val="single" w:sz="4" w:space="0" w:color="auto"/>
              <w:bottom w:val="single" w:sz="4" w:space="0" w:color="auto"/>
              <w:right w:val="single" w:sz="4" w:space="0" w:color="auto"/>
            </w:tcBorders>
            <w:noWrap/>
            <w:hideMark/>
          </w:tcPr>
          <w:p w14:paraId="35FC17B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188" w:type="dxa"/>
            <w:tcBorders>
              <w:top w:val="single" w:sz="4" w:space="0" w:color="auto"/>
              <w:left w:val="single" w:sz="4" w:space="0" w:color="auto"/>
              <w:bottom w:val="single" w:sz="4" w:space="0" w:color="auto"/>
              <w:right w:val="single" w:sz="4" w:space="0" w:color="auto"/>
            </w:tcBorders>
            <w:noWrap/>
            <w:hideMark/>
          </w:tcPr>
          <w:p w14:paraId="2325CA9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c>
          <w:tcPr>
            <w:tcW w:w="1865" w:type="dxa"/>
            <w:tcBorders>
              <w:top w:val="single" w:sz="4" w:space="0" w:color="auto"/>
              <w:left w:val="single" w:sz="4" w:space="0" w:color="auto"/>
              <w:bottom w:val="single" w:sz="4" w:space="0" w:color="auto"/>
              <w:right w:val="single" w:sz="4" w:space="0" w:color="auto"/>
            </w:tcBorders>
            <w:noWrap/>
            <w:hideMark/>
          </w:tcPr>
          <w:p w14:paraId="7BD94B1B"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7E275F57"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16328D27" w14:textId="77777777" w:rsidR="007D7DD9" w:rsidRPr="007D7DD9" w:rsidRDefault="007D7DD9" w:rsidP="007D7DD9">
            <w:pPr>
              <w:spacing w:line="240" w:lineRule="auto"/>
              <w:rPr>
                <w:rFonts w:ascii="Calibri" w:eastAsia="Calibri" w:hAnsi="Calibri"/>
                <w:sz w:val="20"/>
                <w:szCs w:val="20"/>
                <w:lang w:val="en-GB" w:eastAsia="en-GB"/>
              </w:rPr>
            </w:pPr>
          </w:p>
        </w:tc>
        <w:tc>
          <w:tcPr>
            <w:tcW w:w="3080" w:type="dxa"/>
            <w:tcBorders>
              <w:top w:val="single" w:sz="4" w:space="0" w:color="auto"/>
              <w:left w:val="single" w:sz="4" w:space="0" w:color="auto"/>
              <w:bottom w:val="single" w:sz="4" w:space="0" w:color="auto"/>
              <w:right w:val="single" w:sz="4" w:space="0" w:color="auto"/>
            </w:tcBorders>
            <w:noWrap/>
            <w:hideMark/>
          </w:tcPr>
          <w:p w14:paraId="2C5DC0F9"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Profit</w:t>
            </w:r>
          </w:p>
        </w:tc>
        <w:tc>
          <w:tcPr>
            <w:tcW w:w="1556" w:type="dxa"/>
            <w:tcBorders>
              <w:top w:val="single" w:sz="4" w:space="0" w:color="auto"/>
              <w:left w:val="single" w:sz="4" w:space="0" w:color="auto"/>
              <w:bottom w:val="single" w:sz="4" w:space="0" w:color="auto"/>
              <w:right w:val="single" w:sz="4" w:space="0" w:color="auto"/>
            </w:tcBorders>
            <w:noWrap/>
            <w:hideMark/>
          </w:tcPr>
          <w:p w14:paraId="23C0E5F4"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16,200,000 </w:t>
            </w:r>
          </w:p>
        </w:tc>
        <w:tc>
          <w:tcPr>
            <w:tcW w:w="1556" w:type="dxa"/>
            <w:tcBorders>
              <w:top w:val="single" w:sz="4" w:space="0" w:color="auto"/>
              <w:left w:val="single" w:sz="4" w:space="0" w:color="auto"/>
              <w:bottom w:val="single" w:sz="4" w:space="0" w:color="auto"/>
              <w:right w:val="single" w:sz="4" w:space="0" w:color="auto"/>
            </w:tcBorders>
            <w:noWrap/>
            <w:hideMark/>
          </w:tcPr>
          <w:p w14:paraId="3A427EC8"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5,460,000 </w:t>
            </w:r>
          </w:p>
        </w:tc>
        <w:tc>
          <w:tcPr>
            <w:tcW w:w="1188" w:type="dxa"/>
            <w:tcBorders>
              <w:top w:val="single" w:sz="4" w:space="0" w:color="auto"/>
              <w:left w:val="single" w:sz="4" w:space="0" w:color="auto"/>
              <w:bottom w:val="single" w:sz="4" w:space="0" w:color="auto"/>
              <w:right w:val="single" w:sz="4" w:space="0" w:color="auto"/>
            </w:tcBorders>
            <w:noWrap/>
            <w:hideMark/>
          </w:tcPr>
          <w:p w14:paraId="2406A0E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(10,740,000)</w:t>
            </w:r>
          </w:p>
        </w:tc>
        <w:tc>
          <w:tcPr>
            <w:tcW w:w="1865" w:type="dxa"/>
            <w:tcBorders>
              <w:top w:val="single" w:sz="4" w:space="0" w:color="auto"/>
              <w:left w:val="single" w:sz="4" w:space="0" w:color="auto"/>
              <w:bottom w:val="single" w:sz="4" w:space="0" w:color="auto"/>
              <w:right w:val="single" w:sz="4" w:space="0" w:color="auto"/>
            </w:tcBorders>
            <w:noWrap/>
            <w:hideMark/>
          </w:tcPr>
          <w:p w14:paraId="2D57035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Unfavourable</w:t>
            </w:r>
          </w:p>
        </w:tc>
      </w:tr>
      <w:tr w:rsidR="007D7DD9" w:rsidRPr="007D7DD9" w14:paraId="13C0A7F0" w14:textId="77777777" w:rsidTr="007D7DD9">
        <w:trPr>
          <w:trHeight w:val="315"/>
        </w:trPr>
        <w:tc>
          <w:tcPr>
            <w:tcW w:w="673" w:type="dxa"/>
            <w:tcBorders>
              <w:top w:val="single" w:sz="4" w:space="0" w:color="auto"/>
              <w:left w:val="single" w:sz="4" w:space="0" w:color="auto"/>
              <w:bottom w:val="single" w:sz="4" w:space="0" w:color="auto"/>
              <w:right w:val="single" w:sz="4" w:space="0" w:color="auto"/>
            </w:tcBorders>
            <w:noWrap/>
            <w:hideMark/>
          </w:tcPr>
          <w:p w14:paraId="478184CA"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3080" w:type="dxa"/>
            <w:tcBorders>
              <w:top w:val="single" w:sz="4" w:space="0" w:color="auto"/>
              <w:left w:val="single" w:sz="4" w:space="0" w:color="auto"/>
              <w:bottom w:val="single" w:sz="4" w:space="0" w:color="auto"/>
              <w:right w:val="single" w:sz="4" w:space="0" w:color="auto"/>
            </w:tcBorders>
            <w:noWrap/>
            <w:hideMark/>
          </w:tcPr>
          <w:p w14:paraId="4ED020B5"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2183AC1A" w14:textId="77777777" w:rsidR="007D7DD9" w:rsidRPr="007D7DD9" w:rsidRDefault="007D7DD9" w:rsidP="007D7DD9">
            <w:pPr>
              <w:spacing w:line="240" w:lineRule="auto"/>
              <w:rPr>
                <w:rFonts w:ascii="Calibri" w:eastAsia="Calibri" w:hAnsi="Calibri"/>
                <w:sz w:val="20"/>
                <w:szCs w:val="20"/>
                <w:lang w:val="en-GB" w:eastAsia="en-GB"/>
              </w:rPr>
            </w:pPr>
          </w:p>
        </w:tc>
        <w:tc>
          <w:tcPr>
            <w:tcW w:w="1556" w:type="dxa"/>
            <w:tcBorders>
              <w:top w:val="single" w:sz="4" w:space="0" w:color="auto"/>
              <w:left w:val="single" w:sz="4" w:space="0" w:color="auto"/>
              <w:bottom w:val="single" w:sz="4" w:space="0" w:color="auto"/>
              <w:right w:val="single" w:sz="4" w:space="0" w:color="auto"/>
            </w:tcBorders>
            <w:noWrap/>
            <w:hideMark/>
          </w:tcPr>
          <w:p w14:paraId="536E2DF2" w14:textId="77777777" w:rsidR="007D7DD9" w:rsidRPr="007D7DD9" w:rsidRDefault="007D7DD9" w:rsidP="007D7DD9">
            <w:pPr>
              <w:spacing w:line="240" w:lineRule="auto"/>
              <w:rPr>
                <w:rFonts w:ascii="Calibri" w:eastAsia="Calibri" w:hAnsi="Calibri"/>
                <w:sz w:val="20"/>
                <w:szCs w:val="20"/>
                <w:lang w:val="en-GB" w:eastAsia="en-GB"/>
              </w:rPr>
            </w:pPr>
          </w:p>
        </w:tc>
        <w:tc>
          <w:tcPr>
            <w:tcW w:w="1188" w:type="dxa"/>
            <w:tcBorders>
              <w:top w:val="single" w:sz="4" w:space="0" w:color="auto"/>
              <w:left w:val="single" w:sz="4" w:space="0" w:color="auto"/>
              <w:bottom w:val="single" w:sz="4" w:space="0" w:color="auto"/>
              <w:right w:val="single" w:sz="4" w:space="0" w:color="auto"/>
            </w:tcBorders>
            <w:noWrap/>
            <w:hideMark/>
          </w:tcPr>
          <w:p w14:paraId="44E58836" w14:textId="77777777" w:rsidR="007D7DD9" w:rsidRPr="007D7DD9" w:rsidRDefault="007D7DD9" w:rsidP="007D7DD9">
            <w:pPr>
              <w:spacing w:line="240" w:lineRule="auto"/>
              <w:rPr>
                <w:rFonts w:ascii="Calibri" w:eastAsia="Calibri" w:hAnsi="Calibri"/>
                <w:sz w:val="20"/>
                <w:szCs w:val="20"/>
                <w:lang w:val="en-GB" w:eastAsia="en-GB"/>
              </w:rPr>
            </w:pPr>
          </w:p>
        </w:tc>
        <w:tc>
          <w:tcPr>
            <w:tcW w:w="1865" w:type="dxa"/>
            <w:tcBorders>
              <w:top w:val="single" w:sz="4" w:space="0" w:color="auto"/>
              <w:left w:val="single" w:sz="4" w:space="0" w:color="auto"/>
              <w:bottom w:val="single" w:sz="4" w:space="0" w:color="auto"/>
              <w:right w:val="single" w:sz="4" w:space="0" w:color="auto"/>
            </w:tcBorders>
            <w:noWrap/>
            <w:hideMark/>
          </w:tcPr>
          <w:p w14:paraId="34A75DA7" w14:textId="77777777" w:rsidR="007D7DD9" w:rsidRPr="007D7DD9" w:rsidRDefault="007D7DD9" w:rsidP="007D7DD9">
            <w:pPr>
              <w:spacing w:line="240" w:lineRule="auto"/>
              <w:rPr>
                <w:rFonts w:ascii="Calibri" w:eastAsia="Calibri" w:hAnsi="Calibri"/>
                <w:sz w:val="20"/>
                <w:szCs w:val="20"/>
                <w:lang w:val="en-GB" w:eastAsia="en-GB"/>
              </w:rPr>
            </w:pPr>
          </w:p>
        </w:tc>
      </w:tr>
    </w:tbl>
    <w:p w14:paraId="60F7549D" w14:textId="77777777" w:rsidR="007D7DD9" w:rsidRPr="007D7DD9" w:rsidRDefault="007D7DD9" w:rsidP="007D7DD9">
      <w:pPr>
        <w:spacing w:after="160" w:line="256" w:lineRule="auto"/>
        <w:rPr>
          <w:rFonts w:ascii="Times New Roman" w:eastAsia="Calibri" w:hAnsi="Times New Roman" w:cs="Times New Roman"/>
          <w:sz w:val="24"/>
          <w:szCs w:val="24"/>
          <w:lang w:val="en-GB" w:eastAsia="en-US"/>
        </w:rPr>
      </w:pPr>
    </w:p>
    <w:p w14:paraId="0B75EE3E" w14:textId="77777777" w:rsidR="007D7DD9" w:rsidRPr="007D7DD9" w:rsidRDefault="007D7DD9" w:rsidP="007D7DD9">
      <w:pPr>
        <w:spacing w:after="160" w:line="256" w:lineRule="auto"/>
        <w:rPr>
          <w:rFonts w:ascii="Times New Roman" w:eastAsia="Calibri" w:hAnsi="Times New Roman" w:cs="Times New Roman"/>
          <w:sz w:val="24"/>
          <w:szCs w:val="24"/>
          <w:lang w:val="en-GB" w:eastAsia="en-US"/>
        </w:rPr>
      </w:pPr>
    </w:p>
    <w:p w14:paraId="464186E2" w14:textId="772CE91A" w:rsidR="007D7DD9" w:rsidRPr="00F51891" w:rsidRDefault="002258E9" w:rsidP="00F51891">
      <w:pPr>
        <w:pStyle w:val="Heading1"/>
      </w:pPr>
      <w:r>
        <w:t xml:space="preserve"> </w:t>
      </w:r>
      <w:bookmarkStart w:id="12" w:name="_Toc70331434"/>
      <w:r>
        <w:t xml:space="preserve">Appendix 2: </w:t>
      </w:r>
      <w:r w:rsidR="007D7DD9" w:rsidRPr="00F51891">
        <w:t>P</w:t>
      </w:r>
      <w:r>
        <w:t>art</w:t>
      </w:r>
      <w:r w:rsidR="007D7DD9" w:rsidRPr="00F51891">
        <w:t xml:space="preserve"> B</w:t>
      </w:r>
      <w:bookmarkEnd w:id="12"/>
    </w:p>
    <w:p w14:paraId="5AE05515" w14:textId="77777777" w:rsidR="007D7DD9" w:rsidRPr="007D7DD9" w:rsidRDefault="007D7DD9" w:rsidP="007D7DD9">
      <w:pPr>
        <w:spacing w:after="160" w:line="256" w:lineRule="auto"/>
        <w:rPr>
          <w:rFonts w:ascii="Times New Roman" w:eastAsia="Calibri" w:hAnsi="Times New Roman" w:cs="Times New Roman"/>
          <w:sz w:val="24"/>
          <w:szCs w:val="24"/>
          <w:lang w:val="en-GB" w:eastAsia="en-US"/>
        </w:rPr>
      </w:pPr>
    </w:p>
    <w:tbl>
      <w:tblPr>
        <w:tblStyle w:val="TableGrid1"/>
        <w:tblW w:w="0" w:type="auto"/>
        <w:tblInd w:w="0" w:type="dxa"/>
        <w:tblLook w:val="04A0" w:firstRow="1" w:lastRow="0" w:firstColumn="1" w:lastColumn="0" w:noHBand="0" w:noVBand="1"/>
      </w:tblPr>
      <w:tblGrid>
        <w:gridCol w:w="1240"/>
        <w:gridCol w:w="4383"/>
        <w:gridCol w:w="1540"/>
      </w:tblGrid>
      <w:tr w:rsidR="007D7DD9" w:rsidRPr="007D7DD9" w14:paraId="15CE356E"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6B2CDD52"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333372B3"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57C403AF"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151407B"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22E4832C"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3388EA07"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2686ED7B"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AAED57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5237C62"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Option 1:</w:t>
            </w:r>
          </w:p>
        </w:tc>
        <w:tc>
          <w:tcPr>
            <w:tcW w:w="4383" w:type="dxa"/>
            <w:tcBorders>
              <w:top w:val="single" w:sz="4" w:space="0" w:color="auto"/>
              <w:left w:val="single" w:sz="4" w:space="0" w:color="auto"/>
              <w:bottom w:val="single" w:sz="4" w:space="0" w:color="auto"/>
              <w:right w:val="single" w:sz="4" w:space="0" w:color="auto"/>
            </w:tcBorders>
            <w:noWrap/>
            <w:hideMark/>
          </w:tcPr>
          <w:p w14:paraId="7D67A34D"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Own Online Shop</w:t>
            </w:r>
          </w:p>
        </w:tc>
        <w:tc>
          <w:tcPr>
            <w:tcW w:w="1540" w:type="dxa"/>
            <w:tcBorders>
              <w:top w:val="single" w:sz="4" w:space="0" w:color="auto"/>
              <w:left w:val="single" w:sz="4" w:space="0" w:color="auto"/>
              <w:bottom w:val="single" w:sz="4" w:space="0" w:color="auto"/>
              <w:right w:val="single" w:sz="4" w:space="0" w:color="auto"/>
            </w:tcBorders>
            <w:noWrap/>
            <w:hideMark/>
          </w:tcPr>
          <w:p w14:paraId="0BF0A9CD"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r>
      <w:tr w:rsidR="007D7DD9" w:rsidRPr="007D7DD9" w14:paraId="3CB1243A"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103F4431"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6627D41B"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2100F484"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0D8CF111"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72C7885A"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6BC6E93E"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Particulars</w:t>
            </w:r>
          </w:p>
        </w:tc>
        <w:tc>
          <w:tcPr>
            <w:tcW w:w="1540" w:type="dxa"/>
            <w:tcBorders>
              <w:top w:val="single" w:sz="4" w:space="0" w:color="auto"/>
              <w:left w:val="single" w:sz="4" w:space="0" w:color="auto"/>
              <w:bottom w:val="single" w:sz="4" w:space="0" w:color="auto"/>
              <w:right w:val="single" w:sz="4" w:space="0" w:color="auto"/>
            </w:tcBorders>
            <w:noWrap/>
            <w:hideMark/>
          </w:tcPr>
          <w:p w14:paraId="48EED5CD"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Amount (£) </w:t>
            </w:r>
          </w:p>
        </w:tc>
      </w:tr>
      <w:tr w:rsidR="007D7DD9" w:rsidRPr="007D7DD9" w14:paraId="3175C5D0"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7308D99C"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35913DF8"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20031628"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154E9EB6"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E3288C5"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43B596A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Sales (units)</w:t>
            </w:r>
          </w:p>
        </w:tc>
        <w:tc>
          <w:tcPr>
            <w:tcW w:w="1540" w:type="dxa"/>
            <w:tcBorders>
              <w:top w:val="single" w:sz="4" w:space="0" w:color="auto"/>
              <w:left w:val="single" w:sz="4" w:space="0" w:color="auto"/>
              <w:bottom w:val="single" w:sz="4" w:space="0" w:color="auto"/>
              <w:right w:val="single" w:sz="4" w:space="0" w:color="auto"/>
            </w:tcBorders>
            <w:noWrap/>
            <w:hideMark/>
          </w:tcPr>
          <w:p w14:paraId="286066A5"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100,000 </w:t>
            </w:r>
          </w:p>
        </w:tc>
      </w:tr>
      <w:tr w:rsidR="007D7DD9" w:rsidRPr="007D7DD9" w14:paraId="75DB5CD9"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42B6CA2"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10F3456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 Price</w:t>
            </w:r>
          </w:p>
        </w:tc>
        <w:tc>
          <w:tcPr>
            <w:tcW w:w="1540" w:type="dxa"/>
            <w:tcBorders>
              <w:top w:val="single" w:sz="4" w:space="0" w:color="auto"/>
              <w:left w:val="single" w:sz="4" w:space="0" w:color="auto"/>
              <w:bottom w:val="single" w:sz="4" w:space="0" w:color="auto"/>
              <w:right w:val="single" w:sz="4" w:space="0" w:color="auto"/>
            </w:tcBorders>
            <w:noWrap/>
            <w:hideMark/>
          </w:tcPr>
          <w:p w14:paraId="5FB9CC3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 </w:t>
            </w:r>
          </w:p>
        </w:tc>
      </w:tr>
      <w:tr w:rsidR="007D7DD9" w:rsidRPr="007D7DD9" w14:paraId="2AEFBF4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7B85E3FE"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5A888E85"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43D058E9"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05A23497"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A890DEF"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06E8643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Sales</w:t>
            </w:r>
          </w:p>
        </w:tc>
        <w:tc>
          <w:tcPr>
            <w:tcW w:w="1540" w:type="dxa"/>
            <w:tcBorders>
              <w:top w:val="single" w:sz="4" w:space="0" w:color="auto"/>
              <w:left w:val="single" w:sz="4" w:space="0" w:color="auto"/>
              <w:bottom w:val="single" w:sz="4" w:space="0" w:color="auto"/>
              <w:right w:val="single" w:sz="4" w:space="0" w:color="auto"/>
            </w:tcBorders>
            <w:noWrap/>
            <w:hideMark/>
          </w:tcPr>
          <w:p w14:paraId="1C586187"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2,500,000 </w:t>
            </w:r>
          </w:p>
        </w:tc>
      </w:tr>
      <w:tr w:rsidR="007D7DD9" w:rsidRPr="007D7DD9" w14:paraId="466224EE"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3AC82F57"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2CCCF61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Less: Variable Costs</w:t>
            </w:r>
          </w:p>
        </w:tc>
        <w:tc>
          <w:tcPr>
            <w:tcW w:w="1540" w:type="dxa"/>
            <w:tcBorders>
              <w:top w:val="single" w:sz="4" w:space="0" w:color="auto"/>
              <w:left w:val="single" w:sz="4" w:space="0" w:color="auto"/>
              <w:bottom w:val="single" w:sz="4" w:space="0" w:color="auto"/>
              <w:right w:val="single" w:sz="4" w:space="0" w:color="auto"/>
            </w:tcBorders>
            <w:noWrap/>
            <w:hideMark/>
          </w:tcPr>
          <w:p w14:paraId="4E08E5BB"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0DE5F89C"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3E2F8AD0"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40ED2AE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Materials</w:t>
            </w:r>
          </w:p>
        </w:tc>
        <w:tc>
          <w:tcPr>
            <w:tcW w:w="1540" w:type="dxa"/>
            <w:tcBorders>
              <w:top w:val="single" w:sz="4" w:space="0" w:color="auto"/>
              <w:left w:val="single" w:sz="4" w:space="0" w:color="auto"/>
              <w:bottom w:val="single" w:sz="4" w:space="0" w:color="auto"/>
              <w:right w:val="single" w:sz="4" w:space="0" w:color="auto"/>
            </w:tcBorders>
            <w:noWrap/>
            <w:hideMark/>
          </w:tcPr>
          <w:p w14:paraId="6594860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(280,000)</w:t>
            </w:r>
          </w:p>
        </w:tc>
      </w:tr>
      <w:tr w:rsidR="007D7DD9" w:rsidRPr="007D7DD9" w14:paraId="5851D890"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A7F3224"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CB3752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Labour</w:t>
            </w:r>
          </w:p>
        </w:tc>
        <w:tc>
          <w:tcPr>
            <w:tcW w:w="1540" w:type="dxa"/>
            <w:tcBorders>
              <w:top w:val="single" w:sz="4" w:space="0" w:color="auto"/>
              <w:left w:val="single" w:sz="4" w:space="0" w:color="auto"/>
              <w:bottom w:val="single" w:sz="4" w:space="0" w:color="auto"/>
              <w:right w:val="single" w:sz="4" w:space="0" w:color="auto"/>
            </w:tcBorders>
            <w:noWrap/>
            <w:hideMark/>
          </w:tcPr>
          <w:p w14:paraId="5BA15BF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(440,000)</w:t>
            </w:r>
          </w:p>
        </w:tc>
      </w:tr>
      <w:tr w:rsidR="007D7DD9" w:rsidRPr="007D7DD9" w14:paraId="52E4905F"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6EDF13D"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14CA4B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Overhead</w:t>
            </w:r>
          </w:p>
        </w:tc>
        <w:tc>
          <w:tcPr>
            <w:tcW w:w="1540" w:type="dxa"/>
            <w:tcBorders>
              <w:top w:val="single" w:sz="4" w:space="0" w:color="auto"/>
              <w:left w:val="single" w:sz="4" w:space="0" w:color="auto"/>
              <w:bottom w:val="single" w:sz="4" w:space="0" w:color="auto"/>
              <w:right w:val="single" w:sz="4" w:space="0" w:color="auto"/>
            </w:tcBorders>
            <w:noWrap/>
            <w:hideMark/>
          </w:tcPr>
          <w:p w14:paraId="7457444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(120,000)</w:t>
            </w:r>
          </w:p>
        </w:tc>
      </w:tr>
      <w:tr w:rsidR="007D7DD9" w:rsidRPr="007D7DD9" w14:paraId="18F24F74"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258373B1"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3EFA0559"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Contribution</w:t>
            </w:r>
          </w:p>
        </w:tc>
        <w:tc>
          <w:tcPr>
            <w:tcW w:w="1540" w:type="dxa"/>
            <w:tcBorders>
              <w:top w:val="single" w:sz="4" w:space="0" w:color="auto"/>
              <w:left w:val="single" w:sz="4" w:space="0" w:color="auto"/>
              <w:bottom w:val="single" w:sz="4" w:space="0" w:color="auto"/>
              <w:right w:val="single" w:sz="4" w:space="0" w:color="auto"/>
            </w:tcBorders>
            <w:noWrap/>
            <w:hideMark/>
          </w:tcPr>
          <w:p w14:paraId="18ABFC14"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1,660,000 </w:t>
            </w:r>
          </w:p>
        </w:tc>
      </w:tr>
      <w:tr w:rsidR="007D7DD9" w:rsidRPr="007D7DD9" w14:paraId="4233951A"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22DED3DC"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597253A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Less: Fixed Costs</w:t>
            </w:r>
          </w:p>
        </w:tc>
        <w:tc>
          <w:tcPr>
            <w:tcW w:w="1540" w:type="dxa"/>
            <w:tcBorders>
              <w:top w:val="single" w:sz="4" w:space="0" w:color="auto"/>
              <w:left w:val="single" w:sz="4" w:space="0" w:color="auto"/>
              <w:bottom w:val="single" w:sz="4" w:space="0" w:color="auto"/>
              <w:right w:val="single" w:sz="4" w:space="0" w:color="auto"/>
            </w:tcBorders>
            <w:noWrap/>
            <w:hideMark/>
          </w:tcPr>
          <w:p w14:paraId="1200C288"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0E4EB6D6"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FEBDB0A"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263EEB3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Cost of setting up delivery network</w:t>
            </w:r>
          </w:p>
        </w:tc>
        <w:tc>
          <w:tcPr>
            <w:tcW w:w="1540" w:type="dxa"/>
            <w:tcBorders>
              <w:top w:val="single" w:sz="4" w:space="0" w:color="auto"/>
              <w:left w:val="single" w:sz="4" w:space="0" w:color="auto"/>
              <w:bottom w:val="single" w:sz="4" w:space="0" w:color="auto"/>
              <w:right w:val="single" w:sz="4" w:space="0" w:color="auto"/>
            </w:tcBorders>
            <w:noWrap/>
            <w:hideMark/>
          </w:tcPr>
          <w:p w14:paraId="56D396D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(150,000)</w:t>
            </w:r>
          </w:p>
        </w:tc>
      </w:tr>
      <w:tr w:rsidR="007D7DD9" w:rsidRPr="007D7DD9" w14:paraId="01B6D1C8"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7CC8E576"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4217E92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Cost of upgrading current website</w:t>
            </w:r>
          </w:p>
        </w:tc>
        <w:tc>
          <w:tcPr>
            <w:tcW w:w="1540" w:type="dxa"/>
            <w:tcBorders>
              <w:top w:val="single" w:sz="4" w:space="0" w:color="auto"/>
              <w:left w:val="single" w:sz="4" w:space="0" w:color="auto"/>
              <w:bottom w:val="single" w:sz="4" w:space="0" w:color="auto"/>
              <w:right w:val="single" w:sz="4" w:space="0" w:color="auto"/>
            </w:tcBorders>
            <w:noWrap/>
            <w:hideMark/>
          </w:tcPr>
          <w:p w14:paraId="2A57B49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(50,000)</w:t>
            </w:r>
          </w:p>
        </w:tc>
      </w:tr>
      <w:tr w:rsidR="007D7DD9" w:rsidRPr="007D7DD9" w14:paraId="77D1D4FD"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D9A947C"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E3F470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Salary of IT Programmer</w:t>
            </w:r>
          </w:p>
        </w:tc>
        <w:tc>
          <w:tcPr>
            <w:tcW w:w="1540" w:type="dxa"/>
            <w:tcBorders>
              <w:top w:val="single" w:sz="4" w:space="0" w:color="auto"/>
              <w:left w:val="single" w:sz="4" w:space="0" w:color="auto"/>
              <w:bottom w:val="single" w:sz="4" w:space="0" w:color="auto"/>
              <w:right w:val="single" w:sz="4" w:space="0" w:color="auto"/>
            </w:tcBorders>
            <w:noWrap/>
            <w:hideMark/>
          </w:tcPr>
          <w:p w14:paraId="2C95545A"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(35,000)</w:t>
            </w:r>
          </w:p>
        </w:tc>
      </w:tr>
      <w:tr w:rsidR="007D7DD9" w:rsidRPr="007D7DD9" w14:paraId="64B6963D"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7E4D503"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30CCAB8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Warehouse Rent (50%)</w:t>
            </w:r>
          </w:p>
        </w:tc>
        <w:tc>
          <w:tcPr>
            <w:tcW w:w="1540" w:type="dxa"/>
            <w:tcBorders>
              <w:top w:val="single" w:sz="4" w:space="0" w:color="auto"/>
              <w:left w:val="single" w:sz="4" w:space="0" w:color="auto"/>
              <w:bottom w:val="single" w:sz="4" w:space="0" w:color="auto"/>
              <w:right w:val="single" w:sz="4" w:space="0" w:color="auto"/>
            </w:tcBorders>
            <w:noWrap/>
            <w:hideMark/>
          </w:tcPr>
          <w:p w14:paraId="36DD594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(85,000)</w:t>
            </w:r>
          </w:p>
        </w:tc>
      </w:tr>
      <w:tr w:rsidR="007D7DD9" w:rsidRPr="007D7DD9" w14:paraId="5F2F5F8C"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BAE8AC2"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20E243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Insurance</w:t>
            </w:r>
          </w:p>
        </w:tc>
        <w:tc>
          <w:tcPr>
            <w:tcW w:w="1540" w:type="dxa"/>
            <w:tcBorders>
              <w:top w:val="single" w:sz="4" w:space="0" w:color="auto"/>
              <w:left w:val="single" w:sz="4" w:space="0" w:color="auto"/>
              <w:bottom w:val="single" w:sz="4" w:space="0" w:color="auto"/>
              <w:right w:val="single" w:sz="4" w:space="0" w:color="auto"/>
            </w:tcBorders>
            <w:noWrap/>
            <w:hideMark/>
          </w:tcPr>
          <w:p w14:paraId="738F655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(100,000)</w:t>
            </w:r>
          </w:p>
        </w:tc>
      </w:tr>
      <w:tr w:rsidR="007D7DD9" w:rsidRPr="007D7DD9" w14:paraId="1F18998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37715D65"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1318B5E0"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Warehouse Supervisor Salary (50%)</w:t>
            </w:r>
          </w:p>
        </w:tc>
        <w:tc>
          <w:tcPr>
            <w:tcW w:w="1540" w:type="dxa"/>
            <w:tcBorders>
              <w:top w:val="single" w:sz="4" w:space="0" w:color="auto"/>
              <w:left w:val="single" w:sz="4" w:space="0" w:color="auto"/>
              <w:bottom w:val="single" w:sz="4" w:space="0" w:color="auto"/>
              <w:right w:val="single" w:sz="4" w:space="0" w:color="auto"/>
            </w:tcBorders>
            <w:noWrap/>
            <w:hideMark/>
          </w:tcPr>
          <w:p w14:paraId="3605FF1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(17,500)</w:t>
            </w:r>
          </w:p>
        </w:tc>
      </w:tr>
      <w:tr w:rsidR="007D7DD9" w:rsidRPr="007D7DD9" w14:paraId="2D73F25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DC5DCE2"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7AB7769B"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6B4E147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r>
      <w:tr w:rsidR="007D7DD9" w:rsidRPr="007D7DD9" w14:paraId="3F0DE4E8"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4240C94"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6036CF9"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Profit</w:t>
            </w:r>
          </w:p>
        </w:tc>
        <w:tc>
          <w:tcPr>
            <w:tcW w:w="1540" w:type="dxa"/>
            <w:tcBorders>
              <w:top w:val="single" w:sz="4" w:space="0" w:color="auto"/>
              <w:left w:val="single" w:sz="4" w:space="0" w:color="auto"/>
              <w:bottom w:val="single" w:sz="4" w:space="0" w:color="auto"/>
              <w:right w:val="single" w:sz="4" w:space="0" w:color="auto"/>
            </w:tcBorders>
            <w:noWrap/>
            <w:hideMark/>
          </w:tcPr>
          <w:p w14:paraId="4C7852D0"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1,222,500 </w:t>
            </w:r>
          </w:p>
        </w:tc>
      </w:tr>
      <w:tr w:rsidR="007D7DD9" w:rsidRPr="007D7DD9" w14:paraId="5FBE85C3"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13136EFA"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6B95265D"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53EDAACE"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74E938D"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2B1E7D62"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4BBCCF86"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257226FE"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0B31BD4F"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C7F4152"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Option 2:</w:t>
            </w:r>
          </w:p>
        </w:tc>
        <w:tc>
          <w:tcPr>
            <w:tcW w:w="4383" w:type="dxa"/>
            <w:tcBorders>
              <w:top w:val="single" w:sz="4" w:space="0" w:color="auto"/>
              <w:left w:val="single" w:sz="4" w:space="0" w:color="auto"/>
              <w:bottom w:val="single" w:sz="4" w:space="0" w:color="auto"/>
              <w:right w:val="single" w:sz="4" w:space="0" w:color="auto"/>
            </w:tcBorders>
            <w:noWrap/>
            <w:hideMark/>
          </w:tcPr>
          <w:p w14:paraId="08F9AA01"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Sell on Amazon</w:t>
            </w:r>
          </w:p>
        </w:tc>
        <w:tc>
          <w:tcPr>
            <w:tcW w:w="1540" w:type="dxa"/>
            <w:tcBorders>
              <w:top w:val="single" w:sz="4" w:space="0" w:color="auto"/>
              <w:left w:val="single" w:sz="4" w:space="0" w:color="auto"/>
              <w:bottom w:val="single" w:sz="4" w:space="0" w:color="auto"/>
              <w:right w:val="single" w:sz="4" w:space="0" w:color="auto"/>
            </w:tcBorders>
            <w:noWrap/>
            <w:hideMark/>
          </w:tcPr>
          <w:p w14:paraId="6CFB9937"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r>
      <w:tr w:rsidR="007D7DD9" w:rsidRPr="007D7DD9" w14:paraId="29304987"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E382996"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1BA02793"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6A1B0233"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000CCF1"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3C818235"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4F6CEDA4"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Particulars</w:t>
            </w:r>
          </w:p>
        </w:tc>
        <w:tc>
          <w:tcPr>
            <w:tcW w:w="1540" w:type="dxa"/>
            <w:tcBorders>
              <w:top w:val="single" w:sz="4" w:space="0" w:color="auto"/>
              <w:left w:val="single" w:sz="4" w:space="0" w:color="auto"/>
              <w:bottom w:val="single" w:sz="4" w:space="0" w:color="auto"/>
              <w:right w:val="single" w:sz="4" w:space="0" w:color="auto"/>
            </w:tcBorders>
            <w:noWrap/>
            <w:hideMark/>
          </w:tcPr>
          <w:p w14:paraId="20E583DF"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Amount (£) </w:t>
            </w:r>
          </w:p>
        </w:tc>
      </w:tr>
      <w:tr w:rsidR="007D7DD9" w:rsidRPr="007D7DD9" w14:paraId="4AB5173E"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9C3059A"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29BACCCC"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7E4F7E81"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2CA856C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20499372"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41AA41CC"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Sales (units)</w:t>
            </w:r>
          </w:p>
        </w:tc>
        <w:tc>
          <w:tcPr>
            <w:tcW w:w="1540" w:type="dxa"/>
            <w:tcBorders>
              <w:top w:val="single" w:sz="4" w:space="0" w:color="auto"/>
              <w:left w:val="single" w:sz="4" w:space="0" w:color="auto"/>
              <w:bottom w:val="single" w:sz="4" w:space="0" w:color="auto"/>
              <w:right w:val="single" w:sz="4" w:space="0" w:color="auto"/>
            </w:tcBorders>
            <w:noWrap/>
            <w:hideMark/>
          </w:tcPr>
          <w:p w14:paraId="3BAB1097"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65,000 </w:t>
            </w:r>
          </w:p>
        </w:tc>
      </w:tr>
      <w:tr w:rsidR="007D7DD9" w:rsidRPr="007D7DD9" w14:paraId="562E5A6D"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1152B84"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3433350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 Price</w:t>
            </w:r>
          </w:p>
        </w:tc>
        <w:tc>
          <w:tcPr>
            <w:tcW w:w="1540" w:type="dxa"/>
            <w:tcBorders>
              <w:top w:val="single" w:sz="4" w:space="0" w:color="auto"/>
              <w:left w:val="single" w:sz="4" w:space="0" w:color="auto"/>
              <w:bottom w:val="single" w:sz="4" w:space="0" w:color="auto"/>
              <w:right w:val="single" w:sz="4" w:space="0" w:color="auto"/>
            </w:tcBorders>
            <w:noWrap/>
            <w:hideMark/>
          </w:tcPr>
          <w:p w14:paraId="2B8631B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25 </w:t>
            </w:r>
          </w:p>
        </w:tc>
      </w:tr>
      <w:tr w:rsidR="007D7DD9" w:rsidRPr="007D7DD9" w14:paraId="5B3673D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4B4FE7BB"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5379CC7F"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02A6FCA2" w14:textId="77777777" w:rsidR="007D7DD9" w:rsidRPr="007D7DD9" w:rsidRDefault="007D7DD9" w:rsidP="007D7DD9">
            <w:pPr>
              <w:spacing w:line="240" w:lineRule="auto"/>
              <w:rPr>
                <w:rFonts w:ascii="Calibri" w:eastAsia="Calibri" w:hAnsi="Calibri"/>
                <w:sz w:val="20"/>
                <w:szCs w:val="20"/>
                <w:lang w:val="en-GB" w:eastAsia="en-GB"/>
              </w:rPr>
            </w:pPr>
          </w:p>
        </w:tc>
      </w:tr>
      <w:tr w:rsidR="007D7DD9" w:rsidRPr="007D7DD9" w14:paraId="35A4F592"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3061622"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2B8BF4D6"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Sales</w:t>
            </w:r>
          </w:p>
        </w:tc>
        <w:tc>
          <w:tcPr>
            <w:tcW w:w="1540" w:type="dxa"/>
            <w:tcBorders>
              <w:top w:val="single" w:sz="4" w:space="0" w:color="auto"/>
              <w:left w:val="single" w:sz="4" w:space="0" w:color="auto"/>
              <w:bottom w:val="single" w:sz="4" w:space="0" w:color="auto"/>
              <w:right w:val="single" w:sz="4" w:space="0" w:color="auto"/>
            </w:tcBorders>
            <w:noWrap/>
            <w:hideMark/>
          </w:tcPr>
          <w:p w14:paraId="333C9175"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1,625,000 </w:t>
            </w:r>
          </w:p>
        </w:tc>
      </w:tr>
      <w:tr w:rsidR="007D7DD9" w:rsidRPr="007D7DD9" w14:paraId="4420D69B"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146DA122"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4CCB469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Less: Variable Costs</w:t>
            </w:r>
          </w:p>
        </w:tc>
        <w:tc>
          <w:tcPr>
            <w:tcW w:w="1540" w:type="dxa"/>
            <w:tcBorders>
              <w:top w:val="single" w:sz="4" w:space="0" w:color="auto"/>
              <w:left w:val="single" w:sz="4" w:space="0" w:color="auto"/>
              <w:bottom w:val="single" w:sz="4" w:space="0" w:color="auto"/>
              <w:right w:val="single" w:sz="4" w:space="0" w:color="auto"/>
            </w:tcBorders>
            <w:noWrap/>
            <w:hideMark/>
          </w:tcPr>
          <w:p w14:paraId="2D5F8292"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308EE051"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3AD5E1A9"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3A3ED2B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Materials</w:t>
            </w:r>
          </w:p>
        </w:tc>
        <w:tc>
          <w:tcPr>
            <w:tcW w:w="1540" w:type="dxa"/>
            <w:tcBorders>
              <w:top w:val="single" w:sz="4" w:space="0" w:color="auto"/>
              <w:left w:val="single" w:sz="4" w:space="0" w:color="auto"/>
              <w:bottom w:val="single" w:sz="4" w:space="0" w:color="auto"/>
              <w:right w:val="single" w:sz="4" w:space="0" w:color="auto"/>
            </w:tcBorders>
            <w:noWrap/>
            <w:hideMark/>
          </w:tcPr>
          <w:p w14:paraId="17263A1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(280,000)</w:t>
            </w:r>
          </w:p>
        </w:tc>
      </w:tr>
      <w:tr w:rsidR="007D7DD9" w:rsidRPr="007D7DD9" w14:paraId="0403D77B"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74404F1A"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622783D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Labour</w:t>
            </w:r>
          </w:p>
        </w:tc>
        <w:tc>
          <w:tcPr>
            <w:tcW w:w="1540" w:type="dxa"/>
            <w:tcBorders>
              <w:top w:val="single" w:sz="4" w:space="0" w:color="auto"/>
              <w:left w:val="single" w:sz="4" w:space="0" w:color="auto"/>
              <w:bottom w:val="single" w:sz="4" w:space="0" w:color="auto"/>
              <w:right w:val="single" w:sz="4" w:space="0" w:color="auto"/>
            </w:tcBorders>
            <w:noWrap/>
            <w:hideMark/>
          </w:tcPr>
          <w:p w14:paraId="20F8CE0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(440,000)</w:t>
            </w:r>
          </w:p>
        </w:tc>
      </w:tr>
      <w:tr w:rsidR="007D7DD9" w:rsidRPr="007D7DD9" w14:paraId="23D36880"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226E385E"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797527D7"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Overhead</w:t>
            </w:r>
          </w:p>
        </w:tc>
        <w:tc>
          <w:tcPr>
            <w:tcW w:w="1540" w:type="dxa"/>
            <w:tcBorders>
              <w:top w:val="single" w:sz="4" w:space="0" w:color="auto"/>
              <w:left w:val="single" w:sz="4" w:space="0" w:color="auto"/>
              <w:bottom w:val="single" w:sz="4" w:space="0" w:color="auto"/>
              <w:right w:val="single" w:sz="4" w:space="0" w:color="auto"/>
            </w:tcBorders>
            <w:noWrap/>
            <w:hideMark/>
          </w:tcPr>
          <w:p w14:paraId="1E865E11"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(120,000)</w:t>
            </w:r>
          </w:p>
        </w:tc>
      </w:tr>
      <w:tr w:rsidR="007D7DD9" w:rsidRPr="007D7DD9" w14:paraId="1A108370"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05CC46E"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1E85FD8"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Contribution</w:t>
            </w:r>
          </w:p>
        </w:tc>
        <w:tc>
          <w:tcPr>
            <w:tcW w:w="1540" w:type="dxa"/>
            <w:tcBorders>
              <w:top w:val="single" w:sz="4" w:space="0" w:color="auto"/>
              <w:left w:val="single" w:sz="4" w:space="0" w:color="auto"/>
              <w:bottom w:val="single" w:sz="4" w:space="0" w:color="auto"/>
              <w:right w:val="single" w:sz="4" w:space="0" w:color="auto"/>
            </w:tcBorders>
            <w:noWrap/>
            <w:hideMark/>
          </w:tcPr>
          <w:p w14:paraId="4AB19791"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785,000 </w:t>
            </w:r>
          </w:p>
        </w:tc>
      </w:tr>
      <w:tr w:rsidR="007D7DD9" w:rsidRPr="007D7DD9" w14:paraId="33A8565F"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68F1737"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3A7A3CF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Less: Fixed Costs</w:t>
            </w:r>
          </w:p>
        </w:tc>
        <w:tc>
          <w:tcPr>
            <w:tcW w:w="1540" w:type="dxa"/>
            <w:tcBorders>
              <w:top w:val="single" w:sz="4" w:space="0" w:color="auto"/>
              <w:left w:val="single" w:sz="4" w:space="0" w:color="auto"/>
              <w:bottom w:val="single" w:sz="4" w:space="0" w:color="auto"/>
              <w:right w:val="single" w:sz="4" w:space="0" w:color="auto"/>
            </w:tcBorders>
            <w:noWrap/>
            <w:hideMark/>
          </w:tcPr>
          <w:p w14:paraId="7E80F0F1"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r>
      <w:tr w:rsidR="007D7DD9" w:rsidRPr="007D7DD9" w14:paraId="357DD02E"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C064810" w14:textId="77777777" w:rsidR="007D7DD9" w:rsidRPr="007D7DD9" w:rsidRDefault="007D7DD9" w:rsidP="007D7DD9">
            <w:pPr>
              <w:spacing w:line="240" w:lineRule="auto"/>
              <w:rPr>
                <w:rFonts w:ascii="Calibri" w:eastAsia="Calibri" w:hAnsi="Calibri"/>
                <w:sz w:val="20"/>
                <w:szCs w:val="20"/>
                <w:lang w:val="en-GB" w:eastAsia="en-GB"/>
              </w:rPr>
            </w:pPr>
          </w:p>
        </w:tc>
        <w:tc>
          <w:tcPr>
            <w:tcW w:w="4383" w:type="dxa"/>
            <w:tcBorders>
              <w:top w:val="single" w:sz="4" w:space="0" w:color="auto"/>
              <w:left w:val="single" w:sz="4" w:space="0" w:color="auto"/>
              <w:bottom w:val="single" w:sz="4" w:space="0" w:color="auto"/>
              <w:right w:val="single" w:sz="4" w:space="0" w:color="auto"/>
            </w:tcBorders>
            <w:noWrap/>
            <w:hideMark/>
          </w:tcPr>
          <w:p w14:paraId="78076793"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Cost of setting up delivery network</w:t>
            </w:r>
          </w:p>
        </w:tc>
        <w:tc>
          <w:tcPr>
            <w:tcW w:w="1540" w:type="dxa"/>
            <w:tcBorders>
              <w:top w:val="single" w:sz="4" w:space="0" w:color="auto"/>
              <w:left w:val="single" w:sz="4" w:space="0" w:color="auto"/>
              <w:bottom w:val="single" w:sz="4" w:space="0" w:color="auto"/>
              <w:right w:val="single" w:sz="4" w:space="0" w:color="auto"/>
            </w:tcBorders>
            <w:noWrap/>
            <w:hideMark/>
          </w:tcPr>
          <w:p w14:paraId="4F1D637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(50,000)</w:t>
            </w:r>
          </w:p>
        </w:tc>
      </w:tr>
      <w:tr w:rsidR="007D7DD9" w:rsidRPr="007D7DD9" w14:paraId="6212EEEB"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36A84988"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7119B18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Warehouse Rent (50%)</w:t>
            </w:r>
          </w:p>
        </w:tc>
        <w:tc>
          <w:tcPr>
            <w:tcW w:w="1540" w:type="dxa"/>
            <w:tcBorders>
              <w:top w:val="single" w:sz="4" w:space="0" w:color="auto"/>
              <w:left w:val="single" w:sz="4" w:space="0" w:color="auto"/>
              <w:bottom w:val="single" w:sz="4" w:space="0" w:color="auto"/>
              <w:right w:val="single" w:sz="4" w:space="0" w:color="auto"/>
            </w:tcBorders>
            <w:noWrap/>
            <w:hideMark/>
          </w:tcPr>
          <w:p w14:paraId="01BD9BE9"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(85,000)</w:t>
            </w:r>
          </w:p>
        </w:tc>
      </w:tr>
      <w:tr w:rsidR="007D7DD9" w:rsidRPr="007D7DD9" w14:paraId="48148B4C"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0B648CD6"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2B7BA198"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Insurance</w:t>
            </w:r>
          </w:p>
        </w:tc>
        <w:tc>
          <w:tcPr>
            <w:tcW w:w="1540" w:type="dxa"/>
            <w:tcBorders>
              <w:top w:val="single" w:sz="4" w:space="0" w:color="auto"/>
              <w:left w:val="single" w:sz="4" w:space="0" w:color="auto"/>
              <w:bottom w:val="single" w:sz="4" w:space="0" w:color="auto"/>
              <w:right w:val="single" w:sz="4" w:space="0" w:color="auto"/>
            </w:tcBorders>
            <w:noWrap/>
            <w:hideMark/>
          </w:tcPr>
          <w:p w14:paraId="40F3125F"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(100,000)</w:t>
            </w:r>
          </w:p>
        </w:tc>
      </w:tr>
      <w:tr w:rsidR="007D7DD9" w:rsidRPr="007D7DD9" w14:paraId="2763077E"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5730B2B5"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0244AA44"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Warehouse Supervisor Salary (50%)</w:t>
            </w:r>
          </w:p>
        </w:tc>
        <w:tc>
          <w:tcPr>
            <w:tcW w:w="1540" w:type="dxa"/>
            <w:tcBorders>
              <w:top w:val="single" w:sz="4" w:space="0" w:color="auto"/>
              <w:left w:val="single" w:sz="4" w:space="0" w:color="auto"/>
              <w:bottom w:val="single" w:sz="4" w:space="0" w:color="auto"/>
              <w:right w:val="single" w:sz="4" w:space="0" w:color="auto"/>
            </w:tcBorders>
            <w:noWrap/>
            <w:hideMark/>
          </w:tcPr>
          <w:p w14:paraId="1F44A462"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xml:space="preserve">           (17,500)</w:t>
            </w:r>
          </w:p>
        </w:tc>
      </w:tr>
      <w:tr w:rsidR="007D7DD9" w:rsidRPr="007D7DD9" w14:paraId="06257E17"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1D23269F"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688D5DED"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125947D5" w14:textId="77777777" w:rsidR="007D7DD9" w:rsidRPr="007D7DD9" w:rsidRDefault="007D7DD9" w:rsidP="007D7DD9">
            <w:pPr>
              <w:spacing w:line="240" w:lineRule="auto"/>
              <w:rPr>
                <w:rFonts w:ascii="Times New Roman" w:eastAsia="Calibri" w:hAnsi="Times New Roman" w:cs="Times New Roman"/>
                <w:sz w:val="24"/>
                <w:szCs w:val="24"/>
                <w:lang w:val="en-GB" w:eastAsia="en-US"/>
              </w:rPr>
            </w:pPr>
            <w:r w:rsidRPr="007D7DD9">
              <w:rPr>
                <w:rFonts w:ascii="Times New Roman" w:eastAsia="Calibri" w:hAnsi="Times New Roman" w:cs="Times New Roman"/>
                <w:sz w:val="24"/>
                <w:szCs w:val="24"/>
                <w:lang w:val="en-GB" w:eastAsia="en-US"/>
              </w:rPr>
              <w:t> </w:t>
            </w:r>
          </w:p>
        </w:tc>
      </w:tr>
      <w:tr w:rsidR="007D7DD9" w:rsidRPr="007D7DD9" w14:paraId="60F9FD1E"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6762E54F" w14:textId="77777777" w:rsidR="007D7DD9" w:rsidRPr="007D7DD9" w:rsidRDefault="007D7DD9" w:rsidP="007D7DD9">
            <w:pPr>
              <w:spacing w:line="256" w:lineRule="auto"/>
              <w:rPr>
                <w:rFonts w:ascii="Times New Roman" w:eastAsia="Calibri" w:hAnsi="Times New Roman" w:cs="Times New Roman"/>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5804074D"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Profit</w:t>
            </w:r>
          </w:p>
        </w:tc>
        <w:tc>
          <w:tcPr>
            <w:tcW w:w="1540" w:type="dxa"/>
            <w:tcBorders>
              <w:top w:val="single" w:sz="4" w:space="0" w:color="auto"/>
              <w:left w:val="single" w:sz="4" w:space="0" w:color="auto"/>
              <w:bottom w:val="single" w:sz="4" w:space="0" w:color="auto"/>
              <w:right w:val="single" w:sz="4" w:space="0" w:color="auto"/>
            </w:tcBorders>
            <w:noWrap/>
            <w:hideMark/>
          </w:tcPr>
          <w:p w14:paraId="2D98FBA0" w14:textId="77777777" w:rsidR="007D7DD9" w:rsidRPr="007D7DD9" w:rsidRDefault="007D7DD9" w:rsidP="007D7DD9">
            <w:pPr>
              <w:spacing w:line="240" w:lineRule="auto"/>
              <w:rPr>
                <w:rFonts w:ascii="Times New Roman" w:eastAsia="Calibri" w:hAnsi="Times New Roman" w:cs="Times New Roman"/>
                <w:b/>
                <w:bCs/>
                <w:sz w:val="24"/>
                <w:szCs w:val="24"/>
                <w:lang w:val="en-GB" w:eastAsia="en-US"/>
              </w:rPr>
            </w:pPr>
            <w:r w:rsidRPr="007D7DD9">
              <w:rPr>
                <w:rFonts w:ascii="Times New Roman" w:eastAsia="Calibri" w:hAnsi="Times New Roman" w:cs="Times New Roman"/>
                <w:b/>
                <w:bCs/>
                <w:sz w:val="24"/>
                <w:szCs w:val="24"/>
                <w:lang w:val="en-GB" w:eastAsia="en-US"/>
              </w:rPr>
              <w:t xml:space="preserve">          532,500 </w:t>
            </w:r>
          </w:p>
        </w:tc>
      </w:tr>
      <w:tr w:rsidR="007D7DD9" w:rsidRPr="007D7DD9" w14:paraId="61035C83" w14:textId="77777777" w:rsidTr="007D7DD9">
        <w:trPr>
          <w:trHeight w:val="315"/>
        </w:trPr>
        <w:tc>
          <w:tcPr>
            <w:tcW w:w="1240" w:type="dxa"/>
            <w:tcBorders>
              <w:top w:val="single" w:sz="4" w:space="0" w:color="auto"/>
              <w:left w:val="single" w:sz="4" w:space="0" w:color="auto"/>
              <w:bottom w:val="single" w:sz="4" w:space="0" w:color="auto"/>
              <w:right w:val="single" w:sz="4" w:space="0" w:color="auto"/>
            </w:tcBorders>
            <w:noWrap/>
            <w:hideMark/>
          </w:tcPr>
          <w:p w14:paraId="7170597D" w14:textId="77777777" w:rsidR="007D7DD9" w:rsidRPr="007D7DD9" w:rsidRDefault="007D7DD9" w:rsidP="007D7DD9">
            <w:pPr>
              <w:spacing w:line="256" w:lineRule="auto"/>
              <w:rPr>
                <w:rFonts w:ascii="Times New Roman" w:eastAsia="Calibri" w:hAnsi="Times New Roman" w:cs="Times New Roman"/>
                <w:b/>
                <w:bCs/>
                <w:sz w:val="24"/>
                <w:szCs w:val="24"/>
                <w:lang w:val="en-GB" w:eastAsia="en-US"/>
              </w:rPr>
            </w:pPr>
          </w:p>
        </w:tc>
        <w:tc>
          <w:tcPr>
            <w:tcW w:w="4383" w:type="dxa"/>
            <w:tcBorders>
              <w:top w:val="single" w:sz="4" w:space="0" w:color="auto"/>
              <w:left w:val="single" w:sz="4" w:space="0" w:color="auto"/>
              <w:bottom w:val="single" w:sz="4" w:space="0" w:color="auto"/>
              <w:right w:val="single" w:sz="4" w:space="0" w:color="auto"/>
            </w:tcBorders>
            <w:noWrap/>
            <w:hideMark/>
          </w:tcPr>
          <w:p w14:paraId="7E25F855" w14:textId="77777777" w:rsidR="007D7DD9" w:rsidRPr="007D7DD9" w:rsidRDefault="007D7DD9" w:rsidP="007D7DD9">
            <w:pPr>
              <w:spacing w:line="240" w:lineRule="auto"/>
              <w:rPr>
                <w:rFonts w:ascii="Calibri" w:eastAsia="Calibri" w:hAnsi="Calibri"/>
                <w:sz w:val="20"/>
                <w:szCs w:val="20"/>
                <w:lang w:val="en-GB" w:eastAsia="en-GB"/>
              </w:rPr>
            </w:pPr>
          </w:p>
        </w:tc>
        <w:tc>
          <w:tcPr>
            <w:tcW w:w="1540" w:type="dxa"/>
            <w:tcBorders>
              <w:top w:val="single" w:sz="4" w:space="0" w:color="auto"/>
              <w:left w:val="single" w:sz="4" w:space="0" w:color="auto"/>
              <w:bottom w:val="single" w:sz="4" w:space="0" w:color="auto"/>
              <w:right w:val="single" w:sz="4" w:space="0" w:color="auto"/>
            </w:tcBorders>
            <w:noWrap/>
            <w:hideMark/>
          </w:tcPr>
          <w:p w14:paraId="11B4D2B0" w14:textId="77777777" w:rsidR="007D7DD9" w:rsidRPr="007D7DD9" w:rsidRDefault="007D7DD9" w:rsidP="007D7DD9">
            <w:pPr>
              <w:spacing w:line="240" w:lineRule="auto"/>
              <w:rPr>
                <w:rFonts w:ascii="Calibri" w:eastAsia="Calibri" w:hAnsi="Calibri"/>
                <w:sz w:val="20"/>
                <w:szCs w:val="20"/>
                <w:lang w:val="en-GB" w:eastAsia="en-GB"/>
              </w:rPr>
            </w:pPr>
          </w:p>
        </w:tc>
      </w:tr>
    </w:tbl>
    <w:p w14:paraId="5900FEBB" w14:textId="77777777" w:rsidR="007D7DD9" w:rsidRPr="007D7DD9" w:rsidRDefault="007D7DD9" w:rsidP="007D7DD9">
      <w:pPr>
        <w:spacing w:after="160" w:line="256" w:lineRule="auto"/>
        <w:rPr>
          <w:rFonts w:ascii="Times New Roman" w:eastAsia="Calibri" w:hAnsi="Times New Roman" w:cs="Times New Roman"/>
          <w:sz w:val="24"/>
          <w:szCs w:val="24"/>
          <w:lang w:val="en-GB" w:eastAsia="en-US"/>
        </w:rPr>
      </w:pPr>
    </w:p>
    <w:p w14:paraId="77311261" w14:textId="77777777" w:rsidR="00433916" w:rsidRPr="00281FB0" w:rsidRDefault="00433916">
      <w:pPr>
        <w:rPr>
          <w:rFonts w:ascii="Times New Roman" w:hAnsi="Times New Roman" w:cs="Times New Roman"/>
          <w:sz w:val="24"/>
          <w:szCs w:val="24"/>
        </w:rPr>
      </w:pPr>
    </w:p>
    <w:sectPr w:rsidR="00433916" w:rsidRPr="00281FB0" w:rsidSect="00E3136F">
      <w:headerReference w:type="default" r:id="rId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CABBC" w14:textId="77777777" w:rsidR="00F918CA" w:rsidRDefault="00F918CA" w:rsidP="00E3136F">
      <w:pPr>
        <w:spacing w:line="240" w:lineRule="auto"/>
      </w:pPr>
      <w:r>
        <w:separator/>
      </w:r>
    </w:p>
  </w:endnote>
  <w:endnote w:type="continuationSeparator" w:id="0">
    <w:p w14:paraId="3B253E23" w14:textId="77777777" w:rsidR="00F918CA" w:rsidRDefault="00F918CA" w:rsidP="00E313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765187"/>
      <w:docPartObj>
        <w:docPartGallery w:val="Page Numbers (Bottom of Page)"/>
        <w:docPartUnique/>
      </w:docPartObj>
    </w:sdtPr>
    <w:sdtEndPr>
      <w:rPr>
        <w:noProof/>
      </w:rPr>
    </w:sdtEndPr>
    <w:sdtContent>
      <w:p w14:paraId="5D511DA0" w14:textId="3A5911C1" w:rsidR="00E3136F" w:rsidRDefault="00E313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A501F" w14:textId="77777777" w:rsidR="00E3136F" w:rsidRDefault="00E31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9375C" w14:textId="77777777" w:rsidR="00F918CA" w:rsidRDefault="00F918CA" w:rsidP="00E3136F">
      <w:pPr>
        <w:spacing w:line="240" w:lineRule="auto"/>
      </w:pPr>
      <w:r>
        <w:separator/>
      </w:r>
    </w:p>
  </w:footnote>
  <w:footnote w:type="continuationSeparator" w:id="0">
    <w:p w14:paraId="45ABD747" w14:textId="77777777" w:rsidR="00F918CA" w:rsidRDefault="00F918CA" w:rsidP="00E313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D9326" w14:textId="6302F69D" w:rsidR="00E3136F" w:rsidRPr="00E3136F" w:rsidRDefault="00E3136F">
    <w:pPr>
      <w:pStyle w:val="Head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1814116</w:t>
    </w:r>
  </w:p>
  <w:p w14:paraId="3E9A800D" w14:textId="77777777" w:rsidR="00E3136F" w:rsidRDefault="00E313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7C6"/>
    <w:rsid w:val="002258E9"/>
    <w:rsid w:val="00281FB0"/>
    <w:rsid w:val="002B2CFD"/>
    <w:rsid w:val="002F3FAA"/>
    <w:rsid w:val="00330830"/>
    <w:rsid w:val="00433916"/>
    <w:rsid w:val="00467619"/>
    <w:rsid w:val="0052225B"/>
    <w:rsid w:val="00626A5B"/>
    <w:rsid w:val="006B6C90"/>
    <w:rsid w:val="007D7DD9"/>
    <w:rsid w:val="00845B47"/>
    <w:rsid w:val="00854150"/>
    <w:rsid w:val="008A71B0"/>
    <w:rsid w:val="008E65FF"/>
    <w:rsid w:val="009A47C6"/>
    <w:rsid w:val="00A0397F"/>
    <w:rsid w:val="00A535C4"/>
    <w:rsid w:val="00AE2719"/>
    <w:rsid w:val="00B33013"/>
    <w:rsid w:val="00B945A3"/>
    <w:rsid w:val="00C0013E"/>
    <w:rsid w:val="00C81D3A"/>
    <w:rsid w:val="00D34F10"/>
    <w:rsid w:val="00D6431C"/>
    <w:rsid w:val="00D824E2"/>
    <w:rsid w:val="00DA3645"/>
    <w:rsid w:val="00E3136F"/>
    <w:rsid w:val="00F51891"/>
    <w:rsid w:val="00F918CA"/>
    <w:rsid w:val="00FC33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DBAAA"/>
  <w15:chartTrackingRefBased/>
  <w15:docId w15:val="{27AFA095-6517-4FEB-B84E-FDBABF19D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FB0"/>
    <w:pPr>
      <w:spacing w:after="0" w:line="276" w:lineRule="auto"/>
    </w:pPr>
    <w:rPr>
      <w:rFonts w:ascii="Arial" w:eastAsia="Arial" w:hAnsi="Arial" w:cs="Arial"/>
      <w:lang w:val="en" w:eastAsia="en-IN"/>
    </w:rPr>
  </w:style>
  <w:style w:type="paragraph" w:styleId="Heading1">
    <w:name w:val="heading 1"/>
    <w:basedOn w:val="Normal"/>
    <w:next w:val="Normal"/>
    <w:link w:val="Heading1Char"/>
    <w:autoRedefine/>
    <w:uiPriority w:val="9"/>
    <w:qFormat/>
    <w:rsid w:val="00F51891"/>
    <w:pPr>
      <w:keepNext/>
      <w:keepLines/>
      <w:spacing w:before="400" w:after="120" w:line="360" w:lineRule="auto"/>
      <w:jc w:val="both"/>
      <w:outlineLvl w:val="0"/>
    </w:pPr>
    <w:rPr>
      <w:rFonts w:ascii="Times New Roman" w:eastAsia="Calibri" w:hAnsi="Times New Roman" w:cs="Times New Roman"/>
      <w:b/>
      <w:color w:val="000000" w:themeColor="text1"/>
      <w:sz w:val="24"/>
      <w:lang w:val="en-GB" w:eastAsia="en-US"/>
    </w:rPr>
  </w:style>
  <w:style w:type="paragraph" w:styleId="Heading2">
    <w:name w:val="heading 2"/>
    <w:basedOn w:val="Normal"/>
    <w:next w:val="Normal"/>
    <w:link w:val="Heading2Char"/>
    <w:autoRedefine/>
    <w:uiPriority w:val="9"/>
    <w:semiHidden/>
    <w:unhideWhenUsed/>
    <w:qFormat/>
    <w:rsid w:val="00281FB0"/>
    <w:pPr>
      <w:keepNext/>
      <w:keepLines/>
      <w:spacing w:before="360" w:after="120" w:line="360" w:lineRule="auto"/>
      <w:jc w:val="both"/>
      <w:outlineLvl w:val="1"/>
    </w:pPr>
    <w:rPr>
      <w:rFonts w:ascii="Times New Roman" w:eastAsia="Times New Roman" w:hAnsi="Times New Roman"/>
      <w:b/>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891"/>
    <w:rPr>
      <w:rFonts w:ascii="Times New Roman" w:eastAsia="Calibri" w:hAnsi="Times New Roman" w:cs="Times New Roman"/>
      <w:b/>
      <w:color w:val="000000" w:themeColor="text1"/>
      <w:sz w:val="24"/>
    </w:rPr>
  </w:style>
  <w:style w:type="character" w:customStyle="1" w:styleId="Heading2Char">
    <w:name w:val="Heading 2 Char"/>
    <w:basedOn w:val="DefaultParagraphFont"/>
    <w:link w:val="Heading2"/>
    <w:uiPriority w:val="9"/>
    <w:semiHidden/>
    <w:rsid w:val="00281FB0"/>
    <w:rPr>
      <w:rFonts w:ascii="Times New Roman" w:eastAsia="Times New Roman" w:hAnsi="Times New Roman" w:cs="Arial"/>
      <w:b/>
      <w:color w:val="000000" w:themeColor="text1"/>
      <w:sz w:val="26"/>
      <w:szCs w:val="32"/>
      <w:lang w:val="en" w:eastAsia="en-IN"/>
    </w:rPr>
  </w:style>
  <w:style w:type="character" w:styleId="Hyperlink">
    <w:name w:val="Hyperlink"/>
    <w:basedOn w:val="DefaultParagraphFont"/>
    <w:uiPriority w:val="99"/>
    <w:unhideWhenUsed/>
    <w:rsid w:val="00281FB0"/>
    <w:rPr>
      <w:color w:val="0563C1" w:themeColor="hyperlink"/>
      <w:u w:val="single"/>
    </w:rPr>
  </w:style>
  <w:style w:type="paragraph" w:styleId="TOC1">
    <w:name w:val="toc 1"/>
    <w:basedOn w:val="Normal"/>
    <w:next w:val="Normal"/>
    <w:autoRedefine/>
    <w:uiPriority w:val="39"/>
    <w:unhideWhenUsed/>
    <w:rsid w:val="00281FB0"/>
    <w:pPr>
      <w:spacing w:after="100"/>
    </w:pPr>
  </w:style>
  <w:style w:type="paragraph" w:styleId="TOC2">
    <w:name w:val="toc 2"/>
    <w:basedOn w:val="Normal"/>
    <w:next w:val="Normal"/>
    <w:autoRedefine/>
    <w:uiPriority w:val="39"/>
    <w:unhideWhenUsed/>
    <w:rsid w:val="00281FB0"/>
    <w:pPr>
      <w:spacing w:after="100"/>
      <w:ind w:left="220"/>
    </w:pPr>
  </w:style>
  <w:style w:type="paragraph" w:styleId="TOCHeading">
    <w:name w:val="TOC Heading"/>
    <w:basedOn w:val="Heading1"/>
    <w:next w:val="Normal"/>
    <w:uiPriority w:val="39"/>
    <w:unhideWhenUsed/>
    <w:qFormat/>
    <w:rsid w:val="00281FB0"/>
    <w:pPr>
      <w:spacing w:before="240" w:after="0" w:line="256" w:lineRule="auto"/>
      <w:outlineLvl w:val="9"/>
    </w:pPr>
    <w:rPr>
      <w:rFonts w:asciiTheme="majorHAnsi" w:eastAsiaTheme="majorEastAsia" w:hAnsiTheme="majorHAnsi" w:cstheme="majorBidi"/>
      <w:b w:val="0"/>
      <w:color w:val="2F5496" w:themeColor="accent1" w:themeShade="BF"/>
      <w:sz w:val="32"/>
      <w:szCs w:val="32"/>
      <w:lang w:val="en-US"/>
    </w:rPr>
  </w:style>
  <w:style w:type="table" w:styleId="TableGrid">
    <w:name w:val="Table Grid"/>
    <w:basedOn w:val="TableNormal"/>
    <w:uiPriority w:val="39"/>
    <w:rsid w:val="00281FB0"/>
    <w:pPr>
      <w:spacing w:after="0" w:line="240" w:lineRule="auto"/>
    </w:pPr>
    <w:rPr>
      <w:rFonts w:ascii="Arial" w:eastAsia="Arial" w:hAnsi="Arial" w:cs="Arial"/>
      <w:lang w:val="en" w:eastAsia="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136F"/>
    <w:pPr>
      <w:tabs>
        <w:tab w:val="center" w:pos="4513"/>
        <w:tab w:val="right" w:pos="9026"/>
      </w:tabs>
      <w:spacing w:line="240" w:lineRule="auto"/>
    </w:pPr>
  </w:style>
  <w:style w:type="character" w:customStyle="1" w:styleId="HeaderChar">
    <w:name w:val="Header Char"/>
    <w:basedOn w:val="DefaultParagraphFont"/>
    <w:link w:val="Header"/>
    <w:uiPriority w:val="99"/>
    <w:rsid w:val="00E3136F"/>
    <w:rPr>
      <w:rFonts w:ascii="Arial" w:eastAsia="Arial" w:hAnsi="Arial" w:cs="Arial"/>
      <w:lang w:val="en" w:eastAsia="en-IN"/>
    </w:rPr>
  </w:style>
  <w:style w:type="paragraph" w:styleId="Footer">
    <w:name w:val="footer"/>
    <w:basedOn w:val="Normal"/>
    <w:link w:val="FooterChar"/>
    <w:uiPriority w:val="99"/>
    <w:unhideWhenUsed/>
    <w:rsid w:val="00E3136F"/>
    <w:pPr>
      <w:tabs>
        <w:tab w:val="center" w:pos="4513"/>
        <w:tab w:val="right" w:pos="9026"/>
      </w:tabs>
      <w:spacing w:line="240" w:lineRule="auto"/>
    </w:pPr>
  </w:style>
  <w:style w:type="character" w:customStyle="1" w:styleId="FooterChar">
    <w:name w:val="Footer Char"/>
    <w:basedOn w:val="DefaultParagraphFont"/>
    <w:link w:val="Footer"/>
    <w:uiPriority w:val="99"/>
    <w:rsid w:val="00E3136F"/>
    <w:rPr>
      <w:rFonts w:ascii="Arial" w:eastAsia="Arial" w:hAnsi="Arial" w:cs="Arial"/>
      <w:lang w:val="en" w:eastAsia="en-IN"/>
    </w:rPr>
  </w:style>
  <w:style w:type="table" w:customStyle="1" w:styleId="TableGrid1">
    <w:name w:val="Table Grid1"/>
    <w:basedOn w:val="TableNormal"/>
    <w:next w:val="TableGrid"/>
    <w:uiPriority w:val="39"/>
    <w:rsid w:val="007D7DD9"/>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902470">
      <w:bodyDiv w:val="1"/>
      <w:marLeft w:val="0"/>
      <w:marRight w:val="0"/>
      <w:marTop w:val="0"/>
      <w:marBottom w:val="0"/>
      <w:divBdr>
        <w:top w:val="none" w:sz="0" w:space="0" w:color="auto"/>
        <w:left w:val="none" w:sz="0" w:space="0" w:color="auto"/>
        <w:bottom w:val="none" w:sz="0" w:space="0" w:color="auto"/>
        <w:right w:val="none" w:sz="0" w:space="0" w:color="auto"/>
      </w:divBdr>
    </w:div>
    <w:div w:id="1909225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16</Pages>
  <Words>3642</Words>
  <Characters>20765</Characters>
  <Application>Microsoft Office Word</Application>
  <DocSecurity>0</DocSecurity>
  <Lines>173</Lines>
  <Paragraphs>48</Paragraphs>
  <ScaleCrop>false</ScaleCrop>
  <Company/>
  <LinksUpToDate>false</LinksUpToDate>
  <CharactersWithSpaces>24359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Andrei-cristian Chicos (1814116)</dc:creator>
  <cp:keywords/>
  <dc:description/>
  <cp:lastModifiedBy>Andrei-cristian Chicos (1814116)</cp:lastModifiedBy>
  <cp:revision>28</cp:revision>
  <dcterms:created xsi:type="dcterms:W3CDTF">2021-04-26T10:41:00Z</dcterms:created>
  <dcterms:modified xsi:type="dcterms:W3CDTF">2021-05-05T11:39:00Z</dcterms:modified>
</cp:coreProperties>
</file>