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75269" w:rsidRDefault="00000000">
      <w:r>
        <w:rPr>
          <w:noProof/>
        </w:rPr>
        <w:drawing>
          <wp:inline distT="0" distB="0" distL="0" distR="0">
            <wp:extent cx="2286347" cy="1943401"/>
            <wp:effectExtent l="0" t="0" r="0" b="0"/>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b="31669"/>
                    <a:stretch>
                      <a:fillRect/>
                    </a:stretch>
                  </pic:blipFill>
                  <pic:spPr>
                    <a:xfrm>
                      <a:off x="0" y="0"/>
                      <a:ext cx="2286347" cy="1943401"/>
                    </a:xfrm>
                    <a:prstGeom prst="rect">
                      <a:avLst/>
                    </a:prstGeom>
                    <a:noFill/>
                    <a:ln>
                      <a:noFill/>
                      <a:prstDash/>
                    </a:ln>
                  </pic:spPr>
                </pic:pic>
              </a:graphicData>
            </a:graphic>
          </wp:inline>
        </w:drawing>
      </w:r>
      <w:r>
        <w:t xml:space="preserve"> </w:t>
      </w:r>
      <w:r>
        <w:rPr>
          <w:noProof/>
        </w:rPr>
        <w:drawing>
          <wp:inline distT="0" distB="0" distL="0" distR="0">
            <wp:extent cx="2682492" cy="2011049"/>
            <wp:effectExtent l="0" t="0" r="3558" b="8251"/>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682492" cy="2011049"/>
                    </a:xfrm>
                    <a:prstGeom prst="rect">
                      <a:avLst/>
                    </a:prstGeom>
                    <a:noFill/>
                    <a:ln>
                      <a:noFill/>
                      <a:prstDash/>
                    </a:ln>
                  </pic:spPr>
                </pic:pic>
              </a:graphicData>
            </a:graphic>
          </wp:inline>
        </w:drawing>
      </w:r>
      <w:r>
        <w:t xml:space="preserve">         </w:t>
      </w:r>
      <w:r>
        <w:rPr>
          <w:noProof/>
        </w:rPr>
        <w:drawing>
          <wp:inline distT="0" distB="0" distL="0" distR="0">
            <wp:extent cx="2158971" cy="1594713"/>
            <wp:effectExtent l="0" t="0" r="0" b="5487"/>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21163" t="11605" r="13296" b="23820"/>
                    <a:stretch>
                      <a:fillRect/>
                    </a:stretch>
                  </pic:blipFill>
                  <pic:spPr>
                    <a:xfrm>
                      <a:off x="0" y="0"/>
                      <a:ext cx="2158971" cy="1594713"/>
                    </a:xfrm>
                    <a:prstGeom prst="rect">
                      <a:avLst/>
                    </a:prstGeom>
                    <a:noFill/>
                    <a:ln>
                      <a:noFill/>
                      <a:prstDash/>
                    </a:ln>
                  </pic:spPr>
                </pic:pic>
              </a:graphicData>
            </a:graphic>
          </wp:inline>
        </w:drawing>
      </w:r>
      <w:r>
        <w:t xml:space="preserve"> </w:t>
      </w:r>
      <w:r>
        <w:rPr>
          <w:noProof/>
        </w:rPr>
        <w:drawing>
          <wp:inline distT="0" distB="0" distL="0" distR="0">
            <wp:extent cx="1660559" cy="1577824"/>
            <wp:effectExtent l="0" t="0" r="0" b="3326"/>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l="20639" r="16064" b="19776"/>
                    <a:stretch>
                      <a:fillRect/>
                    </a:stretch>
                  </pic:blipFill>
                  <pic:spPr>
                    <a:xfrm>
                      <a:off x="0" y="0"/>
                      <a:ext cx="1660559" cy="1577824"/>
                    </a:xfrm>
                    <a:prstGeom prst="rect">
                      <a:avLst/>
                    </a:prstGeom>
                    <a:noFill/>
                    <a:ln>
                      <a:noFill/>
                      <a:prstDash/>
                    </a:ln>
                  </pic:spPr>
                </pic:pic>
              </a:graphicData>
            </a:graphic>
          </wp:inline>
        </w:drawing>
      </w:r>
    </w:p>
    <w:p w:rsidR="00E75269" w:rsidRDefault="00E75269"/>
    <w:p w:rsidR="00E75269" w:rsidRDefault="00000000">
      <w:pPr>
        <w:rPr>
          <w:sz w:val="16"/>
          <w:szCs w:val="16"/>
        </w:rPr>
      </w:pPr>
      <w:r>
        <w:rPr>
          <w:sz w:val="16"/>
          <w:szCs w:val="16"/>
        </w:rPr>
        <w:t xml:space="preserve">Pictures were taken by David Hinsull on 31/1/2023 thank due to UWTSD and </w:t>
      </w:r>
      <w:proofErr w:type="spellStart"/>
      <w:r>
        <w:rPr>
          <w:sz w:val="16"/>
          <w:szCs w:val="16"/>
        </w:rPr>
        <w:t>Cyfarthfa</w:t>
      </w:r>
      <w:proofErr w:type="spellEnd"/>
      <w:r>
        <w:rPr>
          <w:sz w:val="16"/>
          <w:szCs w:val="16"/>
        </w:rPr>
        <w:t xml:space="preserve"> Castle Museum.</w:t>
      </w:r>
    </w:p>
    <w:p w:rsidR="00E75269" w:rsidRDefault="00000000">
      <w:pPr>
        <w:rPr>
          <w:b/>
          <w:bCs/>
          <w:u w:val="single"/>
        </w:rPr>
      </w:pPr>
      <w:r>
        <w:rPr>
          <w:b/>
          <w:bCs/>
          <w:u w:val="single"/>
        </w:rPr>
        <w:t xml:space="preserve">Faience Kohl Pot </w:t>
      </w:r>
    </w:p>
    <w:p w:rsidR="00E75269" w:rsidRDefault="00000000">
      <w:pPr>
        <w:rPr>
          <w:b/>
          <w:bCs/>
        </w:rPr>
      </w:pPr>
      <w:r>
        <w:rPr>
          <w:b/>
          <w:bCs/>
        </w:rPr>
        <w:t xml:space="preserve"> </w:t>
      </w:r>
      <w:proofErr w:type="spellStart"/>
      <w:r>
        <w:rPr>
          <w:b/>
          <w:bCs/>
        </w:rPr>
        <w:t>Cyfarthfa</w:t>
      </w:r>
      <w:proofErr w:type="spellEnd"/>
      <w:r>
        <w:rPr>
          <w:b/>
          <w:bCs/>
        </w:rPr>
        <w:t xml:space="preserve"> Castle Museum-  CCM.314.004</w:t>
      </w:r>
    </w:p>
    <w:p w:rsidR="00E75269" w:rsidRDefault="00000000">
      <w:r>
        <w:rPr>
          <w:b/>
          <w:bCs/>
        </w:rPr>
        <w:t>Object type:</w:t>
      </w:r>
      <w:r>
        <w:t xml:space="preserve"> cosmetic container </w:t>
      </w:r>
    </w:p>
    <w:p w:rsidR="00E75269" w:rsidRDefault="00000000">
      <w:r>
        <w:rPr>
          <w:b/>
          <w:bCs/>
        </w:rPr>
        <w:t>Material:</w:t>
      </w:r>
      <w:r>
        <w:t xml:space="preserve"> Faience </w:t>
      </w:r>
    </w:p>
    <w:p w:rsidR="00E75269" w:rsidRDefault="00000000">
      <w:r>
        <w:rPr>
          <w:b/>
          <w:bCs/>
        </w:rPr>
        <w:t xml:space="preserve">Period: </w:t>
      </w:r>
      <w:r>
        <w:t>possibly Old or Middle kingdom</w:t>
      </w:r>
    </w:p>
    <w:p w:rsidR="00E75269" w:rsidRDefault="00000000">
      <w:r>
        <w:rPr>
          <w:b/>
          <w:bCs/>
        </w:rPr>
        <w:t>Provenance:</w:t>
      </w:r>
      <w:r>
        <w:t xml:space="preserve"> Egypt </w:t>
      </w:r>
    </w:p>
    <w:p w:rsidR="00E75269" w:rsidRDefault="00000000">
      <w:r>
        <w:rPr>
          <w:b/>
          <w:bCs/>
        </w:rPr>
        <w:t xml:space="preserve">Height: </w:t>
      </w:r>
      <w:r>
        <w:t xml:space="preserve">3.5cm </w:t>
      </w:r>
    </w:p>
    <w:p w:rsidR="00E75269" w:rsidRDefault="00000000">
      <w:r>
        <w:rPr>
          <w:b/>
          <w:bCs/>
        </w:rPr>
        <w:t xml:space="preserve">Diameter at top: </w:t>
      </w:r>
      <w:r>
        <w:t xml:space="preserve">3.6cm </w:t>
      </w:r>
    </w:p>
    <w:p w:rsidR="00E75269" w:rsidRDefault="00000000">
      <w:r>
        <w:rPr>
          <w:b/>
          <w:bCs/>
        </w:rPr>
        <w:t xml:space="preserve">Diameter in the middle: </w:t>
      </w:r>
      <w:r>
        <w:t>3.5cm</w:t>
      </w:r>
    </w:p>
    <w:p w:rsidR="00E75269" w:rsidRDefault="00000000">
      <w:r>
        <w:rPr>
          <w:b/>
          <w:bCs/>
        </w:rPr>
        <w:t>Diameter at base</w:t>
      </w:r>
      <w:r>
        <w:t>: 2.5cm</w:t>
      </w:r>
    </w:p>
    <w:p w:rsidR="00E75269" w:rsidRDefault="00000000">
      <w:r>
        <w:rPr>
          <w:b/>
          <w:bCs/>
        </w:rPr>
        <w:t xml:space="preserve">Inside diameter: </w:t>
      </w:r>
      <w:r>
        <w:t>1.6cm</w:t>
      </w:r>
    </w:p>
    <w:p w:rsidR="00E75269" w:rsidRDefault="00000000">
      <w:r>
        <w:t>Object analysis by David Hinsull</w:t>
      </w:r>
      <w:r w:rsidR="00601E97">
        <w:t xml:space="preserve"> </w:t>
      </w:r>
      <w:r>
        <w:t xml:space="preserve"> </w:t>
      </w:r>
    </w:p>
    <w:p w:rsidR="00E75269" w:rsidRDefault="00E75269"/>
    <w:p w:rsidR="00E75269" w:rsidRDefault="00E75269"/>
    <w:p w:rsidR="00E75269" w:rsidRDefault="00000000">
      <w:pPr>
        <w:rPr>
          <w:b/>
          <w:bCs/>
          <w:u w:val="single"/>
        </w:rPr>
      </w:pPr>
      <w:r>
        <w:rPr>
          <w:b/>
          <w:bCs/>
          <w:u w:val="single"/>
        </w:rPr>
        <w:t xml:space="preserve">Description: </w:t>
      </w:r>
    </w:p>
    <w:p w:rsidR="00E75269" w:rsidRDefault="00000000">
      <w:bookmarkStart w:id="0" w:name="_Hlk126395506"/>
      <w:r>
        <w:t xml:space="preserve">The ocean blue, glazed kohl pot has an asymmetrical middle in a sphere shape, a small round base and it has a narrow neck with a flat everted rim above. The kohl pot has clearly seen signs of repair; an indication of this is the green section of the pot </w:t>
      </w:r>
      <w:bookmarkEnd w:id="0"/>
      <w:r>
        <w:t xml:space="preserve">which is prominent on the base and the pot. The </w:t>
      </w:r>
      <w:r>
        <w:lastRenderedPageBreak/>
        <w:t>provenance of the object has very little known because some objects in the museum were collected by Major Harry Hartley Southey. Who became friends with a curator of an Egyptian museum in Cairo who helped collect “spoils from tombs” and would then ship them back to Wales.</w:t>
      </w:r>
      <w:r>
        <w:rPr>
          <w:rStyle w:val="FootnoteReference"/>
        </w:rPr>
        <w:footnoteReference w:id="1"/>
      </w:r>
      <w:r>
        <w:t xml:space="preserve"> After Major Southey’s death, the items were donated by his family to the </w:t>
      </w:r>
      <w:proofErr w:type="spellStart"/>
      <w:r>
        <w:t>Cyfarthfa</w:t>
      </w:r>
      <w:proofErr w:type="spellEnd"/>
      <w:r>
        <w:t xml:space="preserve"> Castle Museum.</w:t>
      </w:r>
      <w:r>
        <w:rPr>
          <w:rStyle w:val="FootnoteReference"/>
        </w:rPr>
        <w:footnoteReference w:id="2"/>
      </w:r>
      <w:r>
        <w:t xml:space="preserve"> It is possible that the repair of the kohl container could have been done around this period however, it could have also happened during the Ancient Egyptian period.</w:t>
      </w:r>
    </w:p>
    <w:p w:rsidR="00E75269" w:rsidRDefault="00000000">
      <w:r>
        <w:t xml:space="preserve"> Faience was known as “</w:t>
      </w:r>
      <w:proofErr w:type="spellStart"/>
      <w:r>
        <w:t>tjehnet</w:t>
      </w:r>
      <w:proofErr w:type="spellEnd"/>
      <w:r>
        <w:t>” which means brilliant and scintillating like the sun, moon and stars.</w:t>
      </w:r>
      <w:r>
        <w:rPr>
          <w:rStyle w:val="FootnoteReference"/>
        </w:rPr>
        <w:footnoteReference w:id="3"/>
      </w:r>
      <w:r>
        <w:t xml:space="preserve"> Faience in Egypt was developed in and used from the Pre-Dynastic period (55,000- 3050 BCE) until the Late Period (713-332 BCE).</w:t>
      </w:r>
      <w:r>
        <w:rPr>
          <w:rStyle w:val="FootnoteReference"/>
        </w:rPr>
        <w:footnoteReference w:id="4"/>
      </w:r>
      <w:r>
        <w:t xml:space="preserve"> Faience is made up of common materials such as quartz, salt, alkalinities and mineral </w:t>
      </w:r>
      <w:proofErr w:type="spellStart"/>
      <w:r>
        <w:t>coloruants</w:t>
      </w:r>
      <w:proofErr w:type="spellEnd"/>
      <w:r>
        <w:t xml:space="preserve"> and was seen as an important status symbol.</w:t>
      </w:r>
      <w:r>
        <w:rPr>
          <w:rStyle w:val="FootnoteReference"/>
        </w:rPr>
        <w:footnoteReference w:id="5"/>
      </w:r>
      <w:r>
        <w:t xml:space="preserve"> Faience changed over time and place due to an increase in technology and production. For example, faience was first made with soda-rich ashes which came from flux additives and, by the first millennium B.C. the ashes were replaced by natron.</w:t>
      </w:r>
      <w:r>
        <w:rPr>
          <w:rStyle w:val="FootnoteReference"/>
        </w:rPr>
        <w:footnoteReference w:id="6"/>
      </w:r>
      <w:r>
        <w:t xml:space="preserve"> </w:t>
      </w:r>
    </w:p>
    <w:p w:rsidR="00E75269" w:rsidRDefault="00000000">
      <w:r>
        <w:t xml:space="preserve"> Kohl was known as “</w:t>
      </w:r>
      <w:proofErr w:type="spellStart"/>
      <w:r>
        <w:t>msdt</w:t>
      </w:r>
      <w:proofErr w:type="spellEnd"/>
      <w:r>
        <w:t>” during the Ancient Egyptian period.</w:t>
      </w:r>
      <w:r>
        <w:rPr>
          <w:rStyle w:val="FootnoteReference"/>
        </w:rPr>
        <w:footnoteReference w:id="7"/>
      </w:r>
      <w:r>
        <w:t xml:space="preserve"> Kohl pots were used as makeup pots for the living and the dead, however, they were also part of the funerary ritual, being put in the tomb and linked to the eye of Horus as well as a way to obtain cosmetics in the afterlife.</w:t>
      </w:r>
      <w:r>
        <w:rPr>
          <w:rStyle w:val="FootnoteReference"/>
        </w:rPr>
        <w:footnoteReference w:id="8"/>
      </w:r>
      <w:r>
        <w:t xml:space="preserve"> Kohl pots contained kohl, which is a cosmetic face and eye paint.</w:t>
      </w:r>
      <w:r>
        <w:rPr>
          <w:rStyle w:val="FootnoteReference"/>
        </w:rPr>
        <w:footnoteReference w:id="9"/>
      </w:r>
      <w:r>
        <w:t xml:space="preserve"> The origins of kohl are predynastic, however, it was used to make people aesthetically pleasing as well as for protection from eye diseases as well as magical religious purposes.</w:t>
      </w:r>
      <w:r>
        <w:rPr>
          <w:rStyle w:val="FootnoteReference"/>
        </w:rPr>
        <w:footnoteReference w:id="10"/>
      </w:r>
      <w:r>
        <w:t xml:space="preserve"> Kohl was also used for medical reasons because kohl protected Egyptians from sun rays and the galena in the kohl helped to deter flies.</w:t>
      </w:r>
      <w:r>
        <w:rPr>
          <w:rStyle w:val="FootnoteReference"/>
        </w:rPr>
        <w:footnoteReference w:id="11"/>
      </w:r>
      <w:r>
        <w:t xml:space="preserve">  Another way kohl had a medical purpose was that green kohl was used to cure “a build-up of water in the eyes” and along with spells would help cure the patient.</w:t>
      </w:r>
      <w:r>
        <w:rPr>
          <w:rStyle w:val="FootnoteReference"/>
        </w:rPr>
        <w:footnoteReference w:id="12"/>
      </w:r>
      <w:r>
        <w:t xml:space="preserve">   This shows how kohl and magic were both important in life and after death, as there is also evidence of magic in the afterlife in Heka which was a deity as well as life force action.</w:t>
      </w:r>
      <w:r>
        <w:rPr>
          <w:rStyle w:val="FootnoteReference"/>
        </w:rPr>
        <w:footnoteReference w:id="13"/>
      </w:r>
      <w:r>
        <w:t xml:space="preserve"> Kohl in the Middle Kingdom was used to ward off evil spirits like warding the eye of evil.</w:t>
      </w:r>
      <w:r>
        <w:rPr>
          <w:rStyle w:val="FootnoteReference"/>
        </w:rPr>
        <w:footnoteReference w:id="14"/>
      </w:r>
      <w:r>
        <w:t xml:space="preserve">     </w:t>
      </w:r>
    </w:p>
    <w:p w:rsidR="00E75269" w:rsidRDefault="00000000">
      <w:r>
        <w:t xml:space="preserve"> Kohl was made up of lead or galena and oil or animal fats.</w:t>
      </w:r>
      <w:r>
        <w:rPr>
          <w:rStyle w:val="FootnoteReference"/>
        </w:rPr>
        <w:footnoteReference w:id="15"/>
      </w:r>
      <w:r>
        <w:t xml:space="preserve"> Kohl was applied to lashes and brows to draw a perimeter around the eye.</w:t>
      </w:r>
      <w:r>
        <w:rPr>
          <w:rStyle w:val="FootnoteReference"/>
        </w:rPr>
        <w:footnoteReference w:id="16"/>
      </w:r>
      <w:r>
        <w:t xml:space="preserve"> Before the dynastic period green kohl was very common compared to black kohl however, this changed during the dynastic period.</w:t>
      </w:r>
      <w:r>
        <w:rPr>
          <w:rStyle w:val="FootnoteReference"/>
        </w:rPr>
        <w:footnoteReference w:id="17"/>
      </w:r>
      <w:r>
        <w:t xml:space="preserve">   Egyptians may have also used their fingers to apply kohl to their eyes and not just a kohl stick which could be made out of wood, ivory and bone.</w:t>
      </w:r>
      <w:r>
        <w:rPr>
          <w:rStyle w:val="FootnoteReference"/>
        </w:rPr>
        <w:footnoteReference w:id="18"/>
      </w:r>
      <w:r>
        <w:t xml:space="preserve"> Kohl was also used in the decoration of mummies as  the kohl that was used which included lead, however, Mona Erin believed “ the ancient Egyptians only used lead-based colour to paint objects, not as cosmetics for human use.”</w:t>
      </w:r>
      <w:r>
        <w:rPr>
          <w:rStyle w:val="FootnoteReference"/>
        </w:rPr>
        <w:footnoteReference w:id="19"/>
      </w:r>
      <w:r>
        <w:t xml:space="preserve"> </w:t>
      </w:r>
    </w:p>
    <w:p w:rsidR="00E75269" w:rsidRDefault="00000000">
      <w:r>
        <w:t>Kohl containers have taken many different forms during the Ancient Egyptian period. For example, some kohl containers look like our object, however, there are also square Kohl boxes and column-shaped pots, which show how important cosmetics were in the afterlife as well as in normal life.</w:t>
      </w:r>
      <w:r>
        <w:rPr>
          <w:rStyle w:val="FootnoteReference"/>
        </w:rPr>
        <w:footnoteReference w:id="20"/>
      </w:r>
      <w:r>
        <w:t xml:space="preserve"> Evidence of the change in kohl containers is that during the Old Kingdom, kohl containers were made out of hard ceramics and colourful stones were used which shows kohl pots were important for the afterlife due to the use of expensive materials.</w:t>
      </w:r>
      <w:r>
        <w:rPr>
          <w:rStyle w:val="FootnoteReference"/>
        </w:rPr>
        <w:footnoteReference w:id="21"/>
      </w:r>
      <w:r>
        <w:t xml:space="preserve"> In the Middle Kingdom the shape of a container was a small squat shape with a flat bottom, a wide flat rim and a flat lid,( as seen above.)</w:t>
      </w:r>
      <w:r>
        <w:rPr>
          <w:rStyle w:val="FootnoteReference"/>
        </w:rPr>
        <w:footnoteReference w:id="22"/>
      </w:r>
      <w:r>
        <w:t xml:space="preserve"> Finally, the New Kingdom had varied shaped containers with a variety of materials however, the alabaster and blue marble were very popular.</w:t>
      </w:r>
      <w:r>
        <w:rPr>
          <w:rStyle w:val="FootnoteReference"/>
        </w:rPr>
        <w:footnoteReference w:id="23"/>
      </w:r>
      <w:r>
        <w:t xml:space="preserve"> This is unlike the Old or Middle Kingdom where there was little change in shape.</w:t>
      </w:r>
    </w:p>
    <w:p w:rsidR="00E75269" w:rsidRDefault="00000000">
      <w:r>
        <w:t>Further use of cosmetics in the afterlife is that mummies and statues wore makeup  as a way to “shape the perfect body.”</w:t>
      </w:r>
      <w:r>
        <w:rPr>
          <w:rStyle w:val="FootnoteReference"/>
        </w:rPr>
        <w:footnoteReference w:id="24"/>
      </w:r>
      <w:r>
        <w:t xml:space="preserve"> It also helped improve their image so they would be more recognizable in the afterlife for their Ka and Ba to return. </w:t>
      </w:r>
      <w:r>
        <w:rPr>
          <w:rStyle w:val="FootnoteReference"/>
        </w:rPr>
        <w:footnoteReference w:id="25"/>
      </w:r>
      <w:r>
        <w:t xml:space="preserve"> The opening of the mouth ceremony helped the Ba and Ka return to the mummy so the deceased could enter the “House of Reeds”.</w:t>
      </w:r>
      <w:r>
        <w:rPr>
          <w:rStyle w:val="FootnoteReference"/>
        </w:rPr>
        <w:footnoteReference w:id="26"/>
      </w:r>
      <w:r>
        <w:t xml:space="preserve">  This, therefore, shows that makeup was used for the Ka and Ba to recognise the deceased after they had left the body during the initial stage of death. Evidence of this is anthropoid-shaped ceramic coffins such as the coffin of Khonsu, which is in the Metropolitan  Museum.</w:t>
      </w:r>
      <w:r>
        <w:rPr>
          <w:rStyle w:val="FootnoteReference"/>
        </w:rPr>
        <w:footnoteReference w:id="27"/>
      </w:r>
      <w:r>
        <w:t xml:space="preserve"> </w:t>
      </w:r>
    </w:p>
    <w:p w:rsidR="00E75269" w:rsidRDefault="00000000">
      <w:r>
        <w:t>Furthermore, green kohl had a link to the god Horus because kohl imitated the facial markings of the sun god who was often depicted as a falcon.</w:t>
      </w:r>
      <w:r>
        <w:rPr>
          <w:rStyle w:val="FootnoteReference"/>
        </w:rPr>
        <w:footnoteReference w:id="28"/>
      </w:r>
      <w:r>
        <w:t xml:space="preserve">  Kohl was linked to the Eye of Horus, otherwise known as “Wadjet”, because the Eye of Horus deterred the evil eye and had healing powers and protective powers like kohl.</w:t>
      </w:r>
      <w:r>
        <w:rPr>
          <w:rStyle w:val="FootnoteReference"/>
        </w:rPr>
        <w:footnoteReference w:id="29"/>
      </w:r>
      <w:r>
        <w:t xml:space="preserve">  The Eye of Horus features prominent eyebrows and markings which some historians think was stylized after actual falcons’ and hawks’ eye markings.</w:t>
      </w:r>
      <w:r>
        <w:rPr>
          <w:rStyle w:val="FootnoteReference"/>
        </w:rPr>
        <w:footnoteReference w:id="30"/>
      </w:r>
      <w:r>
        <w:t xml:space="preserve"> There are also faience examples of the Eye of Horus, the same as this kohl pot,  which perhaps indicates a link between the significance of the two in funerary beliefs in this instance.</w:t>
      </w:r>
      <w:r>
        <w:rPr>
          <w:rStyle w:val="FootnoteReference"/>
        </w:rPr>
        <w:footnoteReference w:id="31"/>
      </w:r>
      <w:r>
        <w:t xml:space="preserve"> </w:t>
      </w:r>
    </w:p>
    <w:p w:rsidR="00E75269" w:rsidRDefault="00000000">
      <w:r>
        <w:t>Kohl is still used today mainly in Asia, other parts of Africa and the Middle East, but also Egypt, therefore it has a link to modern Egyptian culture as well as Ancient Egyptian culture and is seen as a traditional cosmetic.</w:t>
      </w:r>
      <w:r>
        <w:rPr>
          <w:rStyle w:val="FootnoteReference"/>
        </w:rPr>
        <w:footnoteReference w:id="32"/>
      </w:r>
      <w:r>
        <w:t xml:space="preserve"> However there have also been changes in the idea of beauty, for example, the idea of beauty in Ancient Egypt meant goodness and perfection in how you lived, or the Egyptian term  ‘Maat’, compared to the modern-day definition which is based on how aesthetically pleasing you are. </w:t>
      </w:r>
      <w:r>
        <w:rPr>
          <w:rStyle w:val="FootnoteReference"/>
        </w:rPr>
        <w:footnoteReference w:id="33"/>
      </w:r>
      <w:r>
        <w:t xml:space="preserve">  This, therefore, shows how the idea of beauty linked to the afterlife in Ancient Egypt can be compared to our modern perceptions of the afterlife. </w:t>
      </w:r>
    </w:p>
    <w:p w:rsidR="00E75269" w:rsidRDefault="00E75269"/>
    <w:p w:rsidR="00E75269" w:rsidRDefault="00E75269"/>
    <w:p w:rsidR="00E75269" w:rsidRDefault="00E75269"/>
    <w:p w:rsidR="00E75269" w:rsidRDefault="00E75269"/>
    <w:p w:rsidR="00E75269" w:rsidRDefault="00E75269"/>
    <w:p w:rsidR="00E75269" w:rsidRDefault="00E75269"/>
    <w:p w:rsidR="00E75269" w:rsidRDefault="00E75269"/>
    <w:p w:rsidR="00E75269" w:rsidRDefault="00E75269"/>
    <w:p w:rsidR="00E75269" w:rsidRDefault="00E75269"/>
    <w:p w:rsidR="00E75269" w:rsidRDefault="00E75269"/>
    <w:p w:rsidR="00E75269" w:rsidRDefault="00E75269"/>
    <w:p w:rsidR="00E75269" w:rsidRDefault="00E75269"/>
    <w:p w:rsidR="00E75269" w:rsidRDefault="00000000">
      <w:pPr>
        <w:rPr>
          <w:b/>
          <w:bCs/>
          <w:u w:val="single"/>
        </w:rPr>
      </w:pPr>
      <w:r>
        <w:rPr>
          <w:b/>
          <w:bCs/>
          <w:u w:val="single"/>
        </w:rPr>
        <w:t>Reference list</w:t>
      </w:r>
    </w:p>
    <w:p w:rsidR="00E75269" w:rsidRDefault="00000000">
      <w:r>
        <w:t>admin (n.d.). Kohl Pot. [online] JHU Archaeological Museum. Available at: https://archaeologicalmuseum.jhu.edu/class-projects/providing-for-the-afterlife/kohl-pot/.</w:t>
      </w:r>
    </w:p>
    <w:p w:rsidR="00E75269" w:rsidRDefault="00000000">
      <w:r>
        <w:t>Anon, (n.d.). Chapter 2: Egyptian faience contextual review. [online] Available at: https://uwe-repository.worktribe.com/OutputFile/875324 [Accessed 31 Jan. 2023].</w:t>
      </w:r>
    </w:p>
    <w:p w:rsidR="00E75269" w:rsidRDefault="00000000">
      <w:proofErr w:type="spellStart"/>
      <w:r>
        <w:t>Bossone</w:t>
      </w:r>
      <w:proofErr w:type="spellEnd"/>
      <w:r>
        <w:t>, A. (2010). Danger in the mummy’s make-up bag. [online] Egypt Independent. Available at: https://egyptindependent.com/danger-mummys-make-bag/ [Accessed 4 Feb. 2023].</w:t>
      </w:r>
    </w:p>
    <w:p w:rsidR="00E75269" w:rsidRDefault="00000000">
      <w:r>
        <w:t>Conger, C. (2009). Why did ancient Egyptian men wear cosmetics? [online] HowStuffWorks. Available at: https://history.howstuffworks.com/history-vs-myth/ancient-egyptian-cosmetics.htm.</w:t>
      </w:r>
    </w:p>
    <w:p w:rsidR="00E75269" w:rsidRDefault="00000000">
      <w:r>
        <w:t xml:space="preserve">David Bourke </w:t>
      </w:r>
      <w:proofErr w:type="spellStart"/>
      <w:r>
        <w:t>O'connor</w:t>
      </w:r>
      <w:proofErr w:type="spellEnd"/>
      <w:r>
        <w:t xml:space="preserve"> (2009). Abydos : Egypt’s first pharaohs and the cult of Osiris. London ; New York: Thames &amp; Hudson, Cop.</w:t>
      </w:r>
    </w:p>
    <w:p w:rsidR="00E75269" w:rsidRDefault="00000000">
      <w:r>
        <w:t>Dictionary.com. (2018). Eye of Horus Meaning | Pop Culture by Dictionary.com. [online] Available at: https://www.dictionary.com/e/pop-culture/eye-of-horus/#:~:text=In%20one%20version%20of%20the [Accessed 1 Feb. 2023].</w:t>
      </w:r>
    </w:p>
    <w:p w:rsidR="00E75269" w:rsidRDefault="00000000">
      <w:r>
        <w:t>El-</w:t>
      </w:r>
      <w:proofErr w:type="spellStart"/>
      <w:r>
        <w:t>Kilany</w:t>
      </w:r>
      <w:proofErr w:type="spellEnd"/>
      <w:r>
        <w:t>, E. (n.d.). Facial Cosmetics in Ancient Egypt By. www.academia.edu, [online] 16(1). Available at: https://www.academia.edu/33510332/Facial_Cosmetics_in_Ancient_Egypt_By.</w:t>
      </w:r>
    </w:p>
    <w:p w:rsidR="00E75269" w:rsidRDefault="00000000">
      <w:r>
        <w:t>Hill, J. (2019). Eye of Horus / Eye of Ra | Ancient Egypt Online. [online] Ancientegyptonline.co.uk. Available at: https://ancientegyptonline.co.uk/eye/.</w:t>
      </w:r>
    </w:p>
    <w:p w:rsidR="00E75269" w:rsidRDefault="00000000">
      <w:r>
        <w:t>Hinsull, D. (2023a). Kohl Pot. [Photo] Own image.</w:t>
      </w:r>
    </w:p>
    <w:p w:rsidR="00E75269" w:rsidRDefault="00000000">
      <w:r>
        <w:t>Hinsull, D. (2023b). Kohl Pot. [Photo] Own image.</w:t>
      </w:r>
    </w:p>
    <w:p w:rsidR="00E75269" w:rsidRDefault="00000000">
      <w:r>
        <w:t>Hinsull, D. (2023c). Kohl Pot. [Photo] Own image.</w:t>
      </w:r>
    </w:p>
    <w:p w:rsidR="00E75269" w:rsidRDefault="00000000">
      <w:r>
        <w:t>https://www.researchgate.net/publication/337946890_Consolidation_of_Egyptian_Faience_Using_PARALOID_B-72_The_Influence_of_Production_Techniques_on_the_Depth_of_Consolidation [</w:t>
      </w:r>
      <w:proofErr w:type="spellStart"/>
      <w:r>
        <w:t>acessed</w:t>
      </w:r>
      <w:proofErr w:type="spellEnd"/>
      <w:r>
        <w:t xml:space="preserve"> 31/1/2023] </w:t>
      </w:r>
    </w:p>
    <w:p w:rsidR="00E75269" w:rsidRDefault="00000000">
      <w:proofErr w:type="spellStart"/>
      <w:r>
        <w:t>Kallos</w:t>
      </w:r>
      <w:proofErr w:type="spellEnd"/>
      <w:r>
        <w:t xml:space="preserve"> Gallery. (2021). The Role of Kohl In Ancient Egypt. [online] Available at: https://kallosgallery.com/blog/55-the-role-of-kohl-in-ancient-egypt/ [Accessed 4 Feb. 2023].</w:t>
      </w:r>
    </w:p>
    <w:p w:rsidR="00E75269" w:rsidRDefault="00000000">
      <w:proofErr w:type="spellStart"/>
      <w:r>
        <w:t>Konarzewska</w:t>
      </w:r>
      <w:proofErr w:type="spellEnd"/>
      <w:r>
        <w:t xml:space="preserve">, A., </w:t>
      </w:r>
      <w:proofErr w:type="spellStart"/>
      <w:r>
        <w:t>Korzon-Burakowska</w:t>
      </w:r>
      <w:proofErr w:type="spellEnd"/>
      <w:r>
        <w:t xml:space="preserve">, A., </w:t>
      </w:r>
      <w:proofErr w:type="spellStart"/>
      <w:r>
        <w:t>Rzepecka-Wejs</w:t>
      </w:r>
      <w:proofErr w:type="spellEnd"/>
      <w:r>
        <w:t xml:space="preserve">, L., </w:t>
      </w:r>
      <w:proofErr w:type="spellStart"/>
      <w:r>
        <w:t>Sudoł-Szopińska</w:t>
      </w:r>
      <w:proofErr w:type="spellEnd"/>
      <w:r>
        <w:t xml:space="preserve">, I., </w:t>
      </w:r>
      <w:proofErr w:type="spellStart"/>
      <w:r>
        <w:t>Szurowska</w:t>
      </w:r>
      <w:proofErr w:type="spellEnd"/>
      <w:r>
        <w:t xml:space="preserve">, E. and </w:t>
      </w:r>
      <w:proofErr w:type="spellStart"/>
      <w:r>
        <w:t>Studniarek</w:t>
      </w:r>
      <w:proofErr w:type="spellEnd"/>
      <w:r>
        <w:t xml:space="preserve">, M. (2018). Diabetic foot syndrome: Charcot arthropathy or osteomyelitis? Part I: Clinical picture and radiography. Journal of Ultrasonography, 18(72), pp.42–49. </w:t>
      </w:r>
      <w:proofErr w:type="spellStart"/>
      <w:r>
        <w:t>doi:https</w:t>
      </w:r>
      <w:proofErr w:type="spellEnd"/>
      <w:r>
        <w:t>://doi.org/10.15557/jou.2018.0007.</w:t>
      </w:r>
    </w:p>
    <w:p w:rsidR="00E75269" w:rsidRDefault="00000000">
      <w:proofErr w:type="spellStart"/>
      <w:r>
        <w:t>Megens</w:t>
      </w:r>
      <w:proofErr w:type="spellEnd"/>
      <w:r>
        <w:t xml:space="preserve">, Luc &amp; </w:t>
      </w:r>
      <w:proofErr w:type="spellStart"/>
      <w:r>
        <w:t>Eijck</w:t>
      </w:r>
      <w:proofErr w:type="spellEnd"/>
      <w:r>
        <w:t xml:space="preserve">, Lambert &amp; Zhou, Zhou &amp; </w:t>
      </w:r>
      <w:proofErr w:type="spellStart"/>
      <w:r>
        <w:t>Slager</w:t>
      </w:r>
      <w:proofErr w:type="spellEnd"/>
      <w:r>
        <w:t xml:space="preserve">, Mandy &amp; de Regt, Corinna. (2019). Consolidation of Egyptian Faience Using PARALOID B-72: The Influence of Production Techniques on the Depth of Consolidation. </w:t>
      </w:r>
    </w:p>
    <w:p w:rsidR="00E75269" w:rsidRDefault="00000000">
      <w:r>
        <w:t>Museum, B. (2020a). Ancient Egypt - Kohl pots: How to look your best. [online] www.youtube.com. Available at: https://youtu.be/cYJ8VLUaNwY [Accessed 30 Jan. 2023].</w:t>
      </w:r>
    </w:p>
    <w:p w:rsidR="00E75269" w:rsidRDefault="00000000">
      <w:r>
        <w:t>Museum, B. (2020b). Ancient Egypt - Kohl pots: How to look your best. [online] www.youtube.com. Available at: https://youtu.be/cYJ8VLUaNwY [Accessed 30 Jan. 2023].</w:t>
      </w:r>
    </w:p>
    <w:p w:rsidR="00E75269" w:rsidRDefault="00000000">
      <w:r>
        <w:t>Museum, M. (2023). Khonsu’s anthropoid coffins. [online] Metmuseum.org. Available at: https://www.metmuseum.org/art/collection/search/684755 [Accessed 31 Jan. 2023].</w:t>
      </w:r>
    </w:p>
    <w:p w:rsidR="00E75269" w:rsidRDefault="00000000">
      <w:r>
        <w:t xml:space="preserve">Parry, C. and Eaton, J. (1991). Kohl: a lead-hazardous eye makeup from the Third World to the First World. Environmental Health Perspectives, 94, pp.121–123. </w:t>
      </w:r>
      <w:proofErr w:type="spellStart"/>
      <w:r>
        <w:t>doi:https</w:t>
      </w:r>
      <w:proofErr w:type="spellEnd"/>
      <w:r>
        <w:t>://doi.org/10.1289/ehp.94-1567936.</w:t>
      </w:r>
    </w:p>
    <w:p w:rsidR="00E75269" w:rsidRDefault="00000000">
      <w:proofErr w:type="spellStart"/>
      <w:r>
        <w:t>Riccardelli</w:t>
      </w:r>
      <w:proofErr w:type="spellEnd"/>
      <w:r>
        <w:t>, C. (2020). Egyptian Faience: Technology and Production. [online] Metmuseum.org. Available at: https://www.metmuseum.org/toah/hd/egfc/hd_egfc.htm [Accessed 31 Jan. 2023].</w:t>
      </w:r>
    </w:p>
    <w:p w:rsidR="00E75269" w:rsidRDefault="00000000">
      <w:proofErr w:type="spellStart"/>
      <w:r>
        <w:t>Riesmeier</w:t>
      </w:r>
      <w:proofErr w:type="spellEnd"/>
      <w:r>
        <w:t xml:space="preserve">, M., </w:t>
      </w:r>
      <w:proofErr w:type="spellStart"/>
      <w:r>
        <w:t>Keute</w:t>
      </w:r>
      <w:proofErr w:type="spellEnd"/>
      <w:r>
        <w:t xml:space="preserve">, J., </w:t>
      </w:r>
      <w:proofErr w:type="spellStart"/>
      <w:r>
        <w:t>Veall</w:t>
      </w:r>
      <w:proofErr w:type="spellEnd"/>
      <w:r>
        <w:t xml:space="preserve">, MA. et al. Recipes of Ancient Egyptian kohls more diverse than previously thought. Sci Rep 12, 5932 (2022). https://doi.org/10.1038/s41598-022-08669-0 accessed 30/1/2023 </w:t>
      </w:r>
    </w:p>
    <w:p w:rsidR="00E75269" w:rsidRDefault="00000000">
      <w:proofErr w:type="spellStart"/>
      <w:r>
        <w:t>Sparavigna</w:t>
      </w:r>
      <w:proofErr w:type="spellEnd"/>
      <w:r>
        <w:t xml:space="preserve">, Amelia Carolina. (2012). Faience: the ceramic technology of ancient Egypt. ARCHAEOGATE., Page 1  </w:t>
      </w:r>
    </w:p>
    <w:p w:rsidR="00E75269" w:rsidRDefault="00000000">
      <w:r>
        <w:t>Umb.edu. (2022). Heka; Magic in Ancient Egypt. [online] Available at: https://www.faculty.umb.edu/gary_zabel/Courses/Phil%20281b/Philosophy%20of%20Magic/Arcana/Neoplatonism/Heka2.html [Accessed 1 Feb. 2023].</w:t>
      </w:r>
    </w:p>
    <w:p w:rsidR="00E75269" w:rsidRDefault="00000000">
      <w:r>
        <w:t>www.mummies2pyramids.info. (n.d.). Opening of the Mouth Ceremony ***. [online] Available at: http://www.mummies2pyramids.info/mummies-death/opening-the-mouth.htm [Accessed 31 Jan. 2023].</w:t>
      </w:r>
    </w:p>
    <w:p w:rsidR="00E75269" w:rsidRDefault="00000000">
      <w:r>
        <w:t>www.youtube.com. (2023). Ancient Egypt and modern identities. [online] Available at: https://www.youtube.com/watch?v=-phsZjB67cU&amp;t=2483s [Accessed 3 Feb. 2023].</w:t>
      </w:r>
    </w:p>
    <w:p w:rsidR="00E75269" w:rsidRDefault="00E75269"/>
    <w:p w:rsidR="00E75269" w:rsidRDefault="00E75269"/>
    <w:p w:rsidR="00E75269" w:rsidRDefault="00E75269"/>
    <w:p w:rsidR="00E75269" w:rsidRDefault="00E75269"/>
    <w:p w:rsidR="00E75269" w:rsidRDefault="00E75269"/>
    <w:sectPr w:rsidR="00E7526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7785D" w:rsidRDefault="00E7785D">
      <w:pPr>
        <w:spacing w:after="0"/>
      </w:pPr>
      <w:r>
        <w:separator/>
      </w:r>
    </w:p>
  </w:endnote>
  <w:endnote w:type="continuationSeparator" w:id="0">
    <w:p w:rsidR="00E7785D" w:rsidRDefault="00E7785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7785D" w:rsidRDefault="00E7785D">
      <w:pPr>
        <w:spacing w:after="0"/>
      </w:pPr>
      <w:r>
        <w:rPr>
          <w:color w:val="000000"/>
        </w:rPr>
        <w:separator/>
      </w:r>
    </w:p>
  </w:footnote>
  <w:footnote w:type="continuationSeparator" w:id="0">
    <w:p w:rsidR="00E7785D" w:rsidRDefault="00E7785D">
      <w:pPr>
        <w:spacing w:after="0"/>
      </w:pPr>
      <w:r>
        <w:continuationSeparator/>
      </w:r>
    </w:p>
  </w:footnote>
  <w:footnote w:id="1">
    <w:p w:rsidR="00E75269" w:rsidRDefault="00000000">
      <w:pPr>
        <w:pStyle w:val="FootnoteText"/>
      </w:pPr>
      <w:r>
        <w:rPr>
          <w:rStyle w:val="FootnoteReference"/>
        </w:rPr>
        <w:footnoteRef/>
      </w:r>
      <w:r>
        <w:t xml:space="preserve"> Merthyr, W. (2020). </w:t>
      </w:r>
      <w:proofErr w:type="spellStart"/>
      <w:r>
        <w:t>Cyfarthfa</w:t>
      </w:r>
      <w:proofErr w:type="spellEnd"/>
      <w:r>
        <w:t xml:space="preserve"> Castle Unlocked - The Southey Egyptian Collection. [online video] www.youtube.com. Available at: https://www.youtube.com/watch?v=zn-qSj_qKgo [Accessed 31 Jan. 2023].</w:t>
      </w:r>
    </w:p>
  </w:footnote>
  <w:footnote w:id="2">
    <w:p w:rsidR="00E75269" w:rsidRDefault="00000000">
      <w:pPr>
        <w:pStyle w:val="FootnoteText"/>
      </w:pPr>
      <w:r>
        <w:rPr>
          <w:rStyle w:val="FootnoteReference"/>
        </w:rPr>
        <w:footnoteRef/>
      </w:r>
      <w:r>
        <w:t xml:space="preserve"> Ibid </w:t>
      </w:r>
    </w:p>
  </w:footnote>
  <w:footnote w:id="3">
    <w:p w:rsidR="00E75269" w:rsidRDefault="00000000">
      <w:pPr>
        <w:pStyle w:val="FootnoteText"/>
      </w:pPr>
      <w:r>
        <w:rPr>
          <w:rStyle w:val="FootnoteReference"/>
        </w:rPr>
        <w:footnoteRef/>
      </w:r>
      <w:r>
        <w:t xml:space="preserve"> Anon, (n.d.). Chapter 2: Egyptian faience contextual review. [online] Available at: https://uwe-repository.worktribe.com/OutputFile/875324 [Accessed 31 Jan. 2023]. Page 21</w:t>
      </w:r>
    </w:p>
  </w:footnote>
  <w:footnote w:id="4">
    <w:p w:rsidR="00E75269" w:rsidRDefault="00000000">
      <w:pPr>
        <w:pStyle w:val="FootnoteText"/>
      </w:pPr>
      <w:r>
        <w:rPr>
          <w:rStyle w:val="FootnoteReference"/>
        </w:rPr>
        <w:footnoteRef/>
      </w:r>
      <w:r>
        <w:t xml:space="preserve"> </w:t>
      </w:r>
      <w:proofErr w:type="spellStart"/>
      <w:r>
        <w:t>Megens</w:t>
      </w:r>
      <w:proofErr w:type="spellEnd"/>
      <w:r>
        <w:t xml:space="preserve">, Luc &amp; </w:t>
      </w:r>
      <w:proofErr w:type="spellStart"/>
      <w:r>
        <w:t>Eijck</w:t>
      </w:r>
      <w:proofErr w:type="spellEnd"/>
      <w:r>
        <w:t xml:space="preserve">, Lambert &amp; Zhou, Zhou &amp; </w:t>
      </w:r>
      <w:proofErr w:type="spellStart"/>
      <w:r>
        <w:t>Slager</w:t>
      </w:r>
      <w:proofErr w:type="spellEnd"/>
      <w:r>
        <w:t>, Mandy &amp; de Regt, Corinna. (2019). Consolidation of Egyptian Faience Using PARALOID B-72: The Influence of Production Techniques on the Depth of Consolidation. Url: https://www.researchgate.net/publication/337946890_Consolidation_of_Egyptian_Faience_Using_PARALOID_B-72_The_Influence_of_Production_Techniques_on_the_Depth_of_Consolidation [accessed 31/1/2023]</w:t>
      </w:r>
    </w:p>
  </w:footnote>
  <w:footnote w:id="5">
    <w:p w:rsidR="00E75269" w:rsidRDefault="00000000">
      <w:pPr>
        <w:pStyle w:val="FootnoteText"/>
      </w:pPr>
      <w:r>
        <w:rPr>
          <w:rStyle w:val="FootnoteReference"/>
        </w:rPr>
        <w:footnoteRef/>
      </w:r>
      <w:r>
        <w:t xml:space="preserve"> </w:t>
      </w:r>
      <w:proofErr w:type="spellStart"/>
      <w:r>
        <w:t>Riccardelli</w:t>
      </w:r>
      <w:proofErr w:type="spellEnd"/>
      <w:r>
        <w:t>, C. (2020). Egyptian Faience: Technology and Production. [online] Metmuseum.org. Available at: https://www.metmuseum.org/toah/hd/egfc/hd_egfc.htm [Accessed 31 Jan. 2023].</w:t>
      </w:r>
    </w:p>
  </w:footnote>
  <w:footnote w:id="6">
    <w:p w:rsidR="00E75269" w:rsidRDefault="00000000">
      <w:pPr>
        <w:pStyle w:val="FootnoteText"/>
      </w:pPr>
      <w:r>
        <w:rPr>
          <w:rStyle w:val="FootnoteReference"/>
        </w:rPr>
        <w:footnoteRef/>
      </w:r>
      <w:r>
        <w:t xml:space="preserve"> </w:t>
      </w:r>
      <w:proofErr w:type="spellStart"/>
      <w:r>
        <w:t>Sparavigna</w:t>
      </w:r>
      <w:proofErr w:type="spellEnd"/>
      <w:r>
        <w:t>, Amelia Carolina. (2012). Faience: the ceramic technology of ancient Egypt. ARCHAEOGATE., Page 1</w:t>
      </w:r>
    </w:p>
  </w:footnote>
  <w:footnote w:id="7">
    <w:p w:rsidR="00E75269" w:rsidRDefault="00000000">
      <w:pPr>
        <w:pStyle w:val="FootnoteText"/>
      </w:pPr>
      <w:r>
        <w:rPr>
          <w:rStyle w:val="FootnoteReference"/>
        </w:rPr>
        <w:footnoteRef/>
      </w:r>
      <w:r>
        <w:t xml:space="preserve"> El-</w:t>
      </w:r>
      <w:proofErr w:type="spellStart"/>
      <w:r>
        <w:t>Kilany</w:t>
      </w:r>
      <w:proofErr w:type="spellEnd"/>
      <w:r>
        <w:t>, E. (n.d.). Facial Cosmetics in Ancient Egypt By. www.academia.edu, [online] 16(1). Available at: https://www.academia.edu/33510332/Facial_Cosmetics_in_Ancient_Egypt_By. [accessed 30/1/2023]</w:t>
      </w:r>
    </w:p>
  </w:footnote>
  <w:footnote w:id="8">
    <w:p w:rsidR="00E75269" w:rsidRDefault="00000000">
      <w:pPr>
        <w:pStyle w:val="FootnoteText"/>
      </w:pPr>
      <w:r>
        <w:rPr>
          <w:rStyle w:val="FootnoteReference"/>
        </w:rPr>
        <w:footnoteRef/>
      </w:r>
      <w:r>
        <w:t xml:space="preserve"> admin (n.d.). Kohl Pot. [online] JHU Archaeological Museum. Available at: https://archaeologicalmuseum.jhu.edu/class-projects/providing-for-the-afterlife/kohl-pot/. [accessed 4/2/2023]</w:t>
      </w:r>
    </w:p>
  </w:footnote>
  <w:footnote w:id="9">
    <w:p w:rsidR="00E75269" w:rsidRDefault="00000000">
      <w:pPr>
        <w:pStyle w:val="FootnoteText"/>
      </w:pPr>
      <w:r>
        <w:rPr>
          <w:rStyle w:val="FootnoteReference"/>
        </w:rPr>
        <w:footnoteRef/>
      </w:r>
      <w:r>
        <w:t xml:space="preserve"> </w:t>
      </w:r>
      <w:proofErr w:type="spellStart"/>
      <w:r>
        <w:t>Konarzewska</w:t>
      </w:r>
      <w:proofErr w:type="spellEnd"/>
      <w:r>
        <w:t xml:space="preserve">, A., </w:t>
      </w:r>
      <w:proofErr w:type="spellStart"/>
      <w:r>
        <w:t>Korzon-Burakowska</w:t>
      </w:r>
      <w:proofErr w:type="spellEnd"/>
      <w:r>
        <w:t xml:space="preserve">, A., </w:t>
      </w:r>
      <w:proofErr w:type="spellStart"/>
      <w:r>
        <w:t>Rzepecka-Wejs</w:t>
      </w:r>
      <w:proofErr w:type="spellEnd"/>
      <w:r>
        <w:t xml:space="preserve">, L., </w:t>
      </w:r>
      <w:proofErr w:type="spellStart"/>
      <w:r>
        <w:t>Sudoł-Szopińska</w:t>
      </w:r>
      <w:proofErr w:type="spellEnd"/>
      <w:r>
        <w:t xml:space="preserve">, I., </w:t>
      </w:r>
      <w:proofErr w:type="spellStart"/>
      <w:r>
        <w:t>Szurowska</w:t>
      </w:r>
      <w:proofErr w:type="spellEnd"/>
      <w:r>
        <w:t xml:space="preserve">, E. and </w:t>
      </w:r>
      <w:proofErr w:type="spellStart"/>
      <w:r>
        <w:t>Studniarek</w:t>
      </w:r>
      <w:proofErr w:type="spellEnd"/>
      <w:r>
        <w:t xml:space="preserve">, M. (2018). Diabetic foot syndrome: Charcot arthropathy or osteomyelitis? Part I: Clinical picture and radiography. Journal of Ultrasonography, 18(72), pp.42–49. doi:10.15557/jou.2018.0007. </w:t>
      </w:r>
    </w:p>
  </w:footnote>
  <w:footnote w:id="10">
    <w:p w:rsidR="00E75269" w:rsidRDefault="00000000">
      <w:pPr>
        <w:pStyle w:val="FootnoteText"/>
      </w:pPr>
      <w:r>
        <w:rPr>
          <w:rStyle w:val="FootnoteReference"/>
        </w:rPr>
        <w:footnoteRef/>
      </w:r>
      <w:r>
        <w:t xml:space="preserve"> Ibid </w:t>
      </w:r>
    </w:p>
  </w:footnote>
  <w:footnote w:id="11">
    <w:p w:rsidR="00E75269" w:rsidRDefault="00000000">
      <w:pPr>
        <w:pStyle w:val="FootnoteText"/>
      </w:pPr>
      <w:r>
        <w:rPr>
          <w:rStyle w:val="FootnoteReference"/>
        </w:rPr>
        <w:footnoteRef/>
      </w:r>
      <w:r>
        <w:t xml:space="preserve"> </w:t>
      </w:r>
      <w:proofErr w:type="spellStart"/>
      <w:r>
        <w:t>Sparavigna</w:t>
      </w:r>
      <w:proofErr w:type="spellEnd"/>
      <w:r>
        <w:t>, Amelia Carolina. (2012). Faience: the ceramic technology of ancient Egypt. ARCHAEOGATE., Page 7</w:t>
      </w:r>
    </w:p>
  </w:footnote>
  <w:footnote w:id="12">
    <w:p w:rsidR="00E75269" w:rsidRDefault="00000000">
      <w:pPr>
        <w:pStyle w:val="FootnoteText"/>
      </w:pPr>
      <w:r>
        <w:rPr>
          <w:rStyle w:val="FootnoteReference"/>
        </w:rPr>
        <w:footnoteRef/>
      </w:r>
      <w:r>
        <w:t xml:space="preserve"> Ibid</w:t>
      </w:r>
    </w:p>
  </w:footnote>
  <w:footnote w:id="13">
    <w:p w:rsidR="00E75269" w:rsidRDefault="00000000">
      <w:pPr>
        <w:pStyle w:val="FootnoteText"/>
      </w:pPr>
      <w:r>
        <w:rPr>
          <w:rStyle w:val="FootnoteReference"/>
        </w:rPr>
        <w:footnoteRef/>
      </w:r>
      <w:r>
        <w:t xml:space="preserve"> Umb.edu. (2022). Heka; Magic in Ancient Egypt. [online] Available at: https://www.faculty.umb.edu/gary_zabel/Courses/Phil%20281b/Philosophy%20of%20Magic/Arcana/Neoplatonism/Heka2.html [Accessed 1 Feb. 2023].</w:t>
      </w:r>
    </w:p>
  </w:footnote>
  <w:footnote w:id="14">
    <w:p w:rsidR="00E75269" w:rsidRDefault="00000000">
      <w:pPr>
        <w:pStyle w:val="FootnoteText"/>
      </w:pPr>
      <w:r>
        <w:rPr>
          <w:rStyle w:val="FootnoteReference"/>
        </w:rPr>
        <w:footnoteRef/>
      </w:r>
      <w:r>
        <w:t xml:space="preserve"> </w:t>
      </w:r>
      <w:proofErr w:type="spellStart"/>
      <w:r>
        <w:t>Kallos</w:t>
      </w:r>
      <w:proofErr w:type="spellEnd"/>
      <w:r>
        <w:t xml:space="preserve"> Gallery. (2021). The Role of Kohl In Ancient Egypt. [online] Available at: https://kallosgallery.com/blog/55-the-role-of-kohl-in-ancient-egypt/ [Accessed 4 Feb. 2023].</w:t>
      </w:r>
    </w:p>
  </w:footnote>
  <w:footnote w:id="15">
    <w:p w:rsidR="00E75269" w:rsidRDefault="00000000">
      <w:pPr>
        <w:pStyle w:val="FootnoteText"/>
      </w:pPr>
      <w:r>
        <w:rPr>
          <w:rStyle w:val="FootnoteReference"/>
        </w:rPr>
        <w:footnoteRef/>
      </w:r>
      <w:r>
        <w:t xml:space="preserve"> </w:t>
      </w:r>
      <w:proofErr w:type="spellStart"/>
      <w:r>
        <w:t>Riesmeier</w:t>
      </w:r>
      <w:proofErr w:type="spellEnd"/>
      <w:r>
        <w:t xml:space="preserve">, M., </w:t>
      </w:r>
      <w:proofErr w:type="spellStart"/>
      <w:r>
        <w:t>Keute</w:t>
      </w:r>
      <w:proofErr w:type="spellEnd"/>
      <w:r>
        <w:t xml:space="preserve">, J., </w:t>
      </w:r>
      <w:proofErr w:type="spellStart"/>
      <w:r>
        <w:t>Veall</w:t>
      </w:r>
      <w:proofErr w:type="spellEnd"/>
      <w:r>
        <w:t xml:space="preserve">, MA. et al. Recipes of Ancient Egyptian kohls more diverse than previously thought. Sci Rep 12, 5932 (2022) page 1. </w:t>
      </w:r>
      <w:hyperlink r:id="rId1" w:history="1">
        <w:r>
          <w:rPr>
            <w:rStyle w:val="Hyperlink"/>
          </w:rPr>
          <w:t>https://doi.org/10.1038/s41598-022-08669-0</w:t>
        </w:r>
      </w:hyperlink>
      <w:r>
        <w:t xml:space="preserve"> [accessed 30/1/2023]</w:t>
      </w:r>
    </w:p>
  </w:footnote>
  <w:footnote w:id="16">
    <w:p w:rsidR="00E75269" w:rsidRDefault="00000000">
      <w:pPr>
        <w:pStyle w:val="FootnoteText"/>
      </w:pPr>
      <w:r>
        <w:rPr>
          <w:rStyle w:val="FootnoteReference"/>
        </w:rPr>
        <w:footnoteRef/>
      </w:r>
      <w:r>
        <w:t xml:space="preserve"> Ibid </w:t>
      </w:r>
    </w:p>
  </w:footnote>
  <w:footnote w:id="17">
    <w:p w:rsidR="00E75269" w:rsidRDefault="00000000">
      <w:pPr>
        <w:pStyle w:val="FootnoteText"/>
      </w:pPr>
      <w:r>
        <w:rPr>
          <w:rStyle w:val="FootnoteReference"/>
        </w:rPr>
        <w:footnoteRef/>
      </w:r>
      <w:r>
        <w:t xml:space="preserve"> Ibid </w:t>
      </w:r>
    </w:p>
  </w:footnote>
  <w:footnote w:id="18">
    <w:p w:rsidR="00E75269" w:rsidRDefault="00000000">
      <w:pPr>
        <w:pStyle w:val="FootnoteText"/>
      </w:pPr>
      <w:r>
        <w:rPr>
          <w:rStyle w:val="FootnoteReference"/>
        </w:rPr>
        <w:footnoteRef/>
      </w:r>
      <w:r>
        <w:t xml:space="preserve"> El-</w:t>
      </w:r>
      <w:proofErr w:type="spellStart"/>
      <w:r>
        <w:t>Kilany</w:t>
      </w:r>
      <w:proofErr w:type="spellEnd"/>
      <w:r>
        <w:t>, E. (n.d.). Facial Cosmetics in Ancient Egypt By. www.academia.edu, [online] 16(1). Available at: https://www.academia.edu/33510332/Facial_Cosmetics_in_Ancient_Egypt_By. [accessed 30/1/2023]</w:t>
      </w:r>
    </w:p>
  </w:footnote>
  <w:footnote w:id="19">
    <w:p w:rsidR="00E75269" w:rsidRDefault="00000000">
      <w:pPr>
        <w:pStyle w:val="FootnoteText"/>
      </w:pPr>
      <w:r>
        <w:rPr>
          <w:rStyle w:val="FootnoteReference"/>
        </w:rPr>
        <w:footnoteRef/>
      </w:r>
      <w:r>
        <w:t xml:space="preserve"> </w:t>
      </w:r>
      <w:proofErr w:type="spellStart"/>
      <w:r>
        <w:t>Bossone</w:t>
      </w:r>
      <w:proofErr w:type="spellEnd"/>
      <w:r>
        <w:t>, A. (2010). Danger in the mummy’s make-up bag. [online] Egypt Independent. Available at: https://egyptindependent.com/danger-mummys-make-bag/ [Accessed 4 Feb. 2023].</w:t>
      </w:r>
    </w:p>
  </w:footnote>
  <w:footnote w:id="20">
    <w:p w:rsidR="00E75269" w:rsidRDefault="00000000">
      <w:pPr>
        <w:pStyle w:val="FootnoteText"/>
      </w:pPr>
      <w:r>
        <w:rPr>
          <w:rStyle w:val="FootnoteReference"/>
        </w:rPr>
        <w:footnoteRef/>
      </w:r>
      <w:r>
        <w:t xml:space="preserve"> Museum, B. (2020a). Ancient Egypt - Kohl pots: How to look your best. [online] www.youtube.com. Available at: https://youtu.be/cYJ8VLUaNwY [Accessed 30 Jan. 2023].</w:t>
      </w:r>
    </w:p>
  </w:footnote>
  <w:footnote w:id="21">
    <w:p w:rsidR="00E75269" w:rsidRDefault="00000000">
      <w:pPr>
        <w:pStyle w:val="FootnoteText"/>
      </w:pPr>
      <w:r>
        <w:rPr>
          <w:rStyle w:val="FootnoteReference"/>
        </w:rPr>
        <w:footnoteRef/>
      </w:r>
      <w:r>
        <w:t xml:space="preserve"> </w:t>
      </w:r>
      <w:proofErr w:type="spellStart"/>
      <w:r>
        <w:t>Sparavigna</w:t>
      </w:r>
      <w:proofErr w:type="spellEnd"/>
      <w:r>
        <w:t>, Amelia Carolina. (2012). Faience: the ceramic technology of ancient Egypt. ARCHAEOGATE., Page 8</w:t>
      </w:r>
    </w:p>
  </w:footnote>
  <w:footnote w:id="22">
    <w:p w:rsidR="00E75269" w:rsidRDefault="00000000">
      <w:pPr>
        <w:pStyle w:val="FootnoteText"/>
      </w:pPr>
      <w:r>
        <w:rPr>
          <w:rStyle w:val="FootnoteReference"/>
        </w:rPr>
        <w:footnoteRef/>
      </w:r>
      <w:r>
        <w:t xml:space="preserve"> Ibid </w:t>
      </w:r>
    </w:p>
  </w:footnote>
  <w:footnote w:id="23">
    <w:p w:rsidR="00E75269" w:rsidRDefault="00000000">
      <w:pPr>
        <w:pStyle w:val="FootnoteText"/>
      </w:pPr>
      <w:r>
        <w:rPr>
          <w:rStyle w:val="FootnoteReference"/>
        </w:rPr>
        <w:footnoteRef/>
      </w:r>
      <w:r>
        <w:t xml:space="preserve"> Ibid </w:t>
      </w:r>
    </w:p>
  </w:footnote>
  <w:footnote w:id="24">
    <w:p w:rsidR="00E75269" w:rsidRDefault="00000000">
      <w:pPr>
        <w:pStyle w:val="FootnoteText"/>
      </w:pPr>
      <w:r>
        <w:rPr>
          <w:rStyle w:val="FootnoteReference"/>
        </w:rPr>
        <w:footnoteRef/>
      </w:r>
      <w:r>
        <w:t xml:space="preserve"> El-</w:t>
      </w:r>
      <w:proofErr w:type="spellStart"/>
      <w:r>
        <w:t>Kilany</w:t>
      </w:r>
      <w:proofErr w:type="spellEnd"/>
      <w:r>
        <w:t xml:space="preserve">, E. (n.d.). Facial Cosmetics in Ancient Egypt By. www.academia.edu, [online] 16(1). Available at: </w:t>
      </w:r>
      <w:hyperlink r:id="rId2" w:history="1">
        <w:r>
          <w:rPr>
            <w:rStyle w:val="Hyperlink"/>
          </w:rPr>
          <w:t>https://www.academia.edu/33510332/Facial_Cosmetics_in_Ancient_Egypt_By</w:t>
        </w:r>
      </w:hyperlink>
      <w:r>
        <w:t>. [accessed 30/1/2023]</w:t>
      </w:r>
    </w:p>
  </w:footnote>
  <w:footnote w:id="25">
    <w:p w:rsidR="00E75269" w:rsidRDefault="00000000">
      <w:pPr>
        <w:pStyle w:val="FootnoteText"/>
      </w:pPr>
      <w:r>
        <w:rPr>
          <w:rStyle w:val="FootnoteReference"/>
        </w:rPr>
        <w:footnoteRef/>
      </w:r>
      <w:r>
        <w:t xml:space="preserve"> Ibid </w:t>
      </w:r>
    </w:p>
  </w:footnote>
  <w:footnote w:id="26">
    <w:p w:rsidR="00E75269" w:rsidRDefault="00000000">
      <w:pPr>
        <w:pStyle w:val="FootnoteText"/>
      </w:pPr>
      <w:r>
        <w:rPr>
          <w:rStyle w:val="FootnoteReference"/>
        </w:rPr>
        <w:footnoteRef/>
      </w:r>
      <w:r>
        <w:t xml:space="preserve"> www.mummies2pyramids.info. (n.d.). Opening of the Mouth Ceremony ***. [online] Available at: http://www.mummies2pyramids.info/mummies-death/opening-the-mouth.htm [Accessed 31 Jan. 2023].</w:t>
      </w:r>
    </w:p>
  </w:footnote>
  <w:footnote w:id="27">
    <w:p w:rsidR="00E75269" w:rsidRDefault="00000000">
      <w:pPr>
        <w:pStyle w:val="FootnoteText"/>
      </w:pPr>
      <w:r>
        <w:rPr>
          <w:rStyle w:val="FootnoteReference"/>
        </w:rPr>
        <w:footnoteRef/>
      </w:r>
      <w:r>
        <w:t xml:space="preserve"> Museum, Met. (2023). Khonsu’s anthropoid coffins. [online] Metmuseum.org. Available at: https://www.metmuseum.org/art/collection/search/684755 [Accessed 31 Jan. 2023].</w:t>
      </w:r>
    </w:p>
  </w:footnote>
  <w:footnote w:id="28">
    <w:p w:rsidR="00E75269" w:rsidRDefault="00000000">
      <w:pPr>
        <w:pStyle w:val="FootnoteText"/>
      </w:pPr>
      <w:r>
        <w:rPr>
          <w:rStyle w:val="FootnoteReference"/>
        </w:rPr>
        <w:footnoteRef/>
      </w:r>
      <w:r>
        <w:t xml:space="preserve"> Conger, C. (2009). Why did ancient Egyptian men wear cosmetics? [online] HowStuffWorks. Available at: </w:t>
      </w:r>
      <w:hyperlink r:id="rId3" w:history="1">
        <w:r>
          <w:rPr>
            <w:rStyle w:val="Hyperlink"/>
          </w:rPr>
          <w:t>https://history.howstuffworks.com/history-vs-myth/ancient-egyptian-cosmetics.htm</w:t>
        </w:r>
      </w:hyperlink>
      <w:r>
        <w:t xml:space="preserve">. [accessed 31/1/2023] </w:t>
      </w:r>
    </w:p>
  </w:footnote>
  <w:footnote w:id="29">
    <w:p w:rsidR="00E75269" w:rsidRDefault="00000000">
      <w:pPr>
        <w:pStyle w:val="FootnoteText"/>
      </w:pPr>
      <w:r>
        <w:rPr>
          <w:rStyle w:val="FootnoteReference"/>
        </w:rPr>
        <w:footnoteRef/>
      </w:r>
      <w:r>
        <w:t xml:space="preserve"> Hill, J. (2019). Eye of Horus / Eye of Ra | Ancient Egypt Online. [online] Ancientegyptonline.co.uk. Available at: </w:t>
      </w:r>
      <w:hyperlink r:id="rId4" w:history="1">
        <w:r>
          <w:rPr>
            <w:rStyle w:val="Hyperlink"/>
          </w:rPr>
          <w:t>https://ancientegyptonline.co.uk/eye/</w:t>
        </w:r>
      </w:hyperlink>
      <w:r>
        <w:t>. [accessed 1/2/2023]</w:t>
      </w:r>
    </w:p>
  </w:footnote>
  <w:footnote w:id="30">
    <w:p w:rsidR="00E75269" w:rsidRDefault="00000000">
      <w:pPr>
        <w:pStyle w:val="FootnoteText"/>
      </w:pPr>
      <w:r>
        <w:rPr>
          <w:rStyle w:val="FootnoteReference"/>
        </w:rPr>
        <w:footnoteRef/>
      </w:r>
      <w:r>
        <w:t xml:space="preserve"> Dictionary.com. (2018). Eye of Horus Meaning | Pop Culture by Dictionary.com. [online] Available at: https://www.dictionary.com/e/pop-culture/eye-of-horus/#:~:text=In%20one%20version%20of%20the [Accessed 1 Feb. 2023].</w:t>
      </w:r>
    </w:p>
  </w:footnote>
  <w:footnote w:id="31">
    <w:p w:rsidR="00E75269" w:rsidRDefault="00000000">
      <w:pPr>
        <w:pStyle w:val="FootnoteText"/>
      </w:pPr>
      <w:r>
        <w:rPr>
          <w:rStyle w:val="FootnoteReference"/>
        </w:rPr>
        <w:footnoteRef/>
      </w:r>
      <w:r>
        <w:t xml:space="preserve"> Ibid </w:t>
      </w:r>
    </w:p>
  </w:footnote>
  <w:footnote w:id="32">
    <w:p w:rsidR="00E75269" w:rsidRDefault="00000000">
      <w:pPr>
        <w:pStyle w:val="FootnoteText"/>
      </w:pPr>
      <w:r>
        <w:rPr>
          <w:rStyle w:val="FootnoteReference"/>
        </w:rPr>
        <w:footnoteRef/>
      </w:r>
      <w:r>
        <w:t xml:space="preserve"> Parry, C. and Eaton, J. (1991). Kohl: a lead-hazardous eye makeup from the Third World to the First World. Environmental Health Perspectives, 94, pp.121–123. doi:10.1289/ehp.94-1567936.</w:t>
      </w:r>
    </w:p>
  </w:footnote>
  <w:footnote w:id="33">
    <w:p w:rsidR="00E75269" w:rsidRDefault="00000000">
      <w:pPr>
        <w:pStyle w:val="FootnoteText"/>
      </w:pPr>
      <w:r>
        <w:rPr>
          <w:rStyle w:val="FootnoteReference"/>
        </w:rPr>
        <w:footnoteRef/>
      </w:r>
      <w:r>
        <w:t xml:space="preserve"> El-</w:t>
      </w:r>
      <w:proofErr w:type="spellStart"/>
      <w:r>
        <w:t>Kilany</w:t>
      </w:r>
      <w:proofErr w:type="spellEnd"/>
      <w:r>
        <w:t>, E. (n.d.). Facial Cosmetics in Ancient Egypt By. www.academia.edu, [online] 16(1). Available at: https://www.academia.edu/33510332/Facial_Cosmetics_in_Ancient_Egypt_By. [accessed 30/1/2023]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E75269"/>
    <w:rsid w:val="00601E97"/>
    <w:rsid w:val="00E52A90"/>
    <w:rsid w:val="00E75269"/>
    <w:rsid w:val="00E77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1FC42C"/>
  <w15:docId w15:val="{DC285AB5-CE5A-4473-B109-898CE3357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pPr>
      <w:spacing w:after="0"/>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s>
</file>

<file path=word/_rels/footnotes.xml.rels><?xml version="1.0" encoding="UTF-8" standalone="yes"?>
<Relationships xmlns="http://schemas.openxmlformats.org/package/2006/relationships"><Relationship Id="rId3" Type="http://schemas.openxmlformats.org/officeDocument/2006/relationships/hyperlink" Target="https://history.howstuffworks.com/history-vs-myth/ancient-egyptian-cosmetics.htm" TargetMode="External"/><Relationship Id="rId2" Type="http://schemas.openxmlformats.org/officeDocument/2006/relationships/hyperlink" Target="https://www.academia.edu/33510332/Facial_Cosmetics_in_Ancient_Egypt_By" TargetMode="External"/><Relationship Id="rId1" Type="http://schemas.openxmlformats.org/officeDocument/2006/relationships/hyperlink" Target="https://doi.org/10.1038/s41598-022-08669-0" TargetMode="External"/><Relationship Id="rId4" Type="http://schemas.openxmlformats.org/officeDocument/2006/relationships/hyperlink" Target="https://ancientegyptonline.co.uk/ey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1576</Words>
  <Characters>9142</Characters>
  <Application>Microsoft Office Word</Application>
  <DocSecurity>0</DocSecurity>
  <Lines>160</Lines>
  <Paragraphs>56</Paragraphs>
  <ScaleCrop>false</ScaleCrop>
  <Company/>
  <LinksUpToDate>false</LinksUpToDate>
  <CharactersWithSpaces>10662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Hinsull (2103522)</dc:creator>
  <dc:description/>
  <cp:lastModifiedBy>David Hinsull (2103522)</cp:lastModifiedBy>
  <cp:revision>2</cp:revision>
  <dcterms:created xsi:type="dcterms:W3CDTF">2023-02-10T15:10:00Z</dcterms:created>
  <dcterms:modified xsi:type="dcterms:W3CDTF">2023-02-10T15:10:00Z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226d0ec6-a6f9-43e8-a56c-2fea207effc2</vt:lpwstr>
  </property>
</Properties>
</file>