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Student name: Stefan Baghina </w:t>
      </w:r>
    </w:p>
    <w:p w:rsidR="00000000" w:rsidDel="00000000" w:rsidP="00000000" w:rsidRDefault="00000000" w:rsidRPr="00000000" w14:paraId="00000002">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3">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4">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5">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Programme: CertHe Hospitality and Hotel Management </w:t>
      </w:r>
    </w:p>
    <w:p w:rsidR="00000000" w:rsidDel="00000000" w:rsidP="00000000" w:rsidRDefault="00000000" w:rsidRPr="00000000" w14:paraId="00000006">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7">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8">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09">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Lecturer: Lola Villard-Coles </w:t>
      </w:r>
    </w:p>
    <w:p w:rsidR="00000000" w:rsidDel="00000000" w:rsidP="00000000" w:rsidRDefault="00000000" w:rsidRPr="00000000" w14:paraId="0000000A">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0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F">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0">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                                             Audit Report on Disneyland</w:t>
      </w:r>
    </w:p>
    <w:p w:rsidR="00000000" w:rsidDel="00000000" w:rsidP="00000000" w:rsidRDefault="00000000" w:rsidRPr="00000000" w14:paraId="00000011">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2">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3">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Executive Summary</w:t>
      </w:r>
    </w:p>
    <w:p w:rsidR="00000000" w:rsidDel="00000000" w:rsidP="00000000" w:rsidRDefault="00000000" w:rsidRPr="00000000" w14:paraId="0000001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audit report examines Disneyland, focusing on its organisational structure, culture, and goals; recent change initiatives and their impacts; and its strategic direction and current business performance. Utilising relevant theories, the analysis evaluates Disneyland at both corporate and individual unit levels, providing a comprehensive understanding of its operational dynamics and strategic positioning in the global theme park industry.</w:t>
      </w:r>
    </w:p>
    <w:p w:rsidR="00000000" w:rsidDel="00000000" w:rsidP="00000000" w:rsidRDefault="00000000" w:rsidRPr="00000000" w14:paraId="0000001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 Organisational Structure, Culture, and Goals</w:t>
      </w:r>
    </w:p>
    <w:p w:rsidR="00000000" w:rsidDel="00000000" w:rsidP="00000000" w:rsidRDefault="00000000" w:rsidRPr="00000000" w14:paraId="0000001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1.1 Organisational Structure</w:t>
      </w:r>
    </w:p>
    <w:p w:rsidR="00000000" w:rsidDel="00000000" w:rsidP="00000000" w:rsidRDefault="00000000" w:rsidRPr="00000000" w14:paraId="0000001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 operates under The Walt Disney Company, specifically within the Disney Parks, Experiences, and Products division. The organisational structure is designed to support its expansive and varied operations, emphasising efficiency, innovation, and customer satisfaction. The structure can be categorised as a matrix organisation, combining both functional and divisional elements.</w:t>
      </w:r>
    </w:p>
    <w:p w:rsidR="00000000" w:rsidDel="00000000" w:rsidP="00000000" w:rsidRDefault="00000000" w:rsidRPr="00000000" w14:paraId="0000001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Corporate Level:</w:t>
      </w:r>
    </w:p>
    <w:p w:rsidR="00000000" w:rsidDel="00000000" w:rsidP="00000000" w:rsidRDefault="00000000" w:rsidRPr="00000000" w14:paraId="0000001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Board of Directors: Sets the strategic vision and provides governance oversight for The Walt Disney Company, influencing policies and strategic decisions for Disneyland.</w:t>
      </w:r>
    </w:p>
    <w:p w:rsidR="00000000" w:rsidDel="00000000" w:rsidP="00000000" w:rsidRDefault="00000000" w:rsidRPr="00000000" w14:paraId="0000001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CEO and Executive Leadership Team: The CEO, along with an executive team, oversees all operations across the Disney Parks, Experiences, and Products division. This team includes senior executives responsible for various functional areas such as operations, marketing, finance, and human resources.</w:t>
      </w:r>
    </w:p>
    <w:p w:rsidR="00000000" w:rsidDel="00000000" w:rsidP="00000000" w:rsidRDefault="00000000" w:rsidRPr="00000000" w14:paraId="0000001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Functional Divisions:</w:t>
      </w:r>
    </w:p>
    <w:p w:rsidR="00000000" w:rsidDel="00000000" w:rsidP="00000000" w:rsidRDefault="00000000" w:rsidRPr="00000000" w14:paraId="0000002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Operations: Manages the day-to-day functioning of the parks, including maintenance, safety, and guest services.</w:t>
      </w:r>
    </w:p>
    <w:p w:rsidR="00000000" w:rsidDel="00000000" w:rsidP="00000000" w:rsidRDefault="00000000" w:rsidRPr="00000000" w14:paraId="0000002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Marketing: Develops and implements marketing strategies to attract visitors and promote new attractions.</w:t>
      </w:r>
    </w:p>
    <w:p w:rsidR="00000000" w:rsidDel="00000000" w:rsidP="00000000" w:rsidRDefault="00000000" w:rsidRPr="00000000" w14:paraId="0000002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Finance: Oversees financial planning, budgeting, and reporting to ensure financial health and sustainability.</w:t>
      </w:r>
    </w:p>
    <w:p w:rsidR="00000000" w:rsidDel="00000000" w:rsidP="00000000" w:rsidRDefault="00000000" w:rsidRPr="00000000" w14:paraId="0000002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Human Resources: Handles recruitment, training, employee relations, and ensures a positive work environment.</w:t>
      </w:r>
    </w:p>
    <w:p w:rsidR="00000000" w:rsidDel="00000000" w:rsidP="00000000" w:rsidRDefault="00000000" w:rsidRPr="00000000" w14:paraId="0000002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Technology: Manages technological infrastructure, including the development of new attractions, digital experiences, and IT support.</w:t>
      </w:r>
    </w:p>
    <w:p w:rsidR="00000000" w:rsidDel="00000000" w:rsidP="00000000" w:rsidRDefault="00000000" w:rsidRPr="00000000" w14:paraId="0000002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Individual Unit Level:</w:t>
      </w:r>
    </w:p>
    <w:p w:rsidR="00000000" w:rsidDel="00000000" w:rsidP="00000000" w:rsidRDefault="00000000" w:rsidRPr="00000000" w14:paraId="0000002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Park Management Teams: Each park has its own management team responsible for local operations, guest experience, and staff management. This team ensures that the park runs smoothly on a daily basis and aligns with corporate strategies.</w:t>
      </w:r>
    </w:p>
    <w:p w:rsidR="00000000" w:rsidDel="00000000" w:rsidP="00000000" w:rsidRDefault="00000000" w:rsidRPr="00000000" w14:paraId="0000002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Attraction-Specific Teams: These teams are dedicated to the operation of individual attractions, focusing on safety, efficiency, and enhancing guest experiences.</w:t>
      </w:r>
    </w:p>
    <w:p w:rsidR="00000000" w:rsidDel="00000000" w:rsidP="00000000" w:rsidRDefault="00000000" w:rsidRPr="00000000" w14:paraId="0000002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1.2 Organisational Culture</w:t>
      </w:r>
    </w:p>
    <w:p w:rsidR="00000000" w:rsidDel="00000000" w:rsidP="00000000" w:rsidRDefault="00000000" w:rsidRPr="00000000" w14:paraId="0000002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Disneyland’s culture is deeply rooted in the vision of its founder, Walt Disney. It is characterised by a commitment to storytelling, innovation, and a dedication to creating magical experiences for guests. The organisational culture is built around key principles such as:</w:t>
      </w:r>
    </w:p>
    <w:p w:rsidR="00000000" w:rsidDel="00000000" w:rsidP="00000000" w:rsidRDefault="00000000" w:rsidRPr="00000000" w14:paraId="0000002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Innovation and Creativity: Employees are encouraged to innovate and bring new ideas to life, maintaining Disneyland’s reputation for cutting-edge entertainment and attractions.</w:t>
      </w:r>
    </w:p>
    <w:p w:rsidR="00000000" w:rsidDel="00000000" w:rsidP="00000000" w:rsidRDefault="00000000" w:rsidRPr="00000000" w14:paraId="0000002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Guest-Centric Approach: The organisation prioritises guest satisfaction, with a focus on delivering exceptional experiences.</w:t>
      </w:r>
    </w:p>
    <w:p w:rsidR="00000000" w:rsidDel="00000000" w:rsidP="00000000" w:rsidRDefault="00000000" w:rsidRPr="00000000" w14:paraId="0000002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Tradition and Legacy: Emphasises the importance of maintaining the legacy and traditions established by Walt Disney, blending nostalgia with modern advancements.</w:t>
      </w:r>
    </w:p>
    <w:p w:rsidR="00000000" w:rsidDel="00000000" w:rsidP="00000000" w:rsidRDefault="00000000" w:rsidRPr="00000000" w14:paraId="0000003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Employee Engagement: Fosters a supportive and inspiring work environment, where teamwork, diversity, and continuous learning are highly valued.</w:t>
      </w:r>
    </w:p>
    <w:p w:rsidR="00000000" w:rsidDel="00000000" w:rsidP="00000000" w:rsidRDefault="00000000" w:rsidRPr="00000000" w14:paraId="0000003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1.3 Organisational Goals</w:t>
      </w:r>
    </w:p>
    <w:p w:rsidR="00000000" w:rsidDel="00000000" w:rsidP="00000000" w:rsidRDefault="00000000" w:rsidRPr="00000000" w14:paraId="0000003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Disneyland’s goals focus on enhancing guest experiences, expanding its global footprint, and ensuring long-term financial sustainability. Key strategic goals include:</w:t>
      </w:r>
    </w:p>
    <w:p w:rsidR="00000000" w:rsidDel="00000000" w:rsidP="00000000" w:rsidRDefault="00000000" w:rsidRPr="00000000" w14:paraId="0000003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Operational Excellence: Continuously improving operational efficiency and safety standards to ensure a seamless and enjoyable guest experience.</w:t>
      </w:r>
    </w:p>
    <w:p w:rsidR="00000000" w:rsidDel="00000000" w:rsidP="00000000" w:rsidRDefault="00000000" w:rsidRPr="00000000" w14:paraId="0000003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Innovation: Investing in new attractions and leveraging emerging technologies to stay at the forefront of the entertainment industry.</w:t>
      </w:r>
    </w:p>
    <w:p w:rsidR="00000000" w:rsidDel="00000000" w:rsidP="00000000" w:rsidRDefault="00000000" w:rsidRPr="00000000" w14:paraId="0000003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Global Expansion: Expanding Disneyland’s presence in emerging markets, targeting regions with growing middle-class populations.</w:t>
      </w:r>
    </w:p>
    <w:p w:rsidR="00000000" w:rsidDel="00000000" w:rsidP="00000000" w:rsidRDefault="00000000" w:rsidRPr="00000000" w14:paraId="0000003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Implementing eco-friendly practices to reduce environmental impact and promote sustainability.</w:t>
      </w:r>
    </w:p>
    <w:p w:rsidR="00000000" w:rsidDel="00000000" w:rsidP="00000000" w:rsidRDefault="00000000" w:rsidRPr="00000000" w14:paraId="0000003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 Recent Change Initiatives</w:t>
      </w:r>
    </w:p>
    <w:p w:rsidR="00000000" w:rsidDel="00000000" w:rsidP="00000000" w:rsidRDefault="00000000" w:rsidRPr="00000000" w14:paraId="0000003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2.1 Introduction of Star Wars: Galaxy's Edge</w:t>
      </w:r>
    </w:p>
    <w:p w:rsidR="00000000" w:rsidDel="00000000" w:rsidP="00000000" w:rsidRDefault="00000000" w:rsidRPr="00000000" w14:paraId="0000003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of Disneyland's significant recent initiatives was the launch of Star Wars: Galaxy's Edge, an immersive themed area in Disneyland Park (California) and Disney's Hollywood Studios (Florida). This initiative aimed to rejuvenate the parks, attract new demographics, and capitalise on the Star Wars franchise's popularity.</w:t>
      </w:r>
    </w:p>
    <w:p w:rsidR="00000000" w:rsidDel="00000000" w:rsidP="00000000" w:rsidRDefault="00000000" w:rsidRPr="00000000" w14:paraId="0000003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2.2 Impact of Change Initiatives</w:t>
      </w:r>
    </w:p>
    <w:p w:rsidR="00000000" w:rsidDel="00000000" w:rsidP="00000000" w:rsidRDefault="00000000" w:rsidRPr="00000000" w14:paraId="0000003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Positive Impacts:</w:t>
      </w:r>
    </w:p>
    <w:p w:rsidR="00000000" w:rsidDel="00000000" w:rsidP="00000000" w:rsidRDefault="00000000" w:rsidRPr="00000000" w14:paraId="0000003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Increased Attendance: The new attractions significantly boosted visitor numbers, with fans flocking to experience the new themed areas.</w:t>
      </w:r>
    </w:p>
    <w:p w:rsidR="00000000" w:rsidDel="00000000" w:rsidP="00000000" w:rsidRDefault="00000000" w:rsidRPr="00000000" w14:paraId="0000004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Enhanced Brand Image: Reinforced Disneyland's reputation for delivering innovative and engaging experiences.</w:t>
      </w:r>
    </w:p>
    <w:p w:rsidR="00000000" w:rsidDel="00000000" w:rsidP="00000000" w:rsidRDefault="00000000" w:rsidRPr="00000000" w14:paraId="0000004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Revenue Growth: The initiative led to higher ticket sales, merchandise purchases, and increased food and beverage sales.</w:t>
      </w:r>
    </w:p>
    <w:p w:rsidR="00000000" w:rsidDel="00000000" w:rsidP="00000000" w:rsidRDefault="00000000" w:rsidRPr="00000000" w14:paraId="0000004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Challenges:</w:t>
      </w:r>
    </w:p>
    <w:p w:rsidR="00000000" w:rsidDel="00000000" w:rsidP="00000000" w:rsidRDefault="00000000" w:rsidRPr="00000000" w14:paraId="0000004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Operational Challenges: The initial influx of visitors created operational bottlenecks, necessitating improvements in crowd management and guest flow.</w:t>
      </w:r>
    </w:p>
    <w:p w:rsidR="00000000" w:rsidDel="00000000" w:rsidP="00000000" w:rsidRDefault="00000000" w:rsidRPr="00000000" w14:paraId="0000004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High Investment Costs: Developing and marketing the new areas required substantial financial investments.</w:t>
      </w:r>
    </w:p>
    <w:p w:rsidR="00000000" w:rsidDel="00000000" w:rsidP="00000000" w:rsidRDefault="00000000" w:rsidRPr="00000000" w14:paraId="0000004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2.3 Management of Change</w:t>
      </w:r>
    </w:p>
    <w:p w:rsidR="00000000" w:rsidDel="00000000" w:rsidP="00000000" w:rsidRDefault="00000000" w:rsidRPr="00000000" w14:paraId="0000004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 managed these changes through comprehensive planning and execution strategies, including:</w:t>
      </w:r>
    </w:p>
    <w:p w:rsidR="00000000" w:rsidDel="00000000" w:rsidP="00000000" w:rsidRDefault="00000000" w:rsidRPr="00000000" w14:paraId="0000004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Project Management: Utilised structured project management methodologies to ensure timely and efficient development and launch of the new areas.</w:t>
      </w:r>
    </w:p>
    <w:p w:rsidR="00000000" w:rsidDel="00000000" w:rsidP="00000000" w:rsidRDefault="00000000" w:rsidRPr="00000000" w14:paraId="0000004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Stakeholder Engagement: Actively engaged stakeholders, including employees, suppliers, and guests, to facilitate a smooth transition.</w:t>
      </w:r>
    </w:p>
    <w:p w:rsidR="00000000" w:rsidDel="00000000" w:rsidP="00000000" w:rsidRDefault="00000000" w:rsidRPr="00000000" w14:paraId="0000004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Training Programs: Implemented extensive training programs to prepare staff for managing new attractions and increased visitor volumes.</w:t>
      </w:r>
    </w:p>
    <w:p w:rsidR="00000000" w:rsidDel="00000000" w:rsidP="00000000" w:rsidRDefault="00000000" w:rsidRPr="00000000" w14:paraId="0000004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 Strategic Direction and Current Business Performance</w:t>
      </w:r>
    </w:p>
    <w:p w:rsidR="00000000" w:rsidDel="00000000" w:rsidP="00000000" w:rsidRDefault="00000000" w:rsidRPr="00000000" w14:paraId="0000004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3.1 Strategic Direction</w:t>
      </w:r>
    </w:p>
    <w:p w:rsidR="00000000" w:rsidDel="00000000" w:rsidP="00000000" w:rsidRDefault="00000000" w:rsidRPr="00000000" w14:paraId="0000004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Disneyland's strategic direction aligns with The Walt Disney Company's broader vision of being the world’s premier provider of family entertainment. Key strategic priorities include:</w:t>
      </w:r>
    </w:p>
    <w:p w:rsidR="00000000" w:rsidDel="00000000" w:rsidP="00000000" w:rsidRDefault="00000000" w:rsidRPr="00000000" w14:paraId="0000004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Global Expansion: Targeting emerging markets with significant growth potential, particularly in Asia and Latin America.</w:t>
      </w:r>
    </w:p>
    <w:p w:rsidR="00000000" w:rsidDel="00000000" w:rsidP="00000000" w:rsidRDefault="00000000" w:rsidRPr="00000000" w14:paraId="0000005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Technological Innovation: Embracing technologies such as augmented reality (AR), virtual reality (VR), and artificial intelligence (AI) to enhance guest experiences.</w:t>
      </w:r>
    </w:p>
    <w:p w:rsidR="00000000" w:rsidDel="00000000" w:rsidP="00000000" w:rsidRDefault="00000000" w:rsidRPr="00000000" w14:paraId="0000005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Initiatives: Committing to environmental sustainability through initiatives aimed at reducing carbon footprints and promoting conservation.</w:t>
      </w:r>
    </w:p>
    <w:p w:rsidR="00000000" w:rsidDel="00000000" w:rsidP="00000000" w:rsidRDefault="00000000" w:rsidRPr="00000000" w14:paraId="0000005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3.2 Current Business Performance</w:t>
      </w:r>
    </w:p>
    <w:p w:rsidR="00000000" w:rsidDel="00000000" w:rsidP="00000000" w:rsidRDefault="00000000" w:rsidRPr="00000000" w14:paraId="0000005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Financial Performance:</w:t>
      </w:r>
    </w:p>
    <w:p w:rsidR="00000000" w:rsidDel="00000000" w:rsidP="00000000" w:rsidRDefault="00000000" w:rsidRPr="00000000" w14:paraId="0000005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Despite the challenges posed by the COVID-19 pandemic, Disneyland has shown resilience with a rebound in visitor numbers and revenue streams. The fiscal year 2023 saw a significant increase in revenues compared to the previous year, driven by the easing of travel restrictions and pent-up demand for leisure activities.</w:t>
      </w:r>
    </w:p>
    <w:p w:rsidR="00000000" w:rsidDel="00000000" w:rsidP="00000000" w:rsidRDefault="00000000" w:rsidRPr="00000000" w14:paraId="0000005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Operational Performance:</w:t>
      </w:r>
    </w:p>
    <w:p w:rsidR="00000000" w:rsidDel="00000000" w:rsidP="00000000" w:rsidRDefault="00000000" w:rsidRPr="00000000" w14:paraId="0000005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 has maintained high operational standards, ensuring safety, cleanliness, and customer satisfaction. The introduction of the Genie+ service has streamlined visitor experiences, reducing wait times and enhancing overall guest satisfaction.</w:t>
      </w:r>
    </w:p>
    <w:p w:rsidR="00000000" w:rsidDel="00000000" w:rsidP="00000000" w:rsidRDefault="00000000" w:rsidRPr="00000000" w14:paraId="0000005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Market Position:</w:t>
      </w:r>
    </w:p>
    <w:p w:rsidR="00000000" w:rsidDel="00000000" w:rsidP="00000000" w:rsidRDefault="00000000" w:rsidRPr="00000000" w14:paraId="0000005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 remains a leader in the global theme park industry, with strong brand recognition and a loyal customer base. Continuous investments in new attractions and technological enhancements keep the park competitive and appealing to new generations of visitors.</w:t>
      </w:r>
    </w:p>
    <w:p w:rsidR="00000000" w:rsidDel="00000000" w:rsidP="00000000" w:rsidRDefault="00000000" w:rsidRPr="00000000" w14:paraId="0000005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3.3 SWOT Analysis</w:t>
      </w:r>
    </w:p>
    <w:p w:rsidR="00000000" w:rsidDel="00000000" w:rsidP="00000000" w:rsidRDefault="00000000" w:rsidRPr="00000000" w14:paraId="0000005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Strengths:</w:t>
      </w:r>
    </w:p>
    <w:p w:rsidR="00000000" w:rsidDel="00000000" w:rsidP="00000000" w:rsidRDefault="00000000" w:rsidRPr="00000000" w14:paraId="0000005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Strong global brand recognition and a diverse portfolio of attractions.</w:t>
      </w:r>
    </w:p>
    <w:p w:rsidR="00000000" w:rsidDel="00000000" w:rsidP="00000000" w:rsidRDefault="00000000" w:rsidRPr="00000000" w14:paraId="0000006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Robust financial performance with substantial resources for ongoing investment.</w:t>
      </w:r>
    </w:p>
    <w:p w:rsidR="00000000" w:rsidDel="00000000" w:rsidP="00000000" w:rsidRDefault="00000000" w:rsidRPr="00000000" w14:paraId="0000006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Highly engaged workforce and a culture of innovation.</w:t>
      </w:r>
    </w:p>
    <w:p w:rsidR="00000000" w:rsidDel="00000000" w:rsidP="00000000" w:rsidRDefault="00000000" w:rsidRPr="00000000" w14:paraId="0000006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Weaknesses:</w:t>
      </w:r>
    </w:p>
    <w:p w:rsidR="00000000" w:rsidDel="00000000" w:rsidP="00000000" w:rsidRDefault="00000000" w:rsidRPr="00000000" w14:paraId="0000006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High operational and maintenance costs.</w:t>
      </w:r>
    </w:p>
    <w:p w:rsidR="00000000" w:rsidDel="00000000" w:rsidP="00000000" w:rsidRDefault="00000000" w:rsidRPr="00000000" w14:paraId="0000006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Dependency on economic conditions and discretionary spending.</w:t>
      </w:r>
    </w:p>
    <w:p w:rsidR="00000000" w:rsidDel="00000000" w:rsidP="00000000" w:rsidRDefault="00000000" w:rsidRPr="00000000" w14:paraId="0000006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Opportunities:</w:t>
      </w:r>
    </w:p>
    <w:p w:rsidR="00000000" w:rsidDel="00000000" w:rsidP="00000000" w:rsidRDefault="00000000" w:rsidRPr="00000000" w14:paraId="0000006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Expansion into new international markets with growing middle-class populations.</w:t>
      </w:r>
    </w:p>
    <w:p w:rsidR="00000000" w:rsidDel="00000000" w:rsidP="00000000" w:rsidRDefault="00000000" w:rsidRPr="00000000" w14:paraId="0000006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Leveraging advanced technologies to create unique and enhanced guest experiences.</w:t>
      </w:r>
    </w:p>
    <w:p w:rsidR="00000000" w:rsidDel="00000000" w:rsidP="00000000" w:rsidRDefault="00000000" w:rsidRPr="00000000" w14:paraId="0000006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Increasing focus on sustainability to attract environmentally conscious consumers.</w:t>
      </w:r>
    </w:p>
    <w:p w:rsidR="00000000" w:rsidDel="00000000" w:rsidP="00000000" w:rsidRDefault="00000000" w:rsidRPr="00000000" w14:paraId="0000006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Threats:</w:t>
      </w:r>
    </w:p>
    <w:p w:rsidR="00000000" w:rsidDel="00000000" w:rsidP="00000000" w:rsidRDefault="00000000" w:rsidRPr="00000000" w14:paraId="0000006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Economic downturns and fluctuations in global travel affecting visitor numbers.</w:t>
      </w:r>
    </w:p>
    <w:p w:rsidR="00000000" w:rsidDel="00000000" w:rsidP="00000000" w:rsidRDefault="00000000" w:rsidRPr="00000000" w14:paraId="0000006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Intense competition from other theme parks and entertainment options.</w:t>
      </w:r>
    </w:p>
    <w:p w:rsidR="00000000" w:rsidDel="00000000" w:rsidP="00000000" w:rsidRDefault="00000000" w:rsidRPr="00000000" w14:paraId="0000007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Potential impact of future global health crises and travel restrictions.</w:t>
      </w:r>
    </w:p>
    <w:p w:rsidR="00000000" w:rsidDel="00000000" w:rsidP="00000000" w:rsidRDefault="00000000" w:rsidRPr="00000000" w14:paraId="0000007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4. Conclusion</w:t>
      </w:r>
    </w:p>
    <w:p w:rsidR="00000000" w:rsidDel="00000000" w:rsidP="00000000" w:rsidRDefault="00000000" w:rsidRPr="00000000" w14:paraId="0000007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conclusion, Disneyland’s organisational structure, culture, and goals are intricately designed to support its mission of creating magical experiences for guests while ensuring operational efficiency and financial sustainability. Recent change initiatives, such as the introduction of Star Wars: Galaxy's Edge, have had a positive impact on attendance and revenue, despite initial operational challenges. Strategically, Disneyland is well-positioned for continued growth, with plans to expand into new markets, leverage technological advancements, and focus on sustainability. The SWOT analysis highlights the organisation's strengths, weaknesses, opportunities, and threats, providing a comprehensive overview of its current status and future prospects.</w:t>
      </w:r>
    </w:p>
    <w:p w:rsidR="00000000" w:rsidDel="00000000" w:rsidP="00000000" w:rsidRDefault="00000000" w:rsidRPr="00000000" w14:paraId="0000007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References: </w:t>
      </w:r>
    </w:p>
    <w:p w:rsidR="00000000" w:rsidDel="00000000" w:rsidP="00000000" w:rsidRDefault="00000000" w:rsidRPr="00000000" w14:paraId="00000076">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ORGANIMI (2022). </w:t>
      </w:r>
      <w:r w:rsidDel="00000000" w:rsidR="00000000" w:rsidRPr="00000000">
        <w:rPr>
          <w:rFonts w:ascii="Calibri" w:cs="Calibri" w:eastAsia="Calibri" w:hAnsi="Calibri"/>
          <w:i w:val="1"/>
          <w:sz w:val="27"/>
          <w:szCs w:val="27"/>
          <w:rtl w:val="0"/>
        </w:rPr>
        <w:t xml:space="preserve">Disney’s Organisational Structure</w:t>
      </w:r>
      <w:r w:rsidDel="00000000" w:rsidR="00000000" w:rsidRPr="00000000">
        <w:rPr>
          <w:rFonts w:ascii="Calibri" w:cs="Calibri" w:eastAsia="Calibri" w:hAnsi="Calibri"/>
          <w:sz w:val="27"/>
          <w:szCs w:val="27"/>
          <w:rtl w:val="0"/>
        </w:rPr>
        <w:t xml:space="preserve">. [online] Organimi. Available at: https://www.organimi.com/organizational-structures/disney/.</w:t>
      </w:r>
    </w:p>
    <w:p w:rsidR="00000000" w:rsidDel="00000000" w:rsidP="00000000" w:rsidRDefault="00000000" w:rsidRPr="00000000" w14:paraId="00000077">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78">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www.rpc-partners.com. (n.d.). </w:t>
      </w:r>
      <w:r w:rsidDel="00000000" w:rsidR="00000000" w:rsidRPr="00000000">
        <w:rPr>
          <w:rFonts w:ascii="Calibri" w:cs="Calibri" w:eastAsia="Calibri" w:hAnsi="Calibri"/>
          <w:i w:val="1"/>
          <w:sz w:val="27"/>
          <w:szCs w:val="27"/>
          <w:rtl w:val="0"/>
        </w:rPr>
        <w:t xml:space="preserve">Customer Experience of Disneyland</w:t>
      </w:r>
      <w:r w:rsidDel="00000000" w:rsidR="00000000" w:rsidRPr="00000000">
        <w:rPr>
          <w:rFonts w:ascii="Calibri" w:cs="Calibri" w:eastAsia="Calibri" w:hAnsi="Calibri"/>
          <w:sz w:val="27"/>
          <w:szCs w:val="27"/>
          <w:rtl w:val="0"/>
        </w:rPr>
        <w:t xml:space="preserve">. [online] Available at: https://www.rpc-partners.com/united-kingdom_en/insights/customer-experience-of-disneyland.html.</w:t>
      </w:r>
    </w:p>
    <w:p w:rsidR="00000000" w:rsidDel="00000000" w:rsidP="00000000" w:rsidRDefault="00000000" w:rsidRPr="00000000" w14:paraId="00000079">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7A">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www.edume.com. (n.d.). </w:t>
      </w:r>
      <w:r w:rsidDel="00000000" w:rsidR="00000000" w:rsidRPr="00000000">
        <w:rPr>
          <w:rFonts w:ascii="Calibri" w:cs="Calibri" w:eastAsia="Calibri" w:hAnsi="Calibri"/>
          <w:i w:val="1"/>
          <w:sz w:val="27"/>
          <w:szCs w:val="27"/>
          <w:rtl w:val="0"/>
        </w:rPr>
        <w:t xml:space="preserve">5 Lessons Retailers Can Learn from Disney’s Customer Strategy</w:t>
      </w:r>
      <w:r w:rsidDel="00000000" w:rsidR="00000000" w:rsidRPr="00000000">
        <w:rPr>
          <w:rFonts w:ascii="Calibri" w:cs="Calibri" w:eastAsia="Calibri" w:hAnsi="Calibri"/>
          <w:sz w:val="27"/>
          <w:szCs w:val="27"/>
          <w:rtl w:val="0"/>
        </w:rPr>
        <w:t xml:space="preserve">. [online] Available at: https://www.edume.com/blog/disney-customer-experience-strategy.</w:t>
      </w:r>
    </w:p>
    <w:p w:rsidR="00000000" w:rsidDel="00000000" w:rsidP="00000000" w:rsidRDefault="00000000" w:rsidRPr="00000000" w14:paraId="0000007B">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7C">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disneyland.disney.go.com. (n.d.). </w:t>
      </w:r>
      <w:r w:rsidDel="00000000" w:rsidR="00000000" w:rsidRPr="00000000">
        <w:rPr>
          <w:rFonts w:ascii="Calibri" w:cs="Calibri" w:eastAsia="Calibri" w:hAnsi="Calibri"/>
          <w:i w:val="1"/>
          <w:sz w:val="27"/>
          <w:szCs w:val="27"/>
          <w:rtl w:val="0"/>
        </w:rPr>
        <w:t xml:space="preserve">https://disneyland.disney.go.com/genie/</w:t>
      </w:r>
      <w:r w:rsidDel="00000000" w:rsidR="00000000" w:rsidRPr="00000000">
        <w:rPr>
          <w:rFonts w:ascii="Calibri" w:cs="Calibri" w:eastAsia="Calibri" w:hAnsi="Calibri"/>
          <w:sz w:val="27"/>
          <w:szCs w:val="27"/>
          <w:rtl w:val="0"/>
        </w:rPr>
        <w:t xml:space="preserve">. [online] Available at: https://disneyland.disney.go.com/genie/.</w:t>
      </w:r>
    </w:p>
    <w:p w:rsidR="00000000" w:rsidDel="00000000" w:rsidP="00000000" w:rsidRDefault="00000000" w:rsidRPr="00000000" w14:paraId="0000007D">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7E">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blog.icx.co. (n.d.). </w:t>
      </w:r>
      <w:r w:rsidDel="00000000" w:rsidR="00000000" w:rsidRPr="00000000">
        <w:rPr>
          <w:rFonts w:ascii="Calibri" w:cs="Calibri" w:eastAsia="Calibri" w:hAnsi="Calibri"/>
          <w:i w:val="1"/>
          <w:sz w:val="27"/>
          <w:szCs w:val="27"/>
          <w:rtl w:val="0"/>
        </w:rPr>
        <w:t xml:space="preserve">Disney is killing its customer’s experience</w:t>
      </w:r>
      <w:r w:rsidDel="00000000" w:rsidR="00000000" w:rsidRPr="00000000">
        <w:rPr>
          <w:rFonts w:ascii="Calibri" w:cs="Calibri" w:eastAsia="Calibri" w:hAnsi="Calibri"/>
          <w:sz w:val="27"/>
          <w:szCs w:val="27"/>
          <w:rtl w:val="0"/>
        </w:rPr>
        <w:t xml:space="preserve">. [online] Available at: https://blog.icx.co/en/customer-experience/customer-experience/disney-is-killing-its-customers-experience.</w:t>
      </w:r>
    </w:p>
    <w:p w:rsidR="00000000" w:rsidDel="00000000" w:rsidP="00000000" w:rsidRDefault="00000000" w:rsidRPr="00000000" w14:paraId="0000007F">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80">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Morgan, B. (2020). </w:t>
      </w:r>
      <w:r w:rsidDel="00000000" w:rsidR="00000000" w:rsidRPr="00000000">
        <w:rPr>
          <w:rFonts w:ascii="Calibri" w:cs="Calibri" w:eastAsia="Calibri" w:hAnsi="Calibri"/>
          <w:i w:val="1"/>
          <w:sz w:val="27"/>
          <w:szCs w:val="27"/>
          <w:rtl w:val="0"/>
        </w:rPr>
        <w:t xml:space="preserve">5 Lessons From Disney’s Magical Customer Experience</w:t>
      </w:r>
      <w:r w:rsidDel="00000000" w:rsidR="00000000" w:rsidRPr="00000000">
        <w:rPr>
          <w:rFonts w:ascii="Calibri" w:cs="Calibri" w:eastAsia="Calibri" w:hAnsi="Calibri"/>
          <w:sz w:val="27"/>
          <w:szCs w:val="27"/>
          <w:rtl w:val="0"/>
        </w:rPr>
        <w:t xml:space="preserve">. [online] Forbes. Available at: https://www.forbes.com/sites/blakemorgan/2020/01/23/5-lessons-from-disneys-magical-customer-experience/.</w:t>
      </w:r>
    </w:p>
    <w:p w:rsidR="00000000" w:rsidDel="00000000" w:rsidP="00000000" w:rsidRDefault="00000000" w:rsidRPr="00000000" w14:paraId="00000081">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82">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Disney World.co.uk. (2024). Available at: https://www.disneyworld.co.uk/lightning-lane-passes/ [Accessed 31 July. 2024].</w:t>
      </w:r>
    </w:p>
    <w:p w:rsidR="00000000" w:rsidDel="00000000" w:rsidP="00000000" w:rsidRDefault="00000000" w:rsidRPr="00000000" w14:paraId="00000083">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84">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ORGANIMI (2022). </w:t>
      </w:r>
      <w:r w:rsidDel="00000000" w:rsidR="00000000" w:rsidRPr="00000000">
        <w:rPr>
          <w:rFonts w:ascii="Calibri" w:cs="Calibri" w:eastAsia="Calibri" w:hAnsi="Calibri"/>
          <w:i w:val="1"/>
          <w:sz w:val="27"/>
          <w:szCs w:val="27"/>
          <w:rtl w:val="0"/>
        </w:rPr>
        <w:t xml:space="preserve">Disney’s Organisational Structure</w:t>
      </w:r>
      <w:r w:rsidDel="00000000" w:rsidR="00000000" w:rsidRPr="00000000">
        <w:rPr>
          <w:rFonts w:ascii="Calibri" w:cs="Calibri" w:eastAsia="Calibri" w:hAnsi="Calibri"/>
          <w:sz w:val="27"/>
          <w:szCs w:val="27"/>
          <w:rtl w:val="0"/>
        </w:rPr>
        <w:t xml:space="preserve">. [online] Organimi. Available at: https://www.organimi.com/organizational-structures/disney/.</w:t>
      </w:r>
    </w:p>
    <w:p w:rsidR="00000000" w:rsidDel="00000000" w:rsidP="00000000" w:rsidRDefault="00000000" w:rsidRPr="00000000" w14:paraId="00000085">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86">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Williams, A. (2023). </w:t>
      </w:r>
      <w:r w:rsidDel="00000000" w:rsidR="00000000" w:rsidRPr="00000000">
        <w:rPr>
          <w:rFonts w:ascii="Calibri" w:cs="Calibri" w:eastAsia="Calibri" w:hAnsi="Calibri"/>
          <w:i w:val="1"/>
          <w:sz w:val="27"/>
          <w:szCs w:val="27"/>
          <w:rtl w:val="0"/>
        </w:rPr>
        <w:t xml:space="preserve">Disney’s Organisational Culture for Excellent Entertainment (Analysis)</w:t>
      </w:r>
      <w:r w:rsidDel="00000000" w:rsidR="00000000" w:rsidRPr="00000000">
        <w:rPr>
          <w:rFonts w:ascii="Calibri" w:cs="Calibri" w:eastAsia="Calibri" w:hAnsi="Calibri"/>
          <w:sz w:val="27"/>
          <w:szCs w:val="27"/>
          <w:rtl w:val="0"/>
        </w:rPr>
        <w:t xml:space="preserve">. [online] Panmore Institute. Available at: https://panmore.com/disney-organizational-culture-excellent-entertainment-analysis.</w:t>
      </w:r>
    </w:p>
    <w:p w:rsidR="00000000" w:rsidDel="00000000" w:rsidP="00000000" w:rsidRDefault="00000000" w:rsidRPr="00000000" w14:paraId="00000087">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88">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SlideShare. (2013). </w:t>
      </w:r>
      <w:r w:rsidDel="00000000" w:rsidR="00000000" w:rsidRPr="00000000">
        <w:rPr>
          <w:rFonts w:ascii="Calibri" w:cs="Calibri" w:eastAsia="Calibri" w:hAnsi="Calibri"/>
          <w:i w:val="1"/>
          <w:sz w:val="27"/>
          <w:szCs w:val="27"/>
          <w:rtl w:val="0"/>
        </w:rPr>
        <w:t xml:space="preserve">Strategic Management: Walt Disney Case Study</w:t>
      </w:r>
      <w:r w:rsidDel="00000000" w:rsidR="00000000" w:rsidRPr="00000000">
        <w:rPr>
          <w:rFonts w:ascii="Calibri" w:cs="Calibri" w:eastAsia="Calibri" w:hAnsi="Calibri"/>
          <w:sz w:val="27"/>
          <w:szCs w:val="27"/>
          <w:rtl w:val="0"/>
        </w:rPr>
        <w:t xml:space="preserve">. [online] Available at: https://www.slideshare.net/slideshow/strategic-management-walt-disney-case-study/15939051.</w:t>
      </w:r>
    </w:p>
    <w:p w:rsidR="00000000" w:rsidDel="00000000" w:rsidP="00000000" w:rsidRDefault="00000000" w:rsidRPr="00000000" w14:paraId="00000089">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8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