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33CD2" w:rsidRDefault="00B33CD2" w:rsidP="00B33CD2">
      <w:pPr>
        <w:spacing w:after="200" w:line="360" w:lineRule="auto"/>
        <w:jc w:val="center"/>
        <w:rPr>
          <w:b/>
          <w:bCs/>
          <w:sz w:val="36"/>
          <w:szCs w:val="36"/>
        </w:rPr>
      </w:pPr>
      <w:r>
        <w:rPr>
          <w:b/>
          <w:bCs/>
          <w:noProof/>
          <w:sz w:val="36"/>
          <w:szCs w:val="36"/>
        </w:rPr>
        <w:drawing>
          <wp:inline distT="0" distB="0" distL="0" distR="0">
            <wp:extent cx="1961274" cy="1034283"/>
            <wp:effectExtent l="19050" t="0" r="876"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8"/>
                    <a:srcRect/>
                    <a:stretch>
                      <a:fillRect/>
                    </a:stretch>
                  </pic:blipFill>
                  <pic:spPr bwMode="auto">
                    <a:xfrm>
                      <a:off x="0" y="0"/>
                      <a:ext cx="1965169" cy="1036337"/>
                    </a:xfrm>
                    <a:prstGeom prst="rect">
                      <a:avLst/>
                    </a:prstGeom>
                    <a:noFill/>
                    <a:ln w="9525">
                      <a:noFill/>
                      <a:miter lim="800000"/>
                      <a:headEnd/>
                      <a:tailEnd/>
                    </a:ln>
                  </pic:spPr>
                </pic:pic>
              </a:graphicData>
            </a:graphic>
          </wp:inline>
        </w:drawing>
      </w:r>
    </w:p>
    <w:p w:rsidR="00F92C90" w:rsidRPr="00B33CD2" w:rsidRDefault="00F92C90" w:rsidP="00F92C90">
      <w:pPr>
        <w:spacing w:after="200" w:line="360" w:lineRule="auto"/>
        <w:jc w:val="center"/>
        <w:rPr>
          <w:sz w:val="22"/>
        </w:rPr>
      </w:pPr>
      <w:r w:rsidRPr="00B33CD2">
        <w:rPr>
          <w:b/>
          <w:bCs/>
          <w:sz w:val="32"/>
          <w:szCs w:val="36"/>
        </w:rPr>
        <w:t>Business Intelligence and Predictive Analytics at Sosandar plc</w:t>
      </w:r>
    </w:p>
    <w:p w:rsidR="00F92C90" w:rsidRPr="00B33CD2" w:rsidRDefault="00F92C90" w:rsidP="00F92C90">
      <w:pPr>
        <w:spacing w:after="200" w:line="360" w:lineRule="auto"/>
        <w:jc w:val="center"/>
        <w:rPr>
          <w:sz w:val="22"/>
        </w:rPr>
      </w:pPr>
      <w:r w:rsidRPr="00B33CD2">
        <w:rPr>
          <w:szCs w:val="28"/>
        </w:rPr>
        <w:t>LCBB5014 Data Handling and Business Intelligence</w:t>
      </w:r>
    </w:p>
    <w:p w:rsidR="00F92C90" w:rsidRPr="00B33CD2" w:rsidRDefault="00F92C90" w:rsidP="00F92C90">
      <w:pPr>
        <w:spacing w:after="200" w:line="360" w:lineRule="auto"/>
        <w:jc w:val="center"/>
        <w:rPr>
          <w:sz w:val="22"/>
        </w:rPr>
      </w:pPr>
      <w:r w:rsidRPr="00B33CD2">
        <w:rPr>
          <w:szCs w:val="28"/>
        </w:rPr>
        <w:t>Component 1: Individual Report</w:t>
      </w:r>
    </w:p>
    <w:p w:rsidR="00F92C90" w:rsidRDefault="00F92C90" w:rsidP="00F92C90">
      <w:pPr>
        <w:spacing w:after="200" w:line="360" w:lineRule="auto"/>
        <w:jc w:val="center"/>
      </w:pPr>
      <w:r>
        <w:t xml:space="preserve"> </w:t>
      </w:r>
    </w:p>
    <w:p w:rsidR="00F92C90" w:rsidRDefault="00834965" w:rsidP="00F92C90">
      <w:pPr>
        <w:spacing w:after="200" w:line="360" w:lineRule="auto"/>
        <w:jc w:val="center"/>
      </w:pPr>
      <w:r>
        <w:t xml:space="preserve">Student name: </w:t>
      </w:r>
      <w:r w:rsidRPr="00834965">
        <w:t>Jaskirat Singh</w:t>
      </w:r>
    </w:p>
    <w:p w:rsidR="00F92C90" w:rsidRDefault="00834965" w:rsidP="00F92C90">
      <w:pPr>
        <w:spacing w:after="200" w:line="360" w:lineRule="auto"/>
        <w:jc w:val="center"/>
      </w:pPr>
      <w:r>
        <w:t xml:space="preserve">Student ID: </w:t>
      </w:r>
      <w:r w:rsidRPr="00834965">
        <w:t>2509298</w:t>
      </w:r>
    </w:p>
    <w:p w:rsidR="00834965" w:rsidRDefault="00834965" w:rsidP="00F92C90">
      <w:pPr>
        <w:spacing w:after="200" w:line="360" w:lineRule="auto"/>
        <w:jc w:val="center"/>
      </w:pPr>
      <w:r w:rsidRPr="00834965">
        <w:t>Lecture name - Dr Patrick Yeboah</w:t>
      </w:r>
    </w:p>
    <w:p w:rsidR="00F92C90" w:rsidRDefault="00F92C90" w:rsidP="00F92C90">
      <w:pPr>
        <w:spacing w:after="200" w:line="360" w:lineRule="auto"/>
        <w:jc w:val="center"/>
      </w:pPr>
      <w:r>
        <w:t>Submission date: 31 October 2026</w:t>
      </w:r>
    </w:p>
    <w:p w:rsidR="00F92C90" w:rsidRDefault="00CD061B" w:rsidP="00F92C90">
      <w:pPr>
        <w:spacing w:after="200" w:line="360" w:lineRule="auto"/>
        <w:jc w:val="center"/>
      </w:pPr>
      <w:r>
        <w:t>Word count: [2214 excluding appendix and references</w:t>
      </w:r>
      <w:r w:rsidR="00F92C90">
        <w:t>]</w:t>
      </w:r>
    </w:p>
    <w:p w:rsidR="00F92C90" w:rsidRDefault="00F92C90" w:rsidP="00F92C90">
      <w:r>
        <w:br w:type="page"/>
      </w:r>
    </w:p>
    <w:sdt>
      <w:sdtPr>
        <w:id w:val="6043969"/>
        <w:docPartObj>
          <w:docPartGallery w:val="Table of Contents"/>
          <w:docPartUnique/>
        </w:docPartObj>
      </w:sdtPr>
      <w:sdtEndPr>
        <w:rPr>
          <w:rFonts w:ascii="Times New Roman" w:eastAsia="Times New Roman" w:hAnsi="Times New Roman" w:cs="Times New Roman"/>
          <w:b w:val="0"/>
          <w:bCs w:val="0"/>
          <w:color w:val="auto"/>
          <w:sz w:val="24"/>
          <w:szCs w:val="24"/>
        </w:rPr>
      </w:sdtEndPr>
      <w:sdtContent>
        <w:p w:rsidR="00AC313B" w:rsidRDefault="00AC313B">
          <w:pPr>
            <w:pStyle w:val="TOCHeading"/>
          </w:pPr>
          <w:r>
            <w:t>Contents</w:t>
          </w:r>
        </w:p>
        <w:p w:rsidR="00AC313B" w:rsidRDefault="00AC313B">
          <w:pPr>
            <w:pStyle w:val="TOC1"/>
            <w:tabs>
              <w:tab w:val="right" w:leader="dot" w:pos="9350"/>
            </w:tabs>
            <w:rPr>
              <w:noProof/>
            </w:rPr>
          </w:pPr>
          <w:r>
            <w:fldChar w:fldCharType="begin"/>
          </w:r>
          <w:r>
            <w:instrText xml:space="preserve"> TOC \o "1-3" \h \z \u </w:instrText>
          </w:r>
          <w:r>
            <w:fldChar w:fldCharType="separate"/>
          </w:r>
          <w:hyperlink w:anchor="_Toc243714100" w:history="1">
            <w:r w:rsidRPr="00B9271B">
              <w:rPr>
                <w:rStyle w:val="Hyperlink"/>
                <w:noProof/>
                <w:kern w:val="36"/>
              </w:rPr>
              <w:t>Executive summary</w:t>
            </w:r>
            <w:r>
              <w:rPr>
                <w:noProof/>
                <w:webHidden/>
              </w:rPr>
              <w:tab/>
            </w:r>
            <w:r>
              <w:rPr>
                <w:noProof/>
                <w:webHidden/>
              </w:rPr>
              <w:fldChar w:fldCharType="begin"/>
            </w:r>
            <w:r>
              <w:rPr>
                <w:noProof/>
                <w:webHidden/>
              </w:rPr>
              <w:instrText xml:space="preserve"> PAGEREF _Toc243714100 \h </w:instrText>
            </w:r>
            <w:r>
              <w:rPr>
                <w:noProof/>
                <w:webHidden/>
              </w:rPr>
            </w:r>
            <w:r>
              <w:rPr>
                <w:noProof/>
                <w:webHidden/>
              </w:rPr>
              <w:fldChar w:fldCharType="separate"/>
            </w:r>
            <w:r>
              <w:rPr>
                <w:noProof/>
                <w:webHidden/>
              </w:rPr>
              <w:t>3</w:t>
            </w:r>
            <w:r>
              <w:rPr>
                <w:noProof/>
                <w:webHidden/>
              </w:rPr>
              <w:fldChar w:fldCharType="end"/>
            </w:r>
          </w:hyperlink>
        </w:p>
        <w:p w:rsidR="00AC313B" w:rsidRDefault="00AC313B">
          <w:pPr>
            <w:pStyle w:val="TOC1"/>
            <w:tabs>
              <w:tab w:val="right" w:leader="dot" w:pos="9350"/>
            </w:tabs>
            <w:rPr>
              <w:noProof/>
            </w:rPr>
          </w:pPr>
          <w:hyperlink w:anchor="_Toc243714101" w:history="1">
            <w:r w:rsidRPr="00B9271B">
              <w:rPr>
                <w:rStyle w:val="Hyperlink"/>
                <w:noProof/>
                <w:kern w:val="36"/>
              </w:rPr>
              <w:t>1. Introduction</w:t>
            </w:r>
            <w:r>
              <w:rPr>
                <w:noProof/>
                <w:webHidden/>
              </w:rPr>
              <w:tab/>
            </w:r>
            <w:r>
              <w:rPr>
                <w:noProof/>
                <w:webHidden/>
              </w:rPr>
              <w:fldChar w:fldCharType="begin"/>
            </w:r>
            <w:r>
              <w:rPr>
                <w:noProof/>
                <w:webHidden/>
              </w:rPr>
              <w:instrText xml:space="preserve"> PAGEREF _Toc243714101 \h </w:instrText>
            </w:r>
            <w:r>
              <w:rPr>
                <w:noProof/>
                <w:webHidden/>
              </w:rPr>
            </w:r>
            <w:r>
              <w:rPr>
                <w:noProof/>
                <w:webHidden/>
              </w:rPr>
              <w:fldChar w:fldCharType="separate"/>
            </w:r>
            <w:r>
              <w:rPr>
                <w:noProof/>
                <w:webHidden/>
              </w:rPr>
              <w:t>3</w:t>
            </w:r>
            <w:r>
              <w:rPr>
                <w:noProof/>
                <w:webHidden/>
              </w:rPr>
              <w:fldChar w:fldCharType="end"/>
            </w:r>
          </w:hyperlink>
        </w:p>
        <w:p w:rsidR="00AC313B" w:rsidRDefault="00AC313B">
          <w:pPr>
            <w:pStyle w:val="TOC1"/>
            <w:tabs>
              <w:tab w:val="right" w:leader="dot" w:pos="9350"/>
            </w:tabs>
            <w:rPr>
              <w:noProof/>
            </w:rPr>
          </w:pPr>
          <w:hyperlink w:anchor="_Toc243714102" w:history="1">
            <w:r w:rsidRPr="00B9271B">
              <w:rPr>
                <w:rStyle w:val="Hyperlink"/>
                <w:noProof/>
                <w:kern w:val="36"/>
              </w:rPr>
              <w:t>2. Trends in business intelligence, data warehousing and data mining</w:t>
            </w:r>
            <w:r>
              <w:rPr>
                <w:noProof/>
                <w:webHidden/>
              </w:rPr>
              <w:tab/>
            </w:r>
            <w:r>
              <w:rPr>
                <w:noProof/>
                <w:webHidden/>
              </w:rPr>
              <w:fldChar w:fldCharType="begin"/>
            </w:r>
            <w:r>
              <w:rPr>
                <w:noProof/>
                <w:webHidden/>
              </w:rPr>
              <w:instrText xml:space="preserve"> PAGEREF _Toc243714102 \h </w:instrText>
            </w:r>
            <w:r>
              <w:rPr>
                <w:noProof/>
                <w:webHidden/>
              </w:rPr>
            </w:r>
            <w:r>
              <w:rPr>
                <w:noProof/>
                <w:webHidden/>
              </w:rPr>
              <w:fldChar w:fldCharType="separate"/>
            </w:r>
            <w:r>
              <w:rPr>
                <w:noProof/>
                <w:webHidden/>
              </w:rPr>
              <w:t>3</w:t>
            </w:r>
            <w:r>
              <w:rPr>
                <w:noProof/>
                <w:webHidden/>
              </w:rPr>
              <w:fldChar w:fldCharType="end"/>
            </w:r>
          </w:hyperlink>
        </w:p>
        <w:p w:rsidR="00AC313B" w:rsidRDefault="00AC313B">
          <w:pPr>
            <w:pStyle w:val="TOC1"/>
            <w:tabs>
              <w:tab w:val="right" w:leader="dot" w:pos="9350"/>
            </w:tabs>
            <w:rPr>
              <w:noProof/>
            </w:rPr>
          </w:pPr>
          <w:hyperlink w:anchor="_Toc243714103" w:history="1">
            <w:r w:rsidRPr="00B9271B">
              <w:rPr>
                <w:rStyle w:val="Hyperlink"/>
                <w:noProof/>
                <w:kern w:val="36"/>
              </w:rPr>
              <w:t>3. Data warehousing applications at Sosandar</w:t>
            </w:r>
            <w:r>
              <w:rPr>
                <w:noProof/>
                <w:webHidden/>
              </w:rPr>
              <w:tab/>
            </w:r>
            <w:r>
              <w:rPr>
                <w:noProof/>
                <w:webHidden/>
              </w:rPr>
              <w:fldChar w:fldCharType="begin"/>
            </w:r>
            <w:r>
              <w:rPr>
                <w:noProof/>
                <w:webHidden/>
              </w:rPr>
              <w:instrText xml:space="preserve"> PAGEREF _Toc243714103 \h </w:instrText>
            </w:r>
            <w:r>
              <w:rPr>
                <w:noProof/>
                <w:webHidden/>
              </w:rPr>
            </w:r>
            <w:r>
              <w:rPr>
                <w:noProof/>
                <w:webHidden/>
              </w:rPr>
              <w:fldChar w:fldCharType="separate"/>
            </w:r>
            <w:r>
              <w:rPr>
                <w:noProof/>
                <w:webHidden/>
              </w:rPr>
              <w:t>5</w:t>
            </w:r>
            <w:r>
              <w:rPr>
                <w:noProof/>
                <w:webHidden/>
              </w:rPr>
              <w:fldChar w:fldCharType="end"/>
            </w:r>
          </w:hyperlink>
        </w:p>
        <w:p w:rsidR="00AC313B" w:rsidRDefault="00AC313B">
          <w:pPr>
            <w:pStyle w:val="TOC1"/>
            <w:tabs>
              <w:tab w:val="right" w:leader="dot" w:pos="9350"/>
            </w:tabs>
            <w:rPr>
              <w:noProof/>
            </w:rPr>
          </w:pPr>
          <w:hyperlink w:anchor="_Toc243714104" w:history="1">
            <w:r w:rsidRPr="00B9271B">
              <w:rPr>
                <w:rStyle w:val="Hyperlink"/>
                <w:noProof/>
                <w:kern w:val="36"/>
              </w:rPr>
              <w:t>4. Data mining techniques</w:t>
            </w:r>
            <w:r>
              <w:rPr>
                <w:noProof/>
                <w:webHidden/>
              </w:rPr>
              <w:tab/>
            </w:r>
            <w:r>
              <w:rPr>
                <w:noProof/>
                <w:webHidden/>
              </w:rPr>
              <w:fldChar w:fldCharType="begin"/>
            </w:r>
            <w:r>
              <w:rPr>
                <w:noProof/>
                <w:webHidden/>
              </w:rPr>
              <w:instrText xml:space="preserve"> PAGEREF _Toc243714104 \h </w:instrText>
            </w:r>
            <w:r>
              <w:rPr>
                <w:noProof/>
                <w:webHidden/>
              </w:rPr>
            </w:r>
            <w:r>
              <w:rPr>
                <w:noProof/>
                <w:webHidden/>
              </w:rPr>
              <w:fldChar w:fldCharType="separate"/>
            </w:r>
            <w:r>
              <w:rPr>
                <w:noProof/>
                <w:webHidden/>
              </w:rPr>
              <w:t>6</w:t>
            </w:r>
            <w:r>
              <w:rPr>
                <w:noProof/>
                <w:webHidden/>
              </w:rPr>
              <w:fldChar w:fldCharType="end"/>
            </w:r>
          </w:hyperlink>
        </w:p>
        <w:p w:rsidR="00AC313B" w:rsidRDefault="00AC313B">
          <w:pPr>
            <w:pStyle w:val="TOC1"/>
            <w:tabs>
              <w:tab w:val="right" w:leader="dot" w:pos="9350"/>
            </w:tabs>
            <w:rPr>
              <w:noProof/>
            </w:rPr>
          </w:pPr>
          <w:hyperlink w:anchor="_Toc243714105" w:history="1">
            <w:r w:rsidRPr="00B9271B">
              <w:rPr>
                <w:rStyle w:val="Hyperlink"/>
                <w:noProof/>
                <w:kern w:val="36"/>
              </w:rPr>
              <w:t>5. Predictive analysis tools</w:t>
            </w:r>
            <w:r>
              <w:rPr>
                <w:noProof/>
                <w:webHidden/>
              </w:rPr>
              <w:tab/>
            </w:r>
            <w:r>
              <w:rPr>
                <w:noProof/>
                <w:webHidden/>
              </w:rPr>
              <w:fldChar w:fldCharType="begin"/>
            </w:r>
            <w:r>
              <w:rPr>
                <w:noProof/>
                <w:webHidden/>
              </w:rPr>
              <w:instrText xml:space="preserve"> PAGEREF _Toc243714105 \h </w:instrText>
            </w:r>
            <w:r>
              <w:rPr>
                <w:noProof/>
                <w:webHidden/>
              </w:rPr>
            </w:r>
            <w:r>
              <w:rPr>
                <w:noProof/>
                <w:webHidden/>
              </w:rPr>
              <w:fldChar w:fldCharType="separate"/>
            </w:r>
            <w:r>
              <w:rPr>
                <w:noProof/>
                <w:webHidden/>
              </w:rPr>
              <w:t>7</w:t>
            </w:r>
            <w:r>
              <w:rPr>
                <w:noProof/>
                <w:webHidden/>
              </w:rPr>
              <w:fldChar w:fldCharType="end"/>
            </w:r>
          </w:hyperlink>
        </w:p>
        <w:p w:rsidR="00AC313B" w:rsidRDefault="00AC313B">
          <w:pPr>
            <w:pStyle w:val="TOC1"/>
            <w:tabs>
              <w:tab w:val="right" w:leader="dot" w:pos="9350"/>
            </w:tabs>
            <w:rPr>
              <w:noProof/>
            </w:rPr>
          </w:pPr>
          <w:hyperlink w:anchor="_Toc243714106" w:history="1">
            <w:r w:rsidRPr="00B9271B">
              <w:rPr>
                <w:rStyle w:val="Hyperlink"/>
                <w:noProof/>
                <w:kern w:val="36"/>
              </w:rPr>
              <w:t>6. Ethical and data security considerations</w:t>
            </w:r>
            <w:r>
              <w:rPr>
                <w:noProof/>
                <w:webHidden/>
              </w:rPr>
              <w:tab/>
            </w:r>
            <w:r>
              <w:rPr>
                <w:noProof/>
                <w:webHidden/>
              </w:rPr>
              <w:fldChar w:fldCharType="begin"/>
            </w:r>
            <w:r>
              <w:rPr>
                <w:noProof/>
                <w:webHidden/>
              </w:rPr>
              <w:instrText xml:space="preserve"> PAGEREF _Toc243714106 \h </w:instrText>
            </w:r>
            <w:r>
              <w:rPr>
                <w:noProof/>
                <w:webHidden/>
              </w:rPr>
            </w:r>
            <w:r>
              <w:rPr>
                <w:noProof/>
                <w:webHidden/>
              </w:rPr>
              <w:fldChar w:fldCharType="separate"/>
            </w:r>
            <w:r>
              <w:rPr>
                <w:noProof/>
                <w:webHidden/>
              </w:rPr>
              <w:t>7</w:t>
            </w:r>
            <w:r>
              <w:rPr>
                <w:noProof/>
                <w:webHidden/>
              </w:rPr>
              <w:fldChar w:fldCharType="end"/>
            </w:r>
          </w:hyperlink>
        </w:p>
        <w:p w:rsidR="00AC313B" w:rsidRDefault="00AC313B">
          <w:pPr>
            <w:pStyle w:val="TOC1"/>
            <w:tabs>
              <w:tab w:val="right" w:leader="dot" w:pos="9350"/>
            </w:tabs>
            <w:rPr>
              <w:noProof/>
            </w:rPr>
          </w:pPr>
          <w:hyperlink w:anchor="_Toc243714107" w:history="1">
            <w:r w:rsidRPr="00B9271B">
              <w:rPr>
                <w:rStyle w:val="Hyperlink"/>
                <w:noProof/>
                <w:kern w:val="36"/>
              </w:rPr>
              <w:t>7. Reporting and dashboard solutions</w:t>
            </w:r>
            <w:r>
              <w:rPr>
                <w:noProof/>
                <w:webHidden/>
              </w:rPr>
              <w:tab/>
            </w:r>
            <w:r>
              <w:rPr>
                <w:noProof/>
                <w:webHidden/>
              </w:rPr>
              <w:fldChar w:fldCharType="begin"/>
            </w:r>
            <w:r>
              <w:rPr>
                <w:noProof/>
                <w:webHidden/>
              </w:rPr>
              <w:instrText xml:space="preserve"> PAGEREF _Toc243714107 \h </w:instrText>
            </w:r>
            <w:r>
              <w:rPr>
                <w:noProof/>
                <w:webHidden/>
              </w:rPr>
            </w:r>
            <w:r>
              <w:rPr>
                <w:noProof/>
                <w:webHidden/>
              </w:rPr>
              <w:fldChar w:fldCharType="separate"/>
            </w:r>
            <w:r>
              <w:rPr>
                <w:noProof/>
                <w:webHidden/>
              </w:rPr>
              <w:t>8</w:t>
            </w:r>
            <w:r>
              <w:rPr>
                <w:noProof/>
                <w:webHidden/>
              </w:rPr>
              <w:fldChar w:fldCharType="end"/>
            </w:r>
          </w:hyperlink>
        </w:p>
        <w:p w:rsidR="00AC313B" w:rsidRDefault="00AC313B">
          <w:pPr>
            <w:pStyle w:val="TOC1"/>
            <w:tabs>
              <w:tab w:val="right" w:leader="dot" w:pos="9350"/>
            </w:tabs>
            <w:rPr>
              <w:noProof/>
            </w:rPr>
          </w:pPr>
          <w:hyperlink w:anchor="_Toc243714108" w:history="1">
            <w:r w:rsidRPr="00B9271B">
              <w:rPr>
                <w:rStyle w:val="Hyperlink"/>
                <w:noProof/>
                <w:kern w:val="36"/>
              </w:rPr>
              <w:t>8. Conclusion</w:t>
            </w:r>
            <w:r>
              <w:rPr>
                <w:noProof/>
                <w:webHidden/>
              </w:rPr>
              <w:tab/>
            </w:r>
            <w:r>
              <w:rPr>
                <w:noProof/>
                <w:webHidden/>
              </w:rPr>
              <w:fldChar w:fldCharType="begin"/>
            </w:r>
            <w:r>
              <w:rPr>
                <w:noProof/>
                <w:webHidden/>
              </w:rPr>
              <w:instrText xml:space="preserve"> PAGEREF _Toc243714108 \h </w:instrText>
            </w:r>
            <w:r>
              <w:rPr>
                <w:noProof/>
                <w:webHidden/>
              </w:rPr>
            </w:r>
            <w:r>
              <w:rPr>
                <w:noProof/>
                <w:webHidden/>
              </w:rPr>
              <w:fldChar w:fldCharType="separate"/>
            </w:r>
            <w:r>
              <w:rPr>
                <w:noProof/>
                <w:webHidden/>
              </w:rPr>
              <w:t>9</w:t>
            </w:r>
            <w:r>
              <w:rPr>
                <w:noProof/>
                <w:webHidden/>
              </w:rPr>
              <w:fldChar w:fldCharType="end"/>
            </w:r>
          </w:hyperlink>
        </w:p>
        <w:p w:rsidR="00AC313B" w:rsidRDefault="00AC313B">
          <w:pPr>
            <w:pStyle w:val="TOC1"/>
            <w:tabs>
              <w:tab w:val="right" w:leader="dot" w:pos="9350"/>
            </w:tabs>
            <w:rPr>
              <w:noProof/>
            </w:rPr>
          </w:pPr>
          <w:hyperlink w:anchor="_Toc243714109" w:history="1">
            <w:r w:rsidRPr="00B9271B">
              <w:rPr>
                <w:rStyle w:val="Hyperlink"/>
                <w:noProof/>
                <w:kern w:val="36"/>
              </w:rPr>
              <w:t>References</w:t>
            </w:r>
            <w:r>
              <w:rPr>
                <w:noProof/>
                <w:webHidden/>
              </w:rPr>
              <w:tab/>
            </w:r>
            <w:r>
              <w:rPr>
                <w:noProof/>
                <w:webHidden/>
              </w:rPr>
              <w:fldChar w:fldCharType="begin"/>
            </w:r>
            <w:r>
              <w:rPr>
                <w:noProof/>
                <w:webHidden/>
              </w:rPr>
              <w:instrText xml:space="preserve"> PAGEREF _Toc243714109 \h </w:instrText>
            </w:r>
            <w:r>
              <w:rPr>
                <w:noProof/>
                <w:webHidden/>
              </w:rPr>
            </w:r>
            <w:r>
              <w:rPr>
                <w:noProof/>
                <w:webHidden/>
              </w:rPr>
              <w:fldChar w:fldCharType="separate"/>
            </w:r>
            <w:r>
              <w:rPr>
                <w:noProof/>
                <w:webHidden/>
              </w:rPr>
              <w:t>10</w:t>
            </w:r>
            <w:r>
              <w:rPr>
                <w:noProof/>
                <w:webHidden/>
              </w:rPr>
              <w:fldChar w:fldCharType="end"/>
            </w:r>
          </w:hyperlink>
        </w:p>
        <w:p w:rsidR="00AC313B" w:rsidRDefault="00AC313B">
          <w:pPr>
            <w:pStyle w:val="TOC1"/>
            <w:tabs>
              <w:tab w:val="right" w:leader="dot" w:pos="9350"/>
            </w:tabs>
            <w:rPr>
              <w:noProof/>
            </w:rPr>
          </w:pPr>
          <w:hyperlink w:anchor="_Toc243714110" w:history="1">
            <w:r w:rsidRPr="00B9271B">
              <w:rPr>
                <w:rStyle w:val="Hyperlink"/>
                <w:noProof/>
              </w:rPr>
              <w:t>Appendix: Figures</w:t>
            </w:r>
            <w:r>
              <w:rPr>
                <w:noProof/>
                <w:webHidden/>
              </w:rPr>
              <w:tab/>
            </w:r>
            <w:r>
              <w:rPr>
                <w:noProof/>
                <w:webHidden/>
              </w:rPr>
              <w:fldChar w:fldCharType="begin"/>
            </w:r>
            <w:r>
              <w:rPr>
                <w:noProof/>
                <w:webHidden/>
              </w:rPr>
              <w:instrText xml:space="preserve"> PAGEREF _Toc243714110 \h </w:instrText>
            </w:r>
            <w:r>
              <w:rPr>
                <w:noProof/>
                <w:webHidden/>
              </w:rPr>
            </w:r>
            <w:r>
              <w:rPr>
                <w:noProof/>
                <w:webHidden/>
              </w:rPr>
              <w:fldChar w:fldCharType="separate"/>
            </w:r>
            <w:r>
              <w:rPr>
                <w:noProof/>
                <w:webHidden/>
              </w:rPr>
              <w:t>12</w:t>
            </w:r>
            <w:r>
              <w:rPr>
                <w:noProof/>
                <w:webHidden/>
              </w:rPr>
              <w:fldChar w:fldCharType="end"/>
            </w:r>
          </w:hyperlink>
        </w:p>
        <w:p w:rsidR="00AC313B" w:rsidRDefault="00AC313B">
          <w:r>
            <w:fldChar w:fldCharType="end"/>
          </w:r>
        </w:p>
      </w:sdtContent>
    </w:sdt>
    <w:p w:rsidR="00CD061B" w:rsidRDefault="00CD061B" w:rsidP="00F92C90">
      <w:pPr>
        <w:pStyle w:val="Heading1"/>
        <w:spacing w:line="360" w:lineRule="auto"/>
        <w:rPr>
          <w:kern w:val="36"/>
        </w:rPr>
      </w:pPr>
    </w:p>
    <w:p w:rsidR="00CD061B" w:rsidRDefault="00CD061B" w:rsidP="00F92C90">
      <w:pPr>
        <w:pStyle w:val="Heading1"/>
        <w:spacing w:line="360" w:lineRule="auto"/>
        <w:rPr>
          <w:kern w:val="36"/>
        </w:rPr>
      </w:pPr>
    </w:p>
    <w:p w:rsidR="00CD061B" w:rsidRDefault="00CD061B" w:rsidP="00F92C90">
      <w:pPr>
        <w:pStyle w:val="Heading1"/>
        <w:spacing w:line="360" w:lineRule="auto"/>
        <w:rPr>
          <w:kern w:val="36"/>
        </w:rPr>
      </w:pPr>
    </w:p>
    <w:p w:rsidR="00CD061B" w:rsidRDefault="00CD061B" w:rsidP="00F92C90">
      <w:pPr>
        <w:pStyle w:val="Heading1"/>
        <w:spacing w:line="360" w:lineRule="auto"/>
        <w:rPr>
          <w:kern w:val="36"/>
        </w:rPr>
      </w:pPr>
    </w:p>
    <w:p w:rsidR="00CD061B" w:rsidRDefault="00CD061B" w:rsidP="00F92C90">
      <w:pPr>
        <w:pStyle w:val="Heading1"/>
        <w:spacing w:line="360" w:lineRule="auto"/>
        <w:rPr>
          <w:kern w:val="36"/>
        </w:rPr>
      </w:pPr>
    </w:p>
    <w:p w:rsidR="00CD061B" w:rsidRDefault="00CD061B" w:rsidP="00F92C90">
      <w:pPr>
        <w:pStyle w:val="Heading1"/>
        <w:spacing w:line="360" w:lineRule="auto"/>
        <w:rPr>
          <w:kern w:val="36"/>
        </w:rPr>
      </w:pPr>
    </w:p>
    <w:p w:rsidR="00CD061B" w:rsidRDefault="00CD061B" w:rsidP="00F92C90">
      <w:pPr>
        <w:pStyle w:val="Heading1"/>
        <w:spacing w:line="360" w:lineRule="auto"/>
        <w:rPr>
          <w:kern w:val="36"/>
        </w:rPr>
      </w:pPr>
    </w:p>
    <w:p w:rsidR="00CD061B" w:rsidRDefault="00CD061B" w:rsidP="00F92C90">
      <w:pPr>
        <w:pStyle w:val="Heading1"/>
        <w:spacing w:line="360" w:lineRule="auto"/>
        <w:rPr>
          <w:kern w:val="36"/>
        </w:rPr>
      </w:pPr>
    </w:p>
    <w:p w:rsidR="00CD061B" w:rsidRDefault="00CD061B" w:rsidP="00F92C90">
      <w:pPr>
        <w:pStyle w:val="Heading1"/>
        <w:spacing w:line="360" w:lineRule="auto"/>
        <w:rPr>
          <w:kern w:val="36"/>
        </w:rPr>
      </w:pPr>
    </w:p>
    <w:p w:rsidR="00CD061B" w:rsidRDefault="00CD061B" w:rsidP="00F92C90">
      <w:pPr>
        <w:pStyle w:val="Heading1"/>
        <w:spacing w:line="360" w:lineRule="auto"/>
        <w:rPr>
          <w:kern w:val="36"/>
        </w:rPr>
      </w:pPr>
    </w:p>
    <w:p w:rsidR="00B33CD2" w:rsidRDefault="00B33CD2" w:rsidP="00F92C90">
      <w:pPr>
        <w:pStyle w:val="Heading1"/>
        <w:spacing w:line="360" w:lineRule="auto"/>
        <w:rPr>
          <w:kern w:val="36"/>
        </w:rPr>
      </w:pPr>
      <w:bookmarkStart w:id="0" w:name="_Toc243714100"/>
    </w:p>
    <w:p w:rsidR="00F92C90" w:rsidRDefault="00F92C90" w:rsidP="00F92C90">
      <w:pPr>
        <w:pStyle w:val="Heading1"/>
        <w:spacing w:line="360" w:lineRule="auto"/>
        <w:rPr>
          <w:kern w:val="36"/>
        </w:rPr>
      </w:pPr>
      <w:r>
        <w:rPr>
          <w:kern w:val="36"/>
        </w:rPr>
        <w:lastRenderedPageBreak/>
        <w:t>Executive summary</w:t>
      </w:r>
      <w:bookmarkEnd w:id="0"/>
    </w:p>
    <w:p w:rsidR="00CA5A33" w:rsidRPr="00CA5A33" w:rsidRDefault="00CA5A33" w:rsidP="00834965">
      <w:pPr>
        <w:spacing w:line="360" w:lineRule="auto"/>
        <w:jc w:val="both"/>
      </w:pPr>
      <w:r>
        <w:t>This report explores</w:t>
      </w:r>
      <w:r w:rsidRPr="00CA5A33">
        <w:t xml:space="preserve"> how BI, data warehousing, data mining, and predictive analytics can assist the So</w:t>
      </w:r>
      <w:r w:rsidR="00834965">
        <w:t>sandar plc, a</w:t>
      </w:r>
      <w:r w:rsidRPr="00CA5A33">
        <w:t xml:space="preserve"> UK based womenswear retailer, in making more informed business decisions. For instance, Sosandar reported revenues of £42.3m </w:t>
      </w:r>
      <w:r w:rsidR="00834965" w:rsidRPr="00CA5A33">
        <w:t xml:space="preserve">in its FY2026; </w:t>
      </w:r>
      <w:r w:rsidRPr="00CA5A33">
        <w:t>however</w:t>
      </w:r>
      <w:r w:rsidR="00834965">
        <w:t>,</w:t>
      </w:r>
      <w:r w:rsidRPr="00CA5A33">
        <w:t xml:space="preserve"> its adjusted profit before tax was just £0.4m, meaning that increased sales have not necessarily brought increa</w:t>
      </w:r>
      <w:r w:rsidR="00834965">
        <w:t>sed profitability to the organis</w:t>
      </w:r>
      <w:r w:rsidRPr="00CA5A33">
        <w:t>ation (Sosa</w:t>
      </w:r>
      <w:r w:rsidR="00DE0200">
        <w:t>ndar plc, 2026). The report also examines</w:t>
      </w:r>
      <w:r w:rsidRPr="00CA5A33">
        <w:t xml:space="preserve"> how a combination of data warehouse, association rule mining, sales prediction, and use of Power</w:t>
      </w:r>
      <w:r w:rsidR="00834965">
        <w:t xml:space="preserve"> BI tools can assist the organis</w:t>
      </w:r>
      <w:r w:rsidRPr="00CA5A33">
        <w:t xml:space="preserve">ation in managing its inventory as well as monitoring its performance. The implementation of the above will involve a phased process, </w:t>
      </w:r>
      <w:r w:rsidR="00834965">
        <w:t xml:space="preserve">a </w:t>
      </w:r>
      <w:r w:rsidRPr="00CA5A33">
        <w:t xml:space="preserve">careful testing of predictive models and proper data protection measures. </w:t>
      </w:r>
      <w:r w:rsidR="00834965">
        <w:t>The success of these initiatives should be assessed by looking at whether they improve forecast accuracy, product availability, gross margins and overall financial results.</w:t>
      </w:r>
    </w:p>
    <w:p w:rsidR="00F92C90" w:rsidRDefault="00F92C90" w:rsidP="00F92C90">
      <w:pPr>
        <w:pStyle w:val="Heading1"/>
        <w:spacing w:line="360" w:lineRule="auto"/>
        <w:rPr>
          <w:kern w:val="36"/>
        </w:rPr>
      </w:pPr>
      <w:bookmarkStart w:id="1" w:name="_Toc243714101"/>
      <w:r>
        <w:rPr>
          <w:kern w:val="36"/>
        </w:rPr>
        <w:t>1. Introduction</w:t>
      </w:r>
      <w:bookmarkEnd w:id="1"/>
    </w:p>
    <w:p w:rsidR="00DE0200" w:rsidRDefault="00DE0200" w:rsidP="00834965">
      <w:pPr>
        <w:spacing w:line="360" w:lineRule="auto"/>
        <w:jc w:val="both"/>
      </w:pPr>
      <w:r>
        <w:t>Sosandar plc offers women's wear through its online platform and retail partners' stores as well as its own stores. In its FY2026 Trading Update, the company stated that its revenue increased by 14% and was at £42.3 million, with its gross margin standing at around 64%. Nevertheless, the company had only £0.4 million of adjusted profit before tax, despite 24% growth in sales on its website (Sosandar plc, 2026). That implies that growth in revenue is not necessarily linked to profitability, and prope</w:t>
      </w:r>
      <w:r w:rsidR="00834965">
        <w:t xml:space="preserve">r stock management and decision </w:t>
      </w:r>
      <w:r>
        <w:t>making are necessary improvements.</w:t>
      </w:r>
    </w:p>
    <w:p w:rsidR="00DE0200" w:rsidRPr="00DE0200" w:rsidRDefault="00DE0200" w:rsidP="00834965">
      <w:pPr>
        <w:spacing w:line="360" w:lineRule="auto"/>
        <w:jc w:val="both"/>
      </w:pPr>
      <w:r>
        <w:t>The purpose of this report is to analyse how Sosandar can use data collected across all of its sales platforms to forecast demand, optimise the allocation of stock and detect pro</w:t>
      </w:r>
      <w:r w:rsidR="00834965">
        <w:t>fitable products and customers and by analysing modern BI trends gives recommendations on</w:t>
      </w:r>
      <w:r>
        <w:t xml:space="preserve"> establishing a specific organisational data warehouse, two data-mining methods, predictive analytics software, data security and management dashboard. </w:t>
      </w:r>
      <w:r w:rsidR="00834965">
        <w:t>These recommendations aim to address gaps in Sosandar’s current capabilities and suggest ways the company could improve.</w:t>
      </w:r>
    </w:p>
    <w:p w:rsidR="00F92C90" w:rsidRDefault="00F92C90" w:rsidP="00F92C90">
      <w:pPr>
        <w:pStyle w:val="Heading1"/>
        <w:spacing w:line="360" w:lineRule="auto"/>
        <w:rPr>
          <w:kern w:val="36"/>
        </w:rPr>
      </w:pPr>
      <w:bookmarkStart w:id="2" w:name="_Toc243714102"/>
      <w:r>
        <w:rPr>
          <w:kern w:val="36"/>
        </w:rPr>
        <w:t>2. Trends in business intelligence, data warehousing and data mining</w:t>
      </w:r>
      <w:bookmarkEnd w:id="2"/>
    </w:p>
    <w:p w:rsidR="004B1072" w:rsidRDefault="004B1072" w:rsidP="004B1072">
      <w:pPr>
        <w:spacing w:line="360" w:lineRule="auto"/>
        <w:jc w:val="both"/>
      </w:pPr>
      <w:r>
        <w:t xml:space="preserve">Business Intelligence (BI) involves collecting, analysing and presenting information to support business decisions. Data warehousing provides a unified source of data for analysis, and data mining can uncover patterns that might not be apparent otherwise. Predictive analytics involves </w:t>
      </w:r>
      <w:r>
        <w:lastRenderedPageBreak/>
        <w:t>predictive forecasting by applying statistical methods or machine learning to predict future outcomes.</w:t>
      </w:r>
    </w:p>
    <w:p w:rsidR="004B1072" w:rsidRDefault="004B1072" w:rsidP="004B1072">
      <w:pPr>
        <w:spacing w:line="360" w:lineRule="auto"/>
        <w:jc w:val="both"/>
      </w:pPr>
    </w:p>
    <w:p w:rsidR="004B1072" w:rsidRDefault="004B1072" w:rsidP="004B1072">
      <w:pPr>
        <w:spacing w:line="360" w:lineRule="auto"/>
        <w:jc w:val="both"/>
      </w:pPr>
      <w:r>
        <w:t>Cloud-based data storage and self-service BI may help make reports accessible without having to support large onsite infrastructure, Sosandar said. Real-time analytics also enable to detect stocks shortages earlier than the monthly reporting. More rapid information access is not necessarily better performance, however. Poor data quality, incorrect key performance indicators (KPIs) and a lack of management understanding can give false conclusions. Implementing AI in the retail sector has significant challenges, yet it holds promise for enhancing retail decision-making (Velásquez-Henao, 2025). In Sosandar's case, he needs to focus on the processes of reliable data and sound decision making rather than investing in more sophisticated analytical tools.</w:t>
      </w:r>
    </w:p>
    <w:p w:rsidR="004B1072" w:rsidRDefault="004B1072" w:rsidP="004B1072">
      <w:pPr>
        <w:spacing w:line="360" w:lineRule="auto"/>
        <w:jc w:val="both"/>
      </w:pPr>
    </w:p>
    <w:p w:rsidR="004B1072" w:rsidRDefault="004B1072" w:rsidP="004B1072">
      <w:pPr>
        <w:spacing w:line="360" w:lineRule="auto"/>
        <w:jc w:val="both"/>
      </w:pPr>
      <w:r>
        <w:t>There are two frameworks that might support this approach. Kimball and Ross (2013) describe how data dimensional modelling structures data around the business activities such as sales and inventory transactions. With accurate data, this might be useful for Sosandar to make consistent comparisons of products and sales channels. CRISP-DM is a six-phase process for analysing business problems which includes understanding the problem, preparing data, modelling, deploying and evaluating (Schröer, Kruse and Gómez, 2021, Chapman et al., 2000). Whereas, dimensional modelling is a framework for organizing data for analysis, CRISP-DM is a framework for using dimensional models. Without meaningful questions that are being asked about the business and trustworthy data, neither will make better decisions.</w:t>
      </w:r>
    </w:p>
    <w:p w:rsidR="004B1072" w:rsidRDefault="004B1072" w:rsidP="004B1072">
      <w:pPr>
        <w:spacing w:line="360" w:lineRule="auto"/>
        <w:jc w:val="both"/>
      </w:pPr>
    </w:p>
    <w:p w:rsidR="004B1072" w:rsidRDefault="004B1072" w:rsidP="004B1072">
      <w:pPr>
        <w:spacing w:line="360" w:lineRule="auto"/>
        <w:jc w:val="both"/>
      </w:pPr>
      <w:r>
        <w:t>Examples such as retail show the possibilities. With the help of RFID technology, Zara is able to utilize sales and inventory data at the store level to enhance the visibility of stocks (Emilio, 2025). H&amp;M utilizes machine learning and various data sources for store assortment decisions (Best Practice AI, n.d.), and ASOS has enhanced its analytical tools using Microsoft Azure and AI-driven forecasting and merchandising (ASOS plc, 2024).</w:t>
      </w:r>
    </w:p>
    <w:p w:rsidR="004B1072" w:rsidRDefault="004B1072" w:rsidP="004B1072">
      <w:pPr>
        <w:spacing w:line="360" w:lineRule="auto"/>
        <w:jc w:val="both"/>
      </w:pPr>
    </w:p>
    <w:p w:rsidR="004B1072" w:rsidRPr="004B1072" w:rsidRDefault="004B1072" w:rsidP="004B1072">
      <w:pPr>
        <w:spacing w:line="360" w:lineRule="auto"/>
        <w:jc w:val="both"/>
      </w:pPr>
      <w:r>
        <w:t xml:space="preserve">Sosandar however, should not copy these systems. They can be limited by cloud costs, reliance on suppliers and concerns about data security, as well as the lack of in-house expertise. The real-time processing may also not be needed if the decisions are weekly. Before expanding its </w:t>
      </w:r>
      <w:r>
        <w:lastRenderedPageBreak/>
        <w:t>investment, Sosandar should first combine all the data available and make sure it is reported consistently, and then determine if forecasting and stock-allocation tools can enhance business performance. (Jamarani et al., 2024)</w:t>
      </w:r>
    </w:p>
    <w:p w:rsidR="00F92C90" w:rsidRDefault="00F92C90" w:rsidP="00F92C90">
      <w:pPr>
        <w:pStyle w:val="Heading1"/>
        <w:spacing w:line="360" w:lineRule="auto"/>
        <w:rPr>
          <w:kern w:val="36"/>
        </w:rPr>
      </w:pPr>
      <w:bookmarkStart w:id="3" w:name="_Toc243714103"/>
      <w:r>
        <w:rPr>
          <w:kern w:val="36"/>
        </w:rPr>
        <w:t>3. Data warehousing applications at Sosandar</w:t>
      </w:r>
      <w:bookmarkEnd w:id="3"/>
    </w:p>
    <w:p w:rsidR="00377F01" w:rsidRDefault="00377F01" w:rsidP="00377F01">
      <w:pPr>
        <w:spacing w:line="360" w:lineRule="auto"/>
        <w:jc w:val="both"/>
      </w:pPr>
      <w:r>
        <w:t>A data warehouse might consolidate sales, website metrics, product information, inventory, returns, promotions and supplier deliveries. The ability to have consistent identifiers such as product ID, date, sales channel and store/customer ID (where applicable) would make it easier for Sosandar's management to compare the performance without having to combine separate spreadsheets (see Appendix, Figure A1).</w:t>
      </w:r>
    </w:p>
    <w:p w:rsidR="00377F01" w:rsidRDefault="00377F01" w:rsidP="00377F01">
      <w:pPr>
        <w:spacing w:line="360" w:lineRule="auto"/>
        <w:jc w:val="both"/>
      </w:pPr>
    </w:p>
    <w:p w:rsidR="00377F01" w:rsidRDefault="00377F01" w:rsidP="00377F01">
      <w:pPr>
        <w:spacing w:line="360" w:lineRule="auto"/>
        <w:jc w:val="both"/>
      </w:pPr>
      <w:r>
        <w:t>The dimensional model might have a Sales fact table containing units sold, revenue, discounts and returns dimensions such as Product, Date, Channel and Location. Sales are a measure of completed transactions, and inventory records availability of stock, so movements of inventory should be recorded separately. Combining these measures could give a misleading picture of performance (Kimball and Ross, 2013; see Appendix, Figure A2).</w:t>
      </w:r>
    </w:p>
    <w:p w:rsidR="00377F01" w:rsidRDefault="00377F01" w:rsidP="00377F01">
      <w:pPr>
        <w:spacing w:line="360" w:lineRule="auto"/>
        <w:jc w:val="both"/>
      </w:pPr>
    </w:p>
    <w:p w:rsidR="00377F01" w:rsidRDefault="00377F01" w:rsidP="00377F01">
      <w:pPr>
        <w:spacing w:line="360" w:lineRule="auto"/>
        <w:jc w:val="both"/>
      </w:pPr>
      <w:r>
        <w:t>Three decisions should be supported in the warehouse: identify products with increasing sales, decreasing stocks; compare profitability of different channels after discounts and returns on products; enhance purchasing and stocking decisions based on historical sales, promotions, lead times and stocks. Given that Sosandar reported a 24% rise in own site revenue for the FY2026, the relevance of channel analysis is even more significant. But the profit representation is not necessarily high as the result of higher revenue after fulfilling the cost of returns, marketing expenses and product mix are taken into consideration (Sosandar plc, 2026).</w:t>
      </w:r>
    </w:p>
    <w:p w:rsidR="00377F01" w:rsidRDefault="00377F01" w:rsidP="00377F01">
      <w:pPr>
        <w:spacing w:line="360" w:lineRule="auto"/>
        <w:jc w:val="both"/>
      </w:pPr>
    </w:p>
    <w:p w:rsidR="00377F01" w:rsidRDefault="00377F01" w:rsidP="00377F01">
      <w:pPr>
        <w:spacing w:line="360" w:lineRule="auto"/>
        <w:jc w:val="both"/>
      </w:pPr>
      <w:r>
        <w:t>Some fashion retailers have adopted a strategy of using a combination of integrated point-of-sale, e-commerce, and inventory data to gain better visibility of their stock, minimize stockouts and avoid overstocking (Kankaria, 2023). Sosandar was able to move data into a cloud warehouse initially using scheduled interfaces, validate it with automated checks, and provide accurate reports in Power BI. Daily updates are appropriate for routine reporting, and can be combined with role based access and audit trails.</w:t>
      </w:r>
    </w:p>
    <w:p w:rsidR="00377F01" w:rsidRDefault="00377F01" w:rsidP="00377F01">
      <w:pPr>
        <w:spacing w:line="360" w:lineRule="auto"/>
        <w:jc w:val="both"/>
      </w:pPr>
    </w:p>
    <w:p w:rsidR="00377F01" w:rsidRPr="00377F01" w:rsidRDefault="00377F01" w:rsidP="00377F01">
      <w:pPr>
        <w:spacing w:line="360" w:lineRule="auto"/>
        <w:jc w:val="both"/>
      </w:pPr>
      <w:r>
        <w:t>The critical issue is probably more likely to be the data than the technology itself. Consistent product information, returns and historical stock levels may be lost and impact forecasts. Sosandar should designate data owners, align all definitions and harmonise warehouse with financial and inventory. A pilot program with some product categories would provide the company a chance to prove the value of data quality, employee adoption and potential savings for expansion.</w:t>
      </w:r>
    </w:p>
    <w:p w:rsidR="00F92C90" w:rsidRDefault="00F92C90" w:rsidP="00F92C90">
      <w:pPr>
        <w:pStyle w:val="Heading1"/>
        <w:spacing w:line="360" w:lineRule="auto"/>
        <w:rPr>
          <w:kern w:val="36"/>
        </w:rPr>
      </w:pPr>
      <w:bookmarkStart w:id="4" w:name="_Toc243714104"/>
      <w:r>
        <w:rPr>
          <w:kern w:val="36"/>
        </w:rPr>
        <w:t>4. Data mining techniques</w:t>
      </w:r>
      <w:bookmarkEnd w:id="4"/>
    </w:p>
    <w:p w:rsidR="00377F01" w:rsidRDefault="00377F01" w:rsidP="00377F01">
      <w:pPr>
        <w:pStyle w:val="NormalWeb"/>
        <w:spacing w:line="360" w:lineRule="auto"/>
        <w:jc w:val="both"/>
      </w:pPr>
      <w:r>
        <w:t>Two analytical methods could help Sosandar improve merchandising and stock planning: association-rule mining and regression-based sales forecasting.</w:t>
      </w:r>
    </w:p>
    <w:p w:rsidR="00377F01" w:rsidRDefault="00377F01" w:rsidP="00377F01">
      <w:pPr>
        <w:pStyle w:val="NormalWeb"/>
        <w:spacing w:line="360" w:lineRule="auto"/>
        <w:jc w:val="both"/>
      </w:pPr>
      <w:r>
        <w:t>Association-rule mining identifies products frequently purchased together. Sosandar could use it to explore whether dresses are commonly bought with particular accessories or whether certain combinations increase order values. Measures of support, confidence and lift help distinguish frequent combinations from meaningful purchasing patterns. Hsieh (2022) discusses market-basket analysis in grocery retail, while Hashad et al. (2024) compare Apriori and FP-Growth algorithms. Both can be implemented using RapidMiner or Python and R libraries. However, product associations do not prove that recommendations will cause additional purchases, and popular products may dominate the results. Sosandar should test recommendations against a control group and measure incremental contribution margin, rather than relying only on clicks or basket size.</w:t>
      </w:r>
    </w:p>
    <w:p w:rsidR="00377F01" w:rsidRDefault="00377F01" w:rsidP="00377F01">
      <w:pPr>
        <w:pStyle w:val="NormalWeb"/>
        <w:spacing w:line="360" w:lineRule="auto"/>
        <w:jc w:val="both"/>
      </w:pPr>
      <w:r>
        <w:t>Regression-based forecasting could estimate demand using historical sales, prices, discounts, seasonality, product categories and sales channels. However, fashion trends change quickly, making demand difficult to predict (Swaminathan and Venkitasubramony, 2024). Stock outs also conceal actual demand because recorded sales may underestimate what customers would have purchased (Giri and Chen, 2022; Chen et al., 2022). Although deep-learning models have been explored, simpler methods may be more practical initially (Eglite and Birzniece, 2022).</w:t>
      </w:r>
    </w:p>
    <w:p w:rsidR="00377F01" w:rsidRPr="00377F01" w:rsidRDefault="00377F01" w:rsidP="00377F01">
      <w:pPr>
        <w:pStyle w:val="NormalWeb"/>
        <w:spacing w:line="360" w:lineRule="auto"/>
        <w:jc w:val="both"/>
      </w:pPr>
      <w:r>
        <w:t xml:space="preserve">Sosandar should compare regression forecasts with a seasonal-naïve benchmark, using rolling time-based validation, weighted absolute percentage error and forecast bias (Hyndman and </w:t>
      </w:r>
      <w:r>
        <w:lastRenderedPageBreak/>
        <w:t>Athanasopoulos, 2021; Fildes, Ma and Kolassa, 2022). More complex models should only be adopted if they consistently improve purchasing decisions and business outcomes.</w:t>
      </w:r>
    </w:p>
    <w:p w:rsidR="00F92C90" w:rsidRDefault="00F92C90" w:rsidP="00F92C90">
      <w:pPr>
        <w:pStyle w:val="Heading1"/>
        <w:spacing w:line="360" w:lineRule="auto"/>
        <w:rPr>
          <w:kern w:val="36"/>
        </w:rPr>
      </w:pPr>
      <w:bookmarkStart w:id="5" w:name="_Toc243714105"/>
      <w:r>
        <w:rPr>
          <w:kern w:val="36"/>
        </w:rPr>
        <w:t>5. Predictive analysis tools</w:t>
      </w:r>
      <w:bookmarkEnd w:id="5"/>
    </w:p>
    <w:p w:rsidR="003A1225" w:rsidRDefault="00DE0200" w:rsidP="003A1225">
      <w:pPr>
        <w:spacing w:line="360" w:lineRule="auto"/>
        <w:jc w:val="both"/>
      </w:pPr>
      <w:r w:rsidRPr="003A1225">
        <w:rPr>
          <w:rStyle w:val="cursor-pointer"/>
        </w:rPr>
        <w:t>Several options are worth of consideration for comparison: Excel, Power BI, IBM SPSS Statistics, Tableau, RapidMiner.</w:t>
      </w:r>
      <w:r w:rsidRPr="003A1225">
        <w:t xml:space="preserve"> </w:t>
      </w:r>
      <w:r w:rsidRPr="003A1225">
        <w:rPr>
          <w:rStyle w:val="cursor-pointer"/>
        </w:rPr>
        <w:t>Useful for prototyping and small scale analysis, Excel provides familiar spreadsheets and basic forecasting functions.</w:t>
      </w:r>
      <w:r w:rsidRPr="003A1225">
        <w:t xml:space="preserve"> </w:t>
      </w:r>
      <w:r w:rsidRPr="003A1225">
        <w:rPr>
          <w:rStyle w:val="cursor-pointer"/>
        </w:rPr>
        <w:t>Manually managed files, however, can lead to version control issues and be hard to manage as datasets increase in size.</w:t>
      </w:r>
      <w:r w:rsidRPr="003A1225">
        <w:t xml:space="preserve"> </w:t>
      </w:r>
      <w:r w:rsidRPr="003A1225">
        <w:rPr>
          <w:rStyle w:val="cursor-pointer"/>
        </w:rPr>
        <w:t>Power BI provides interactive reports, scheduled refresh and integration with Microsoft data services.</w:t>
      </w:r>
      <w:r w:rsidRPr="003A1225">
        <w:t xml:space="preserve"> </w:t>
      </w:r>
      <w:r w:rsidRPr="003A1225">
        <w:rPr>
          <w:rStyle w:val="cursor-pointer"/>
        </w:rPr>
        <w:t>If Sosandar's systems are compatible, it is the best option for initial reporting.</w:t>
      </w:r>
      <w:r w:rsidRPr="003A1225">
        <w:t xml:space="preserve"> </w:t>
      </w:r>
      <w:r w:rsidRPr="003A1225">
        <w:rPr>
          <w:rStyle w:val="cursor-pointer"/>
        </w:rPr>
        <w:t>However, dashboard licensing, data modelling and maintenance incurs expenses, and the current Microsoft pricing should be compared for the number of users and desired sharing specifications (Microsoft, n.d.).</w:t>
      </w:r>
      <w:r w:rsidRPr="003A1225">
        <w:t xml:space="preserve"> </w:t>
      </w:r>
    </w:p>
    <w:p w:rsidR="003A1225" w:rsidRDefault="003A1225" w:rsidP="003A1225">
      <w:pPr>
        <w:spacing w:line="360" w:lineRule="auto"/>
        <w:jc w:val="both"/>
      </w:pPr>
    </w:p>
    <w:p w:rsidR="00DE0200" w:rsidRPr="003A1225" w:rsidRDefault="00DE0200" w:rsidP="003A1225">
      <w:pPr>
        <w:spacing w:line="360" w:lineRule="auto"/>
        <w:jc w:val="both"/>
      </w:pPr>
      <w:r w:rsidRPr="003A1225">
        <w:rPr>
          <w:rStyle w:val="cursor-pointer"/>
        </w:rPr>
        <w:t>Similarly, Tableau offers sim</w:t>
      </w:r>
      <w:r w:rsidR="003A1225">
        <w:rPr>
          <w:rStyle w:val="cursor-pointer"/>
        </w:rPr>
        <w:t>ilar interactive visualisation</w:t>
      </w:r>
      <w:r w:rsidRPr="003A1225">
        <w:rPr>
          <w:rStyle w:val="cursor-pointer"/>
        </w:rPr>
        <w:t xml:space="preserve"> often, the choice between Power BI and Tableau hinges on existing Microsoft or Salesforce tooling, licensing and skills, more than on analytical capability.</w:t>
      </w:r>
      <w:r w:rsidRPr="003A1225">
        <w:t xml:space="preserve"> </w:t>
      </w:r>
      <w:r w:rsidRPr="003A1225">
        <w:rPr>
          <w:rStyle w:val="cursor-pointer"/>
        </w:rPr>
        <w:t xml:space="preserve">If the organization requires a dedicated statistical environment, then IBM SPSS Statistics provides well-known statistical </w:t>
      </w:r>
      <w:r w:rsidR="003A1225" w:rsidRPr="003A1225">
        <w:rPr>
          <w:rStyle w:val="cursor-pointer"/>
        </w:rPr>
        <w:t>modeling</w:t>
      </w:r>
      <w:r w:rsidRPr="003A1225">
        <w:rPr>
          <w:rStyle w:val="cursor-pointer"/>
        </w:rPr>
        <w:t>.</w:t>
      </w:r>
      <w:r w:rsidRPr="003A1225">
        <w:t xml:space="preserve"> </w:t>
      </w:r>
      <w:r w:rsidRPr="003A1225">
        <w:rPr>
          <w:rStyle w:val="cursor-pointer"/>
        </w:rPr>
        <w:t>RapidMiner also provides an interface for the visualization of a workflow that allows analysts with a non</w:t>
      </w:r>
      <w:r w:rsidR="003A1225">
        <w:rPr>
          <w:rStyle w:val="cursor-pointer"/>
        </w:rPr>
        <w:t xml:space="preserve"> </w:t>
      </w:r>
      <w:r w:rsidRPr="003A1225">
        <w:rPr>
          <w:rStyle w:val="cursor-pointer"/>
        </w:rPr>
        <w:t>programming background to use association-rule mining, regression and other techniques.</w:t>
      </w:r>
      <w:r w:rsidRPr="003A1225">
        <w:t xml:space="preserve"> </w:t>
      </w:r>
      <w:r w:rsidRPr="003A1225">
        <w:rPr>
          <w:rStyle w:val="cursor-pointer"/>
        </w:rPr>
        <w:t>Both SPSS and RapidMiner can, however, require further licenses and expertise and neither is a replacement for a well-managed warehouse and working forecasting process.</w:t>
      </w:r>
      <w:r w:rsidRPr="003A1225">
        <w:t xml:space="preserve"> </w:t>
      </w:r>
      <w:r w:rsidRPr="003A1225">
        <w:rPr>
          <w:rStyle w:val="cursor-pointer"/>
        </w:rPr>
        <w:t>There are two options: initially explore the data in Excel, then use Power BI (or Tableau, after a brief evaluation process) for controlled reporting and validated statistical or machine-learning model for forecast</w:t>
      </w:r>
      <w:r w:rsidR="003A1225">
        <w:rPr>
          <w:rStyle w:val="cursor-pointer"/>
        </w:rPr>
        <w:t xml:space="preserve">ing in SPSS/ RapidMiner or open </w:t>
      </w:r>
      <w:r w:rsidRPr="003A1225">
        <w:rPr>
          <w:rStyle w:val="cursor-pointer"/>
        </w:rPr>
        <w:t>source software.</w:t>
      </w:r>
      <w:r w:rsidRPr="003A1225">
        <w:t xml:space="preserve"> </w:t>
      </w:r>
      <w:r w:rsidRPr="003A1225">
        <w:rPr>
          <w:rStyle w:val="cursor-pointer"/>
        </w:rPr>
        <w:t>Sosandar needs to validate the final toolset wit</w:t>
      </w:r>
      <w:r w:rsidR="003A1225">
        <w:rPr>
          <w:rStyle w:val="cursor-pointer"/>
        </w:rPr>
        <w:t>h its real commerce, inventory and</w:t>
      </w:r>
      <w:r w:rsidRPr="003A1225">
        <w:rPr>
          <w:rStyle w:val="cursor-pointer"/>
        </w:rPr>
        <w:t xml:space="preserve"> finance systems.</w:t>
      </w:r>
    </w:p>
    <w:p w:rsidR="00F92C90" w:rsidRDefault="00F92C90" w:rsidP="00F92C90">
      <w:pPr>
        <w:pStyle w:val="Heading1"/>
        <w:spacing w:line="360" w:lineRule="auto"/>
        <w:rPr>
          <w:kern w:val="36"/>
        </w:rPr>
      </w:pPr>
      <w:bookmarkStart w:id="6" w:name="_Toc243714106"/>
      <w:r>
        <w:rPr>
          <w:kern w:val="36"/>
        </w:rPr>
        <w:t>6. Ethical and data security considerations</w:t>
      </w:r>
      <w:bookmarkEnd w:id="6"/>
    </w:p>
    <w:p w:rsidR="003A1225" w:rsidRDefault="00DE0200" w:rsidP="003A1225">
      <w:pPr>
        <w:spacing w:line="360" w:lineRule="auto"/>
        <w:jc w:val="both"/>
      </w:pPr>
      <w:r w:rsidRPr="003A1225">
        <w:rPr>
          <w:rStyle w:val="cursor-pointer"/>
        </w:rPr>
        <w:t>Sosandar is responsible for ensuring that personal-data-processing is compliant with relevant UK data protection legislation such as the UK GDPR and the Data Protection Act 2018 (as amended).</w:t>
      </w:r>
      <w:r w:rsidRPr="003A1225">
        <w:t xml:space="preserve"> </w:t>
      </w:r>
      <w:r w:rsidRPr="003A1225">
        <w:rPr>
          <w:rStyle w:val="cursor-pointer"/>
        </w:rPr>
        <w:t xml:space="preserve">The lawful basis for each processing purpose needs to be set out; Consent is not a general requirement for all the legitimate uses of the data, but there may be additional </w:t>
      </w:r>
      <w:r w:rsidRPr="003A1225">
        <w:rPr>
          <w:rStyle w:val="cursor-pointer"/>
        </w:rPr>
        <w:lastRenderedPageBreak/>
        <w:t>requirements for marketing and tracking (Information Commissioner's Office, 2026a).</w:t>
      </w:r>
      <w:r w:rsidRPr="003A1225">
        <w:t xml:space="preserve"> </w:t>
      </w:r>
      <w:r w:rsidRPr="003A1225">
        <w:rPr>
          <w:rStyle w:val="cursor-pointer"/>
        </w:rPr>
        <w:t>Clear privacy information should be given to customers, detailing purposes, data use and retention.</w:t>
      </w:r>
      <w:r w:rsidRPr="003A1225">
        <w:t xml:space="preserve"> </w:t>
      </w:r>
      <w:r w:rsidRPr="003A1225">
        <w:rPr>
          <w:rStyle w:val="cursor-pointer"/>
        </w:rPr>
        <w:t>The company needs to define the owner of the data and define responsibilities with software providers.</w:t>
      </w:r>
      <w:r w:rsidRPr="003A1225">
        <w:t xml:space="preserve"> </w:t>
      </w:r>
      <w:r w:rsidR="00834965" w:rsidRPr="003A1225">
        <w:t xml:space="preserve">Data Protection by Design does not refer to one single point solution, but must be ensured at every stage of the data lifecycle (Information Commissioner's Office, 2026b). </w:t>
      </w:r>
    </w:p>
    <w:p w:rsidR="003A1225" w:rsidRDefault="003A1225" w:rsidP="003A1225">
      <w:pPr>
        <w:spacing w:line="360" w:lineRule="auto"/>
        <w:jc w:val="both"/>
      </w:pPr>
    </w:p>
    <w:p w:rsidR="00DE0200" w:rsidRPr="003A1225" w:rsidRDefault="003A1225" w:rsidP="003A1225">
      <w:pPr>
        <w:spacing w:line="360" w:lineRule="auto"/>
        <w:jc w:val="both"/>
      </w:pPr>
      <w:r>
        <w:t xml:space="preserve">Role </w:t>
      </w:r>
      <w:r w:rsidR="00834965" w:rsidRPr="003A1225">
        <w:t>based access control, least privilege, encryption where appropriate, backup, multi-factor authentication and logging are all part of what must go into the controls. Internal risk sources would include the possibility of employees obtaining information from the system and using it for other than its intended purpose. External risks may include phishing, ransomware, and supplier account compromises. Both should be addressed in training, access control, and incident management.</w:t>
      </w:r>
      <w:r>
        <w:t xml:space="preserve"> </w:t>
      </w:r>
      <w:r w:rsidR="00DE0200" w:rsidRPr="003A1225">
        <w:rPr>
          <w:rStyle w:val="cursor-pointer"/>
        </w:rPr>
        <w:t>Pseudonymisation can minimize exposure when analysing the data, may not make data anonymous.</w:t>
      </w:r>
      <w:r w:rsidR="00DE0200" w:rsidRPr="003A1225">
        <w:t xml:space="preserve"> </w:t>
      </w:r>
      <w:r w:rsidR="00DE0200" w:rsidRPr="003A1225">
        <w:rPr>
          <w:rStyle w:val="cursor-pointer"/>
        </w:rPr>
        <w:t>Customer segmentation shall not be based on unjustified discriminatory assumptions and recommendations shall be monitored for unintended effects.</w:t>
      </w:r>
      <w:r w:rsidR="00DE0200" w:rsidRPr="003A1225">
        <w:t xml:space="preserve"> </w:t>
      </w:r>
      <w:r w:rsidR="00DE0200" w:rsidRPr="003A1225">
        <w:rPr>
          <w:rStyle w:val="cursor-pointer"/>
        </w:rPr>
        <w:t>Security measures need to be proportionate to the risks and encryption is not enough (Information Commissioner's Office, n.d.).</w:t>
      </w:r>
    </w:p>
    <w:p w:rsidR="00F92C90" w:rsidRDefault="00F92C90" w:rsidP="00F92C90">
      <w:pPr>
        <w:pStyle w:val="Heading1"/>
        <w:spacing w:line="360" w:lineRule="auto"/>
        <w:rPr>
          <w:kern w:val="36"/>
        </w:rPr>
      </w:pPr>
      <w:bookmarkStart w:id="7" w:name="_Toc243714107"/>
      <w:r>
        <w:rPr>
          <w:kern w:val="36"/>
        </w:rPr>
        <w:t>7. Reporting and dashboard solutions</w:t>
      </w:r>
      <w:bookmarkEnd w:id="7"/>
    </w:p>
    <w:p w:rsidR="00DE0200" w:rsidRDefault="00DE0200" w:rsidP="003A1225">
      <w:pPr>
        <w:spacing w:line="360" w:lineRule="auto"/>
        <w:jc w:val="both"/>
        <w:rPr>
          <w:rStyle w:val="cursor-pointer"/>
        </w:rPr>
      </w:pPr>
      <w:r w:rsidRPr="003A1225">
        <w:rPr>
          <w:rStyle w:val="cursor-pointer"/>
        </w:rPr>
        <w:t>Power BI should offer separate management and operational perspectives, with the same data definitions applied to the governed data.</w:t>
      </w:r>
      <w:r w:rsidRPr="003A1225">
        <w:t xml:space="preserve"> </w:t>
      </w:r>
      <w:r w:rsidRPr="003A1225">
        <w:rPr>
          <w:rStyle w:val="cursor-pointer"/>
        </w:rPr>
        <w:t>The operational dashboard could prove useful for stock allocation and for identifying any shortages that are developing, providing value to management in near real time, while not requiring continuous streaming for each metric.</w:t>
      </w:r>
      <w:r w:rsidRPr="003A1225">
        <w:t xml:space="preserve"> </w:t>
      </w:r>
      <w:r w:rsidRPr="003A1225">
        <w:rPr>
          <w:rStyle w:val="cursor-pointer"/>
        </w:rPr>
        <w:t>Profitability and trends could be assessed on a weekly basis by a management dashboard (see Appendix, Figure A4).</w:t>
      </w:r>
    </w:p>
    <w:p w:rsidR="00F92C90" w:rsidRDefault="00F92C90" w:rsidP="00F92C90">
      <w:pPr>
        <w:spacing w:after="120" w:line="360" w:lineRule="auto"/>
      </w:pPr>
      <w:r>
        <w:t>The following KPIs are proposed:</w:t>
      </w:r>
    </w:p>
    <w:p w:rsidR="00F92C90" w:rsidRDefault="003A1225" w:rsidP="003A1225">
      <w:pPr>
        <w:pStyle w:val="Caption"/>
      </w:pPr>
      <w:r>
        <w:t xml:space="preserve">Table </w:t>
      </w:r>
      <w:fldSimple w:instr=" SEQ Table \* ARABIC ">
        <w:r>
          <w:rPr>
            <w:noProof/>
          </w:rPr>
          <w:t>1</w:t>
        </w:r>
      </w:fldSimple>
      <w:r>
        <w:t xml:space="preserve">: </w:t>
      </w:r>
      <w:r w:rsidRPr="00082CF8">
        <w:t>Proposed KPIs</w:t>
      </w:r>
    </w:p>
    <w:tbl>
      <w:tblPr>
        <w:tblW w:w="9026" w:type="dxa"/>
        <w:jc w:val="center"/>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4200"/>
        <w:gridCol w:w="4826"/>
      </w:tblGrid>
      <w:tr w:rsidR="00F92C90" w:rsidRPr="003A1225" w:rsidTr="003A1225">
        <w:trPr>
          <w:jc w:val="center"/>
        </w:trPr>
        <w:tc>
          <w:tcPr>
            <w:tcW w:w="4200" w:type="dxa"/>
            <w:tcBorders>
              <w:top w:val="single" w:sz="4" w:space="0" w:color="808080"/>
              <w:left w:val="single" w:sz="4" w:space="0" w:color="808080"/>
              <w:bottom w:val="single" w:sz="4" w:space="0" w:color="808080"/>
              <w:right w:val="single" w:sz="4" w:space="0" w:color="808080"/>
            </w:tcBorders>
            <w:shd w:val="clear" w:color="auto" w:fill="D9E2F3"/>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b/>
                <w:bCs/>
                <w:sz w:val="20"/>
                <w:szCs w:val="22"/>
              </w:rPr>
              <w:t>KPI</w:t>
            </w:r>
          </w:p>
        </w:tc>
        <w:tc>
          <w:tcPr>
            <w:tcW w:w="4826" w:type="dxa"/>
            <w:tcBorders>
              <w:top w:val="single" w:sz="4" w:space="0" w:color="808080"/>
              <w:left w:val="nil"/>
              <w:bottom w:val="single" w:sz="4" w:space="0" w:color="808080"/>
              <w:right w:val="single" w:sz="4" w:space="0" w:color="808080"/>
            </w:tcBorders>
            <w:shd w:val="clear" w:color="auto" w:fill="D9E2F3"/>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b/>
                <w:bCs/>
                <w:sz w:val="20"/>
                <w:szCs w:val="22"/>
              </w:rPr>
              <w:t>Management purpose</w:t>
            </w:r>
          </w:p>
        </w:tc>
      </w:tr>
      <w:tr w:rsidR="00F92C90" w:rsidRPr="003A1225" w:rsidTr="003A1225">
        <w:trPr>
          <w:jc w:val="center"/>
        </w:trPr>
        <w:tc>
          <w:tcPr>
            <w:tcW w:w="42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Revenue and year-on-year growth</w:t>
            </w:r>
          </w:p>
        </w:tc>
        <w:tc>
          <w:tcPr>
            <w:tcW w:w="4826" w:type="dxa"/>
            <w:tcBorders>
              <w:top w:val="single" w:sz="4" w:space="0" w:color="808080"/>
              <w:left w:val="nil"/>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Track commercial performance</w:t>
            </w:r>
          </w:p>
        </w:tc>
      </w:tr>
      <w:tr w:rsidR="00F92C90" w:rsidRPr="003A1225" w:rsidTr="003A1225">
        <w:trPr>
          <w:jc w:val="center"/>
        </w:trPr>
        <w:tc>
          <w:tcPr>
            <w:tcW w:w="42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Gross margin by product and channel</w:t>
            </w:r>
          </w:p>
        </w:tc>
        <w:tc>
          <w:tcPr>
            <w:tcW w:w="4826" w:type="dxa"/>
            <w:tcBorders>
              <w:top w:val="single" w:sz="4" w:space="0" w:color="808080"/>
              <w:left w:val="nil"/>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Identify profitable sales, not just volume</w:t>
            </w:r>
          </w:p>
        </w:tc>
      </w:tr>
      <w:tr w:rsidR="00F92C90" w:rsidRPr="003A1225" w:rsidTr="003A1225">
        <w:trPr>
          <w:jc w:val="center"/>
        </w:trPr>
        <w:tc>
          <w:tcPr>
            <w:tcW w:w="42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Stock-out rate</w:t>
            </w:r>
          </w:p>
        </w:tc>
        <w:tc>
          <w:tcPr>
            <w:tcW w:w="4826" w:type="dxa"/>
            <w:tcBorders>
              <w:top w:val="single" w:sz="4" w:space="0" w:color="808080"/>
              <w:left w:val="nil"/>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Highlight availability problems</w:t>
            </w:r>
          </w:p>
        </w:tc>
      </w:tr>
      <w:tr w:rsidR="00F92C90" w:rsidRPr="003A1225" w:rsidTr="003A1225">
        <w:trPr>
          <w:jc w:val="center"/>
        </w:trPr>
        <w:tc>
          <w:tcPr>
            <w:tcW w:w="42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Inventory turnover and aged stock</w:t>
            </w:r>
          </w:p>
        </w:tc>
        <w:tc>
          <w:tcPr>
            <w:tcW w:w="4826" w:type="dxa"/>
            <w:tcBorders>
              <w:top w:val="single" w:sz="4" w:space="0" w:color="808080"/>
              <w:left w:val="nil"/>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Identify excess stock and working-capital pressure</w:t>
            </w:r>
          </w:p>
        </w:tc>
      </w:tr>
      <w:tr w:rsidR="00F92C90" w:rsidRPr="003A1225" w:rsidTr="003A1225">
        <w:trPr>
          <w:jc w:val="center"/>
        </w:trPr>
        <w:tc>
          <w:tcPr>
            <w:tcW w:w="42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lastRenderedPageBreak/>
              <w:t>Forecast error and bias</w:t>
            </w:r>
          </w:p>
        </w:tc>
        <w:tc>
          <w:tcPr>
            <w:tcW w:w="4826" w:type="dxa"/>
            <w:tcBorders>
              <w:top w:val="single" w:sz="4" w:space="0" w:color="808080"/>
              <w:left w:val="nil"/>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Test forecasting reliability</w:t>
            </w:r>
          </w:p>
        </w:tc>
      </w:tr>
      <w:tr w:rsidR="00F92C90" w:rsidRPr="003A1225" w:rsidTr="003A1225">
        <w:trPr>
          <w:jc w:val="center"/>
        </w:trPr>
        <w:tc>
          <w:tcPr>
            <w:tcW w:w="42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Return rate</w:t>
            </w:r>
          </w:p>
        </w:tc>
        <w:tc>
          <w:tcPr>
            <w:tcW w:w="4826" w:type="dxa"/>
            <w:tcBorders>
              <w:top w:val="single" w:sz="4" w:space="0" w:color="808080"/>
              <w:left w:val="nil"/>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Identify product or fit-related issues</w:t>
            </w:r>
          </w:p>
        </w:tc>
      </w:tr>
      <w:tr w:rsidR="00F92C90" w:rsidRPr="003A1225" w:rsidTr="003A1225">
        <w:trPr>
          <w:jc w:val="center"/>
        </w:trPr>
        <w:tc>
          <w:tcPr>
            <w:tcW w:w="42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Average order value and conversion rate</w:t>
            </w:r>
          </w:p>
        </w:tc>
        <w:tc>
          <w:tcPr>
            <w:tcW w:w="4826" w:type="dxa"/>
            <w:tcBorders>
              <w:top w:val="single" w:sz="4" w:space="0" w:color="808080"/>
              <w:left w:val="nil"/>
              <w:bottom w:val="single" w:sz="4" w:space="0" w:color="808080"/>
              <w:right w:val="single" w:sz="4" w:space="0" w:color="808080"/>
            </w:tcBorders>
            <w:tcMar>
              <w:top w:w="60" w:type="dxa"/>
              <w:left w:w="100" w:type="dxa"/>
              <w:bottom w:w="60" w:type="dxa"/>
              <w:right w:w="100" w:type="dxa"/>
            </w:tcMar>
            <w:hideMark/>
          </w:tcPr>
          <w:p w:rsidR="00F92C90" w:rsidRPr="003A1225" w:rsidRDefault="00F92C90" w:rsidP="003A1225">
            <w:pPr>
              <w:spacing w:line="276" w:lineRule="auto"/>
              <w:jc w:val="center"/>
              <w:rPr>
                <w:sz w:val="20"/>
              </w:rPr>
            </w:pPr>
            <w:r w:rsidRPr="003A1225">
              <w:rPr>
                <w:sz w:val="20"/>
                <w:szCs w:val="22"/>
              </w:rPr>
              <w:t>Assess online sales performance</w:t>
            </w:r>
          </w:p>
        </w:tc>
      </w:tr>
    </w:tbl>
    <w:p w:rsidR="00F92C90" w:rsidRDefault="00F92C90" w:rsidP="00F92C90">
      <w:pPr>
        <w:spacing w:after="120"/>
      </w:pPr>
      <w:r>
        <w:t xml:space="preserve"> </w:t>
      </w:r>
    </w:p>
    <w:p w:rsidR="00DE0200" w:rsidRPr="003A1225" w:rsidRDefault="00DE0200" w:rsidP="003A1225">
      <w:pPr>
        <w:spacing w:after="120" w:line="360" w:lineRule="auto"/>
        <w:jc w:val="both"/>
        <w:rPr>
          <w:sz w:val="44"/>
        </w:rPr>
      </w:pPr>
      <w:r w:rsidRPr="003A1225">
        <w:rPr>
          <w:rStyle w:val="cursor-pointer"/>
          <w:szCs w:val="14"/>
        </w:rPr>
        <w:t>KPIs should have clear definitions, be reportable at regular intervals, have owners and thresholds for investigation.</w:t>
      </w:r>
      <w:r w:rsidRPr="003A1225">
        <w:rPr>
          <w:szCs w:val="14"/>
        </w:rPr>
        <w:t xml:space="preserve"> </w:t>
      </w:r>
      <w:r w:rsidRPr="003A1225">
        <w:rPr>
          <w:rStyle w:val="cursor-pointer"/>
          <w:szCs w:val="14"/>
        </w:rPr>
        <w:t xml:space="preserve">For instance, if the sales increase, but gross margin decreases, discounts, returns </w:t>
      </w:r>
      <w:r w:rsidR="003A1225">
        <w:rPr>
          <w:rStyle w:val="cursor-pointer"/>
          <w:szCs w:val="14"/>
        </w:rPr>
        <w:t>and product mix should be analys</w:t>
      </w:r>
      <w:r w:rsidRPr="003A1225">
        <w:rPr>
          <w:rStyle w:val="cursor-pointer"/>
          <w:szCs w:val="14"/>
        </w:rPr>
        <w:t>ed before other promotions are authorized.</w:t>
      </w:r>
      <w:r w:rsidRPr="003A1225">
        <w:rPr>
          <w:szCs w:val="14"/>
        </w:rPr>
        <w:t xml:space="preserve"> </w:t>
      </w:r>
      <w:r w:rsidRPr="003A1225">
        <w:rPr>
          <w:rStyle w:val="cursor-pointer"/>
          <w:szCs w:val="14"/>
        </w:rPr>
        <w:t>A dashboard isn't a decision-making system itself.</w:t>
      </w:r>
      <w:r w:rsidRPr="003A1225">
        <w:rPr>
          <w:szCs w:val="14"/>
        </w:rPr>
        <w:t xml:space="preserve"> </w:t>
      </w:r>
      <w:r w:rsidRPr="003A1225">
        <w:rPr>
          <w:rStyle w:val="cursor-pointer"/>
          <w:szCs w:val="14"/>
        </w:rPr>
        <w:t>Too many measures may confuse managers and too few or too ambiguous may lead them to take inappropriate measures.</w:t>
      </w:r>
      <w:r w:rsidRPr="003A1225">
        <w:rPr>
          <w:szCs w:val="14"/>
        </w:rPr>
        <w:t xml:space="preserve"> </w:t>
      </w:r>
      <w:r w:rsidRPr="003A1225">
        <w:rPr>
          <w:rStyle w:val="cursor-pointer"/>
          <w:szCs w:val="14"/>
        </w:rPr>
        <w:t>A small group of KPIs should be piloted by Sosandar, and reported KPIs should be checked against source KPIs and the impact on decisions and time spent on reporting should be measured as Dashboard use increases.</w:t>
      </w:r>
    </w:p>
    <w:p w:rsidR="00F92C90" w:rsidRDefault="00F92C90" w:rsidP="00F92C90">
      <w:pPr>
        <w:pStyle w:val="Heading1"/>
        <w:spacing w:line="360" w:lineRule="auto"/>
        <w:rPr>
          <w:kern w:val="36"/>
        </w:rPr>
      </w:pPr>
      <w:bookmarkStart w:id="8" w:name="_Toc243714108"/>
      <w:r>
        <w:rPr>
          <w:kern w:val="36"/>
        </w:rPr>
        <w:t>8. Conclusion</w:t>
      </w:r>
      <w:bookmarkEnd w:id="8"/>
    </w:p>
    <w:p w:rsidR="00141CF6" w:rsidRDefault="00DE0200" w:rsidP="00377F01">
      <w:pPr>
        <w:spacing w:line="360" w:lineRule="auto"/>
        <w:jc w:val="both"/>
        <w:rPr>
          <w:rStyle w:val="cursor-pointer"/>
        </w:rPr>
      </w:pPr>
      <w:r w:rsidRPr="00AD51BD">
        <w:rPr>
          <w:rStyle w:val="cursor-pointer"/>
        </w:rPr>
        <w:t>BI could be used by Sosandar to link the commercial performance to stock availability and profitability.</w:t>
      </w:r>
      <w:r w:rsidRPr="00AD51BD">
        <w:t xml:space="preserve"> </w:t>
      </w:r>
      <w:r w:rsidRPr="00AD51BD">
        <w:rPr>
          <w:rStyle w:val="cursor-pointer"/>
        </w:rPr>
        <w:t>A phased data warehouse would help to provide consistent reporting, association-rule mining would help with opportunities for complementary products, and regression forecasting would help with demand planning.</w:t>
      </w:r>
      <w:r w:rsidRPr="00AD51BD">
        <w:t xml:space="preserve"> </w:t>
      </w:r>
      <w:r w:rsidRPr="00AD51BD">
        <w:rPr>
          <w:rStyle w:val="cursor-pointer"/>
        </w:rPr>
        <w:t>Tableau and RapidMiner are viable options depending on skills and systems, and Power BI is a viable reporting option, depending on integration, licensing and governance considerations.</w:t>
      </w:r>
      <w:r w:rsidRPr="00AD51BD">
        <w:t xml:space="preserve"> </w:t>
      </w:r>
      <w:r w:rsidRPr="00AD51BD">
        <w:rPr>
          <w:rStyle w:val="cursor-pointer"/>
        </w:rPr>
        <w:t>The main suggestion is to implement a pilot project on a small scale, set some data ownership and quality criteria, validate forecasts with simple baselines, and assess financial effects.</w:t>
      </w:r>
      <w:r w:rsidRPr="00AD51BD">
        <w:t xml:space="preserve"> </w:t>
      </w:r>
      <w:r w:rsidRPr="00AD51BD">
        <w:rPr>
          <w:rStyle w:val="cursor-pointer"/>
        </w:rPr>
        <w:t>Expansion to be based on proven margin improvement, availability and inventory efficiency improvements as well as data protection requirements.</w:t>
      </w:r>
      <w:r w:rsidRPr="00AD51BD">
        <w:t xml:space="preserve"> </w:t>
      </w:r>
      <w:r w:rsidRPr="00AD51BD">
        <w:rPr>
          <w:rStyle w:val="cursor-pointer"/>
        </w:rPr>
        <w:t xml:space="preserve">There is no intent to increase the level of </w:t>
      </w:r>
      <w:r w:rsidR="00AD51BD" w:rsidRPr="00AD51BD">
        <w:rPr>
          <w:rStyle w:val="cursor-pointer"/>
        </w:rPr>
        <w:t>analysis;</w:t>
      </w:r>
      <w:r w:rsidRPr="00AD51BD">
        <w:rPr>
          <w:rStyle w:val="cursor-pointer"/>
        </w:rPr>
        <w:t xml:space="preserve"> it is aimed at making better and more accountable decisions</w:t>
      </w:r>
      <w:r w:rsidR="00377F01">
        <w:rPr>
          <w:rStyle w:val="cursor-pointer"/>
        </w:rPr>
        <w:t>.</w:t>
      </w:r>
    </w:p>
    <w:p w:rsidR="00377F01" w:rsidRPr="00377F01" w:rsidRDefault="00377F01" w:rsidP="00377F01">
      <w:pPr>
        <w:spacing w:line="360" w:lineRule="auto"/>
        <w:jc w:val="both"/>
      </w:pPr>
    </w:p>
    <w:p w:rsidR="008414AC" w:rsidRDefault="008414AC" w:rsidP="00F92C90">
      <w:pPr>
        <w:pStyle w:val="Heading1"/>
        <w:spacing w:line="360" w:lineRule="auto"/>
        <w:rPr>
          <w:kern w:val="36"/>
        </w:rPr>
      </w:pPr>
      <w:bookmarkStart w:id="9" w:name="_Toc243714109"/>
    </w:p>
    <w:p w:rsidR="00B33CD2" w:rsidRDefault="00B33CD2" w:rsidP="00F92C90">
      <w:pPr>
        <w:pStyle w:val="Heading1"/>
        <w:spacing w:line="360" w:lineRule="auto"/>
        <w:rPr>
          <w:kern w:val="36"/>
        </w:rPr>
      </w:pPr>
    </w:p>
    <w:p w:rsidR="00B33CD2" w:rsidRDefault="00B33CD2" w:rsidP="00F92C90">
      <w:pPr>
        <w:pStyle w:val="Heading1"/>
        <w:spacing w:line="360" w:lineRule="auto"/>
        <w:rPr>
          <w:kern w:val="36"/>
        </w:rPr>
      </w:pPr>
    </w:p>
    <w:p w:rsidR="00F92C90" w:rsidRDefault="00F92C90" w:rsidP="00F92C90">
      <w:pPr>
        <w:pStyle w:val="Heading1"/>
        <w:spacing w:line="360" w:lineRule="auto"/>
        <w:rPr>
          <w:kern w:val="36"/>
        </w:rPr>
      </w:pPr>
      <w:r>
        <w:rPr>
          <w:kern w:val="36"/>
        </w:rPr>
        <w:lastRenderedPageBreak/>
        <w:t>References</w:t>
      </w:r>
      <w:bookmarkEnd w:id="9"/>
    </w:p>
    <w:p w:rsidR="008414AC" w:rsidRDefault="00F92C90" w:rsidP="008414AC">
      <w:pPr>
        <w:pStyle w:val="ListParagraph"/>
        <w:numPr>
          <w:ilvl w:val="0"/>
          <w:numId w:val="1"/>
        </w:numPr>
        <w:spacing w:after="120" w:line="360" w:lineRule="auto"/>
        <w:jc w:val="both"/>
      </w:pPr>
      <w:r>
        <w:t xml:space="preserve">ASOS plc (2024) </w:t>
      </w:r>
      <w:r w:rsidRPr="005A6F75">
        <w:rPr>
          <w:i/>
          <w:iCs/>
        </w:rPr>
        <w:t>ASOS and Microsoft announce new three-year collaboration to support operational excellence through AI</w:t>
      </w:r>
      <w:r>
        <w:t>. Available at: https://www.asosplc.com/news/asos-and-microsoft-announce-new-three-year-collaboration-support-operational-excellence-through-ai (Accessed: 24 October 2026).</w:t>
      </w:r>
    </w:p>
    <w:p w:rsidR="00F92C90" w:rsidRDefault="00F92C90" w:rsidP="008414AC">
      <w:pPr>
        <w:pStyle w:val="ListParagraph"/>
        <w:numPr>
          <w:ilvl w:val="0"/>
          <w:numId w:val="1"/>
        </w:numPr>
        <w:spacing w:after="120" w:line="360" w:lineRule="auto"/>
        <w:jc w:val="both"/>
      </w:pPr>
      <w:r>
        <w:t xml:space="preserve">Best Practice AI (n.d.) </w:t>
      </w:r>
      <w:r w:rsidRPr="005A6F75">
        <w:rPr>
          <w:i/>
          <w:iCs/>
        </w:rPr>
        <w:t>H&amp;M improve single store sales by improving inventory planning through machine learning to discover trends on social media</w:t>
      </w:r>
      <w:r>
        <w:t>. Available at: https://bestpractice.ai/ai-use-cases/case-studies/consumer-retail/h-m-improve-single-store-sales-by-improving-inventory-planning-through-machine-learning-to-discover-trends-on-social-media (Accessed: 24 October 2026).</w:t>
      </w:r>
    </w:p>
    <w:p w:rsidR="00F92C90" w:rsidRDefault="00F92C90" w:rsidP="008414AC">
      <w:pPr>
        <w:pStyle w:val="ListParagraph"/>
        <w:numPr>
          <w:ilvl w:val="0"/>
          <w:numId w:val="1"/>
        </w:numPr>
        <w:spacing w:after="120" w:line="360" w:lineRule="auto"/>
        <w:jc w:val="both"/>
      </w:pPr>
      <w:r>
        <w:t xml:space="preserve">Chapman, P., Clinton, J., Kerber, R., Khabaza, T., Reinartz, T., Shearer, C. and Wirth, R. (2000) </w:t>
      </w:r>
      <w:r w:rsidRPr="005A6F75">
        <w:rPr>
          <w:i/>
          <w:iCs/>
        </w:rPr>
        <w:t>CRISP-DM 1.0: step-by-step data mining guide</w:t>
      </w:r>
      <w:r>
        <w:t>. SPSS Inc.</w:t>
      </w:r>
    </w:p>
    <w:p w:rsidR="00F92C90" w:rsidRDefault="00F92C90" w:rsidP="008414AC">
      <w:pPr>
        <w:pStyle w:val="ListParagraph"/>
        <w:numPr>
          <w:ilvl w:val="0"/>
          <w:numId w:val="1"/>
        </w:numPr>
        <w:spacing w:after="120" w:line="360" w:lineRule="auto"/>
        <w:jc w:val="both"/>
      </w:pPr>
      <w:r>
        <w:t xml:space="preserve">Chen, D., Liang, W., Zhou, K. and Liu, F. (2022) ‘Sales forecasting for fashion products considering lost sales’, </w:t>
      </w:r>
      <w:r w:rsidRPr="005A6F75">
        <w:rPr>
          <w:i/>
          <w:iCs/>
        </w:rPr>
        <w:t>Applied Sciences</w:t>
      </w:r>
      <w:r>
        <w:t>, 12(14), 7081. Available at: https://doi.org/10.3390/app12147081.</w:t>
      </w:r>
    </w:p>
    <w:p w:rsidR="00F92C90" w:rsidRDefault="00F92C90" w:rsidP="008414AC">
      <w:pPr>
        <w:pStyle w:val="ListParagraph"/>
        <w:numPr>
          <w:ilvl w:val="0"/>
          <w:numId w:val="1"/>
        </w:numPr>
        <w:spacing w:after="120" w:line="360" w:lineRule="auto"/>
        <w:jc w:val="both"/>
      </w:pPr>
      <w:r>
        <w:t xml:space="preserve">Eglite, L. and Birzniece, I. (2022) ‘Retail sales forecasting using deep learning: systematic literature review’, </w:t>
      </w:r>
      <w:r w:rsidRPr="005A6F75">
        <w:rPr>
          <w:i/>
          <w:iCs/>
        </w:rPr>
        <w:t>Complex Systems Informatics and Modeling Quarterly</w:t>
      </w:r>
      <w:r>
        <w:t>, 30, pp. 53–62. Available at: https://doi.org/10.7250/csimq.2022-30.03.</w:t>
      </w:r>
    </w:p>
    <w:p w:rsidR="00F92C90" w:rsidRDefault="00F92C90" w:rsidP="008414AC">
      <w:pPr>
        <w:pStyle w:val="ListParagraph"/>
        <w:numPr>
          <w:ilvl w:val="0"/>
          <w:numId w:val="1"/>
        </w:numPr>
        <w:spacing w:after="120" w:line="360" w:lineRule="auto"/>
        <w:jc w:val="both"/>
      </w:pPr>
      <w:r>
        <w:t xml:space="preserve">Emilio, N. (2025) </w:t>
      </w:r>
      <w:r w:rsidRPr="005A6F75">
        <w:rPr>
          <w:i/>
          <w:iCs/>
        </w:rPr>
        <w:t>Data intelligence: how Zara turns data into sales</w:t>
      </w:r>
      <w:r>
        <w:t>. Bismart. Available at: https://blog.bismart.com/en/data-intelligence-retail-zara (Accessed: 24 October 2026).</w:t>
      </w:r>
    </w:p>
    <w:p w:rsidR="00F92C90" w:rsidRDefault="00F92C90" w:rsidP="008414AC">
      <w:pPr>
        <w:pStyle w:val="ListParagraph"/>
        <w:numPr>
          <w:ilvl w:val="0"/>
          <w:numId w:val="1"/>
        </w:numPr>
        <w:spacing w:after="120" w:line="360" w:lineRule="auto"/>
        <w:jc w:val="both"/>
      </w:pPr>
      <w:r>
        <w:t xml:space="preserve">Fildes, R., Ma, S. and Kolassa, S. (2022) ‘Retail forecasting: research and practice’, </w:t>
      </w:r>
      <w:r w:rsidRPr="005A6F75">
        <w:rPr>
          <w:i/>
          <w:iCs/>
        </w:rPr>
        <w:t>International Journal of Forecasting</w:t>
      </w:r>
      <w:r>
        <w:t>, 38(4), pp. 1283–1318. Available at: https://doi.org/10.1016/j.ijforecast.2019.06.004.</w:t>
      </w:r>
    </w:p>
    <w:p w:rsidR="00F92C90" w:rsidRDefault="00F92C90" w:rsidP="008414AC">
      <w:pPr>
        <w:pStyle w:val="ListParagraph"/>
        <w:numPr>
          <w:ilvl w:val="0"/>
          <w:numId w:val="1"/>
        </w:numPr>
        <w:spacing w:after="120" w:line="360" w:lineRule="auto"/>
        <w:jc w:val="both"/>
      </w:pPr>
      <w:r>
        <w:t xml:space="preserve">Giri, C. and Chen, Y. (2022) ‘Deep learning for demand forecasting in the fashion and apparel retail industry’, </w:t>
      </w:r>
      <w:r w:rsidRPr="005A6F75">
        <w:rPr>
          <w:i/>
          <w:iCs/>
        </w:rPr>
        <w:t>Forecasting</w:t>
      </w:r>
      <w:r>
        <w:t>, 4(2), pp. 565–581. Available at: https://doi.org/10.3390/forecast4020031.</w:t>
      </w:r>
    </w:p>
    <w:p w:rsidR="00F92C90" w:rsidRDefault="00F92C90" w:rsidP="008414AC">
      <w:pPr>
        <w:pStyle w:val="ListParagraph"/>
        <w:numPr>
          <w:ilvl w:val="0"/>
          <w:numId w:val="1"/>
        </w:numPr>
        <w:spacing w:after="120" w:line="360" w:lineRule="auto"/>
        <w:jc w:val="both"/>
      </w:pPr>
      <w:r>
        <w:t xml:space="preserve">Hashad, A.A., Wah, K.K., Alnoor, A. and Chew, X. (2024) ‘Exploratory analysis with association rule mining algorithms in the retail industry’, </w:t>
      </w:r>
      <w:r w:rsidRPr="005A6F75">
        <w:rPr>
          <w:i/>
          <w:iCs/>
        </w:rPr>
        <w:t>Malaysian Journal of Computing</w:t>
      </w:r>
      <w:r>
        <w:t>, 9(1), pp. 1746–1758. Available at: https://doi.org/10.24191/mjoc.v9i1.21433.</w:t>
      </w:r>
    </w:p>
    <w:p w:rsidR="00F92C90" w:rsidRDefault="00F92C90" w:rsidP="008414AC">
      <w:pPr>
        <w:pStyle w:val="ListParagraph"/>
        <w:numPr>
          <w:ilvl w:val="0"/>
          <w:numId w:val="1"/>
        </w:numPr>
        <w:spacing w:after="120" w:line="360" w:lineRule="auto"/>
        <w:jc w:val="both"/>
      </w:pPr>
      <w:r>
        <w:lastRenderedPageBreak/>
        <w:t xml:space="preserve">Hsieh, P.-H. (2022) ‘Exploratory analysis of grocery product networks’, </w:t>
      </w:r>
      <w:r w:rsidRPr="005A6F75">
        <w:rPr>
          <w:i/>
          <w:iCs/>
        </w:rPr>
        <w:t>Journal of Management Analytics</w:t>
      </w:r>
      <w:r>
        <w:t>, 9(2), pp. 169–184. Available at: https://doi.org/10.1080/23270012.2022.2072779.</w:t>
      </w:r>
    </w:p>
    <w:p w:rsidR="00F92C90" w:rsidRDefault="00F92C90" w:rsidP="008414AC">
      <w:pPr>
        <w:pStyle w:val="ListParagraph"/>
        <w:numPr>
          <w:ilvl w:val="0"/>
          <w:numId w:val="1"/>
        </w:numPr>
        <w:spacing w:after="120" w:line="360" w:lineRule="auto"/>
        <w:jc w:val="both"/>
      </w:pPr>
      <w:r>
        <w:t xml:space="preserve">Hyndman, R.J. and Athanasopoulos, G. (2021) </w:t>
      </w:r>
      <w:r w:rsidRPr="005A6F75">
        <w:rPr>
          <w:i/>
          <w:iCs/>
        </w:rPr>
        <w:t>Forecasting: principles and practice</w:t>
      </w:r>
      <w:r>
        <w:t>. 3rd edn. Melbourne: OTexts. Available at: https://otexts.com/fpp3/ (Accessed: 24 October 2026).</w:t>
      </w:r>
    </w:p>
    <w:p w:rsidR="00F92C90" w:rsidRDefault="00F92C90" w:rsidP="008414AC">
      <w:pPr>
        <w:pStyle w:val="ListParagraph"/>
        <w:numPr>
          <w:ilvl w:val="0"/>
          <w:numId w:val="1"/>
        </w:numPr>
        <w:spacing w:after="120" w:line="360" w:lineRule="auto"/>
        <w:jc w:val="both"/>
      </w:pPr>
      <w:r>
        <w:t xml:space="preserve">Information Commissioner's Office (2026a) </w:t>
      </w:r>
      <w:r w:rsidRPr="005A6F75">
        <w:rPr>
          <w:i/>
          <w:iCs/>
        </w:rPr>
        <w:t>A guide to lawful basis</w:t>
      </w:r>
      <w:r>
        <w:t>. Available at: https://ico.org.uk/for-organisations/uk-gdpr-guidance-and-resources/lawful-basis/a-guide-to-lawful-basis/ (Accessed: 24 October 2026).</w:t>
      </w:r>
    </w:p>
    <w:p w:rsidR="00F92C90" w:rsidRDefault="00F92C90" w:rsidP="008414AC">
      <w:pPr>
        <w:pStyle w:val="ListParagraph"/>
        <w:numPr>
          <w:ilvl w:val="0"/>
          <w:numId w:val="1"/>
        </w:numPr>
        <w:spacing w:after="120" w:line="360" w:lineRule="auto"/>
        <w:jc w:val="both"/>
      </w:pPr>
      <w:r>
        <w:t xml:space="preserve">Information Commissioner's Office (2026b) </w:t>
      </w:r>
      <w:r w:rsidRPr="005A6F75">
        <w:rPr>
          <w:i/>
          <w:iCs/>
        </w:rPr>
        <w:t>Data protection by design and by default</w:t>
      </w:r>
      <w:r>
        <w:t>. Available at: https://ico.org.uk/for-organisations/uk-gdpr-guidance-and-resources/accountability-and-governance/guide-to-accountability-and-governance/data-protection-by-design-and-by-default (Accessed: 24 October 2026).</w:t>
      </w:r>
    </w:p>
    <w:p w:rsidR="00F92C90" w:rsidRDefault="00F92C90" w:rsidP="008414AC">
      <w:pPr>
        <w:pStyle w:val="ListParagraph"/>
        <w:numPr>
          <w:ilvl w:val="0"/>
          <w:numId w:val="1"/>
        </w:numPr>
        <w:spacing w:after="120" w:line="360" w:lineRule="auto"/>
        <w:jc w:val="both"/>
      </w:pPr>
      <w:r>
        <w:t xml:space="preserve">Information Commissioner's Office (n.d.) </w:t>
      </w:r>
      <w:r w:rsidRPr="005A6F75">
        <w:rPr>
          <w:i/>
          <w:iCs/>
        </w:rPr>
        <w:t>Encryption</w:t>
      </w:r>
      <w:r>
        <w:t>. Available at: https://ico.org.uk/for-organisations/uk-gdpr-guidance-and-resources/security/a-guide-to-data-security/encryption (Accessed: 24 October 2026).</w:t>
      </w:r>
    </w:p>
    <w:p w:rsidR="00F92C90" w:rsidRDefault="00F92C90" w:rsidP="008414AC">
      <w:pPr>
        <w:pStyle w:val="ListParagraph"/>
        <w:numPr>
          <w:ilvl w:val="0"/>
          <w:numId w:val="1"/>
        </w:numPr>
        <w:spacing w:after="120" w:line="360" w:lineRule="auto"/>
        <w:jc w:val="both"/>
      </w:pPr>
      <w:r>
        <w:t xml:space="preserve">Jamarani, A., Haddadi, S., Sarvizadeh, R., Haghi Kashani, M., Akbari, M. and Moradi, S. (2024) ‘Big data and predictive analytics: a systematic review of applications’, </w:t>
      </w:r>
      <w:r w:rsidRPr="005A6F75">
        <w:rPr>
          <w:i/>
          <w:iCs/>
        </w:rPr>
        <w:t>Artificial Intelligence Review</w:t>
      </w:r>
      <w:r>
        <w:t>, 57, 176. Available at: https://doi.org/10.1007/s10462-024-10811-5.</w:t>
      </w:r>
    </w:p>
    <w:p w:rsidR="00F92C90" w:rsidRDefault="00F92C90" w:rsidP="008414AC">
      <w:pPr>
        <w:pStyle w:val="ListParagraph"/>
        <w:numPr>
          <w:ilvl w:val="0"/>
          <w:numId w:val="1"/>
        </w:numPr>
        <w:spacing w:after="120" w:line="360" w:lineRule="auto"/>
        <w:jc w:val="both"/>
      </w:pPr>
      <w:r>
        <w:t xml:space="preserve">Kankaria, G.H. (2023) </w:t>
      </w:r>
      <w:r w:rsidRPr="005A6F75">
        <w:rPr>
          <w:i/>
          <w:iCs/>
        </w:rPr>
        <w:t>Ganit transforms fast fashion apparel retail with intelligent demand forecasting on AWS</w:t>
      </w:r>
      <w:r>
        <w:t>. AWS Partner Network (APN) Blog. Available at: https://aws.amazon.com/blogs/apn/tag/ganit/ (Accessed: 24 October 2026).</w:t>
      </w:r>
    </w:p>
    <w:p w:rsidR="00F92C90" w:rsidRDefault="00F92C90" w:rsidP="008414AC">
      <w:pPr>
        <w:pStyle w:val="ListParagraph"/>
        <w:numPr>
          <w:ilvl w:val="0"/>
          <w:numId w:val="1"/>
        </w:numPr>
        <w:spacing w:after="120" w:line="360" w:lineRule="auto"/>
        <w:jc w:val="both"/>
      </w:pPr>
      <w:r>
        <w:t xml:space="preserve">Kimball, R. and Ross, M. (2013) </w:t>
      </w:r>
      <w:r w:rsidRPr="005A6F75">
        <w:rPr>
          <w:i/>
          <w:iCs/>
        </w:rPr>
        <w:t>The data warehouse toolkit: the definitive guide to dimensional modeling</w:t>
      </w:r>
      <w:r>
        <w:t>. 3rd edn. Hoboken, NJ: Wiley.</w:t>
      </w:r>
    </w:p>
    <w:p w:rsidR="00F92C90" w:rsidRDefault="00F92C90" w:rsidP="008414AC">
      <w:pPr>
        <w:pStyle w:val="ListParagraph"/>
        <w:numPr>
          <w:ilvl w:val="0"/>
          <w:numId w:val="1"/>
        </w:numPr>
        <w:spacing w:after="120" w:line="360" w:lineRule="auto"/>
        <w:jc w:val="both"/>
      </w:pPr>
      <w:r>
        <w:t xml:space="preserve">Microsoft (n.d.) </w:t>
      </w:r>
      <w:r w:rsidRPr="005A6F75">
        <w:rPr>
          <w:i/>
          <w:iCs/>
        </w:rPr>
        <w:t>Power BI pricing</w:t>
      </w:r>
      <w:r>
        <w:t>. Available at: https://www.microsoft.com/en-gb/power-platform/products/power-bi/pricing (Accessed: 24 October 2026).</w:t>
      </w:r>
    </w:p>
    <w:p w:rsidR="00F92C90" w:rsidRDefault="00F92C90" w:rsidP="008414AC">
      <w:pPr>
        <w:pStyle w:val="ListParagraph"/>
        <w:numPr>
          <w:ilvl w:val="0"/>
          <w:numId w:val="1"/>
        </w:numPr>
        <w:spacing w:after="120" w:line="360" w:lineRule="auto"/>
        <w:jc w:val="both"/>
      </w:pPr>
      <w:r>
        <w:t xml:space="preserve">Schröer, C., Kruse, F. and Gómez, J.M. (2021) ‘A systematic literature review on applying CRISP-DM process model’, </w:t>
      </w:r>
      <w:r w:rsidRPr="005A6F75">
        <w:rPr>
          <w:i/>
          <w:iCs/>
        </w:rPr>
        <w:t>Procedia Computer Science</w:t>
      </w:r>
      <w:r>
        <w:t>, 181, pp. 526–534. Available at: https://doi.org/10.1016/j.procs.2021.01.199.</w:t>
      </w:r>
    </w:p>
    <w:p w:rsidR="00F92C90" w:rsidRDefault="00F92C90" w:rsidP="008414AC">
      <w:pPr>
        <w:pStyle w:val="ListParagraph"/>
        <w:numPr>
          <w:ilvl w:val="0"/>
          <w:numId w:val="1"/>
        </w:numPr>
        <w:spacing w:after="120" w:line="360" w:lineRule="auto"/>
        <w:jc w:val="both"/>
      </w:pPr>
      <w:r>
        <w:t xml:space="preserve">Sosandar plc (2026) </w:t>
      </w:r>
      <w:r w:rsidRPr="005A6F75">
        <w:rPr>
          <w:i/>
          <w:iCs/>
        </w:rPr>
        <w:t>Full year trading update</w:t>
      </w:r>
      <w:r>
        <w:t>. 14 April. Available at: https://www.sosandar-ir.com/full-year-trading-update-3/ (Accessed: 24 October 2026).</w:t>
      </w:r>
    </w:p>
    <w:p w:rsidR="00F92C90" w:rsidRDefault="00F92C90" w:rsidP="008414AC">
      <w:pPr>
        <w:pStyle w:val="ListParagraph"/>
        <w:numPr>
          <w:ilvl w:val="0"/>
          <w:numId w:val="1"/>
        </w:numPr>
        <w:spacing w:after="120" w:line="360" w:lineRule="auto"/>
        <w:jc w:val="both"/>
      </w:pPr>
      <w:r>
        <w:lastRenderedPageBreak/>
        <w:t xml:space="preserve">Swaminathan, K. and Venkitasubramony, R. (2024) ‘Demand forecasting for fashion products: a systematic review’, </w:t>
      </w:r>
      <w:r w:rsidRPr="005A6F75">
        <w:rPr>
          <w:i/>
          <w:iCs/>
        </w:rPr>
        <w:t>International Journal of Forecasting</w:t>
      </w:r>
      <w:r>
        <w:t>, 40(1), pp. 247–267. Available at: https://doi.org/10.1016/j.ijforecast.2023.02.005.</w:t>
      </w:r>
    </w:p>
    <w:p w:rsidR="00F92C90" w:rsidRDefault="00F92C90" w:rsidP="008414AC">
      <w:pPr>
        <w:pStyle w:val="ListParagraph"/>
        <w:numPr>
          <w:ilvl w:val="0"/>
          <w:numId w:val="1"/>
        </w:numPr>
        <w:spacing w:after="120" w:line="360" w:lineRule="auto"/>
        <w:jc w:val="both"/>
      </w:pPr>
      <w:r>
        <w:t xml:space="preserve">Velásquez-Henao, J.D. (2025) ‘Emerging trends in retail analytics: a bibliometric analysis of the last decade’, </w:t>
      </w:r>
      <w:r w:rsidRPr="005A6F75">
        <w:rPr>
          <w:i/>
          <w:iCs/>
        </w:rPr>
        <w:t>DYNA</w:t>
      </w:r>
      <w:r>
        <w:t>, 92(237), pp. 16–29. Available at: https://doi.org/10.15446/dyna.v92n237.116880.</w:t>
      </w:r>
    </w:p>
    <w:p w:rsidR="00F92C90" w:rsidRDefault="00F92C90" w:rsidP="008414AC">
      <w:pPr>
        <w:pStyle w:val="ListParagraph"/>
        <w:numPr>
          <w:ilvl w:val="0"/>
          <w:numId w:val="1"/>
        </w:numPr>
        <w:spacing w:line="360" w:lineRule="auto"/>
        <w:jc w:val="both"/>
      </w:pPr>
      <w:r>
        <w:br w:type="page"/>
      </w:r>
    </w:p>
    <w:p w:rsidR="00F92C90" w:rsidRDefault="00F92C90" w:rsidP="005A6F75">
      <w:pPr>
        <w:pStyle w:val="Heading1"/>
      </w:pPr>
      <w:bookmarkStart w:id="10" w:name="_Toc243714110"/>
      <w:r w:rsidRPr="005A6F75">
        <w:lastRenderedPageBreak/>
        <w:t>Appendix</w:t>
      </w:r>
      <w:r w:rsidR="005A6F75">
        <w:t>: Figures</w:t>
      </w:r>
      <w:bookmarkEnd w:id="10"/>
      <w:r w:rsidR="005A6F75">
        <w:t xml:space="preserve"> </w:t>
      </w:r>
    </w:p>
    <w:p w:rsidR="005A6F75" w:rsidRPr="005A6F75" w:rsidRDefault="005A6F75" w:rsidP="005A6F75"/>
    <w:p w:rsidR="00F92C90" w:rsidRDefault="00F92C90" w:rsidP="00F92C90">
      <w:pPr>
        <w:spacing w:before="120" w:after="120"/>
        <w:jc w:val="center"/>
      </w:pPr>
      <w:r>
        <w:rPr>
          <w:noProof/>
        </w:rPr>
        <w:drawing>
          <wp:inline distT="0" distB="0" distL="0" distR="0">
            <wp:extent cx="5305305" cy="3015679"/>
            <wp:effectExtent l="19050" t="0" r="0" b="0"/>
            <wp:docPr id="1" name="Picture 1" descr="C:\Users\hp\AppData\Local\Temp\ksohtml6088\wp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Temp\ksohtml6088\wps1.jpg"/>
                    <pic:cNvPicPr>
                      <a:picLocks noChangeAspect="1" noChangeArrowheads="1"/>
                    </pic:cNvPicPr>
                  </pic:nvPicPr>
                  <pic:blipFill>
                    <a:blip r:embed="rId9"/>
                    <a:srcRect/>
                    <a:stretch>
                      <a:fillRect/>
                    </a:stretch>
                  </pic:blipFill>
                  <pic:spPr bwMode="auto">
                    <a:xfrm>
                      <a:off x="0" y="0"/>
                      <a:ext cx="5307219" cy="3016767"/>
                    </a:xfrm>
                    <a:prstGeom prst="rect">
                      <a:avLst/>
                    </a:prstGeom>
                    <a:noFill/>
                    <a:ln w="9525">
                      <a:noFill/>
                      <a:miter lim="800000"/>
                      <a:headEnd/>
                      <a:tailEnd/>
                    </a:ln>
                  </pic:spPr>
                </pic:pic>
              </a:graphicData>
            </a:graphic>
          </wp:inline>
        </w:drawing>
      </w:r>
      <w:r>
        <w:t xml:space="preserve"> </w:t>
      </w:r>
    </w:p>
    <w:p w:rsidR="00B17431" w:rsidRDefault="00B17431" w:rsidP="00F92C90">
      <w:pPr>
        <w:spacing w:before="120" w:after="120"/>
        <w:jc w:val="center"/>
      </w:pPr>
      <w:r>
        <w:t>Source: Author’s own, created in draw.io</w:t>
      </w:r>
    </w:p>
    <w:p w:rsidR="00F92C90" w:rsidRDefault="00F92C90" w:rsidP="00F92C90">
      <w:r>
        <w:br w:type="page"/>
      </w:r>
    </w:p>
    <w:p w:rsidR="00F92C90" w:rsidRDefault="00F92C90" w:rsidP="00F92C90">
      <w:pPr>
        <w:spacing w:before="120" w:after="120"/>
        <w:jc w:val="center"/>
      </w:pPr>
      <w:r>
        <w:rPr>
          <w:noProof/>
        </w:rPr>
        <w:lastRenderedPageBreak/>
        <w:drawing>
          <wp:inline distT="0" distB="0" distL="0" distR="0">
            <wp:extent cx="5087073" cy="3432855"/>
            <wp:effectExtent l="19050" t="0" r="0" b="0"/>
            <wp:docPr id="2" name="Picture 2" descr="C:\Users\hp\AppData\Local\Temp\ksohtml6088\wp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AppData\Local\Temp\ksohtml6088\wps2.jpg"/>
                    <pic:cNvPicPr>
                      <a:picLocks noChangeAspect="1" noChangeArrowheads="1"/>
                    </pic:cNvPicPr>
                  </pic:nvPicPr>
                  <pic:blipFill>
                    <a:blip r:embed="rId10"/>
                    <a:srcRect/>
                    <a:stretch>
                      <a:fillRect/>
                    </a:stretch>
                  </pic:blipFill>
                  <pic:spPr bwMode="auto">
                    <a:xfrm>
                      <a:off x="0" y="0"/>
                      <a:ext cx="5088902" cy="3434089"/>
                    </a:xfrm>
                    <a:prstGeom prst="rect">
                      <a:avLst/>
                    </a:prstGeom>
                    <a:noFill/>
                    <a:ln w="9525">
                      <a:noFill/>
                      <a:miter lim="800000"/>
                      <a:headEnd/>
                      <a:tailEnd/>
                    </a:ln>
                  </pic:spPr>
                </pic:pic>
              </a:graphicData>
            </a:graphic>
          </wp:inline>
        </w:drawing>
      </w:r>
      <w:r>
        <w:t xml:space="preserve"> </w:t>
      </w:r>
    </w:p>
    <w:p w:rsidR="00B17431" w:rsidRDefault="00F92C90" w:rsidP="00F92C90">
      <w:r>
        <w:br w:type="page"/>
      </w:r>
    </w:p>
    <w:p w:rsidR="00B17431" w:rsidRDefault="00B17431" w:rsidP="00F92C90"/>
    <w:p w:rsidR="00F92C90" w:rsidRDefault="00F92C90" w:rsidP="00F92C90">
      <w:pPr>
        <w:spacing w:before="120" w:after="120"/>
        <w:jc w:val="center"/>
      </w:pPr>
      <w:r>
        <w:rPr>
          <w:noProof/>
        </w:rPr>
        <w:drawing>
          <wp:inline distT="0" distB="0" distL="0" distR="0">
            <wp:extent cx="5166408" cy="3964329"/>
            <wp:effectExtent l="19050" t="0" r="0" b="0"/>
            <wp:docPr id="3" name="Picture 3" descr="C:\Users\hp\AppData\Local\Temp\ksohtml6088\wps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AppData\Local\Temp\ksohtml6088\wps3.jpg"/>
                    <pic:cNvPicPr>
                      <a:picLocks noChangeAspect="1" noChangeArrowheads="1"/>
                    </pic:cNvPicPr>
                  </pic:nvPicPr>
                  <pic:blipFill>
                    <a:blip r:embed="rId11"/>
                    <a:srcRect/>
                    <a:stretch>
                      <a:fillRect/>
                    </a:stretch>
                  </pic:blipFill>
                  <pic:spPr bwMode="auto">
                    <a:xfrm>
                      <a:off x="0" y="0"/>
                      <a:ext cx="5172823" cy="3969251"/>
                    </a:xfrm>
                    <a:prstGeom prst="rect">
                      <a:avLst/>
                    </a:prstGeom>
                    <a:noFill/>
                    <a:ln w="9525">
                      <a:noFill/>
                      <a:miter lim="800000"/>
                      <a:headEnd/>
                      <a:tailEnd/>
                    </a:ln>
                  </pic:spPr>
                </pic:pic>
              </a:graphicData>
            </a:graphic>
          </wp:inline>
        </w:drawing>
      </w:r>
      <w:r>
        <w:t xml:space="preserve"> </w:t>
      </w:r>
    </w:p>
    <w:p w:rsidR="00B17431" w:rsidRDefault="00B17431" w:rsidP="00F92C90"/>
    <w:p w:rsidR="00F92C90" w:rsidRDefault="00B17431" w:rsidP="00F92C90">
      <w:r>
        <w:t>Source: Author’s own, created in Microsoft PowerPoint, adapted from Chapman et al. (2000)</w:t>
      </w:r>
      <w:r w:rsidR="00F92C90">
        <w:br w:type="page"/>
      </w:r>
    </w:p>
    <w:p w:rsidR="00DA741C" w:rsidRDefault="00B17431" w:rsidP="008414AC">
      <w:pPr>
        <w:jc w:val="center"/>
      </w:pPr>
      <w:r>
        <w:rPr>
          <w:noProof/>
        </w:rPr>
        <w:lastRenderedPageBreak/>
        <w:drawing>
          <wp:inline distT="0" distB="0" distL="0" distR="0">
            <wp:extent cx="5937885" cy="3640455"/>
            <wp:effectExtent l="19050" t="0" r="5715" b="0"/>
            <wp:docPr id="37" name="Picture 37" descr="C:\Users\hp\AppData\Local\Microsoft\Windows\INetCache\Content.Word\Figure_A4_dashboard_mocku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hp\AppData\Local\Microsoft\Windows\INetCache\Content.Word\Figure_A4_dashboard_mockup.png"/>
                    <pic:cNvPicPr>
                      <a:picLocks noChangeAspect="1" noChangeArrowheads="1"/>
                    </pic:cNvPicPr>
                  </pic:nvPicPr>
                  <pic:blipFill>
                    <a:blip r:embed="rId12" cstate="print"/>
                    <a:srcRect/>
                    <a:stretch>
                      <a:fillRect/>
                    </a:stretch>
                  </pic:blipFill>
                  <pic:spPr bwMode="auto">
                    <a:xfrm>
                      <a:off x="0" y="0"/>
                      <a:ext cx="5937885" cy="3640455"/>
                    </a:xfrm>
                    <a:prstGeom prst="rect">
                      <a:avLst/>
                    </a:prstGeom>
                    <a:noFill/>
                    <a:ln w="9525">
                      <a:noFill/>
                      <a:miter lim="800000"/>
                      <a:headEnd/>
                      <a:tailEnd/>
                    </a:ln>
                  </pic:spPr>
                </pic:pic>
              </a:graphicData>
            </a:graphic>
          </wp:inline>
        </w:drawing>
      </w:r>
    </w:p>
    <w:p w:rsidR="00B17431" w:rsidRDefault="00B17431"/>
    <w:p w:rsidR="00B17431" w:rsidRDefault="00B17431"/>
    <w:p w:rsidR="00B17431" w:rsidRDefault="00B17431" w:rsidP="008414AC">
      <w:pPr>
        <w:pStyle w:val="Footer"/>
        <w:jc w:val="center"/>
      </w:pPr>
      <w:r>
        <w:t>Source: Author’s own, created in Microsof</w:t>
      </w:r>
      <w:r w:rsidR="008414AC">
        <w:t>t Power BI using simulated data</w:t>
      </w:r>
    </w:p>
    <w:p w:rsidR="00B17431" w:rsidRDefault="00B17431"/>
    <w:sectPr w:rsidR="00B17431" w:rsidSect="0080464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37929" w:rsidRDefault="00E37929" w:rsidP="00B17431">
      <w:r>
        <w:separator/>
      </w:r>
    </w:p>
  </w:endnote>
  <w:endnote w:type="continuationSeparator" w:id="1">
    <w:p w:rsidR="00E37929" w:rsidRDefault="00E37929" w:rsidP="00B1743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37929" w:rsidRDefault="00E37929" w:rsidP="00B17431">
      <w:r>
        <w:separator/>
      </w:r>
    </w:p>
  </w:footnote>
  <w:footnote w:type="continuationSeparator" w:id="1">
    <w:p w:rsidR="00E37929" w:rsidRDefault="00E37929" w:rsidP="00B1743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327318"/>
    <w:multiLevelType w:val="hybridMultilevel"/>
    <w:tmpl w:val="4F9EF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F92C90"/>
    <w:rsid w:val="00141CF6"/>
    <w:rsid w:val="001874CC"/>
    <w:rsid w:val="00302A68"/>
    <w:rsid w:val="00377F01"/>
    <w:rsid w:val="003A1225"/>
    <w:rsid w:val="004B1072"/>
    <w:rsid w:val="00556834"/>
    <w:rsid w:val="005A3B9D"/>
    <w:rsid w:val="005A6F75"/>
    <w:rsid w:val="005D6619"/>
    <w:rsid w:val="00804642"/>
    <w:rsid w:val="00834965"/>
    <w:rsid w:val="008414AC"/>
    <w:rsid w:val="0085023A"/>
    <w:rsid w:val="00AC313B"/>
    <w:rsid w:val="00AD51BD"/>
    <w:rsid w:val="00B17431"/>
    <w:rsid w:val="00B33CD2"/>
    <w:rsid w:val="00CA5A33"/>
    <w:rsid w:val="00CD061B"/>
    <w:rsid w:val="00CE1729"/>
    <w:rsid w:val="00D20019"/>
    <w:rsid w:val="00D65223"/>
    <w:rsid w:val="00DA741C"/>
    <w:rsid w:val="00DC7E63"/>
    <w:rsid w:val="00DE0200"/>
    <w:rsid w:val="00E37929"/>
    <w:rsid w:val="00F92C9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2C90"/>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9"/>
    <w:qFormat/>
    <w:rsid w:val="00F92C90"/>
    <w:pPr>
      <w:spacing w:before="240" w:after="120"/>
      <w:outlineLvl w:val="0"/>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92C90"/>
    <w:rPr>
      <w:rFonts w:ascii="Times New Roman" w:eastAsia="Times New Roman" w:hAnsi="Times New Roman" w:cs="Times New Roman"/>
      <w:b/>
      <w:bCs/>
      <w:sz w:val="28"/>
      <w:szCs w:val="28"/>
    </w:rPr>
  </w:style>
  <w:style w:type="paragraph" w:styleId="BalloonText">
    <w:name w:val="Balloon Text"/>
    <w:basedOn w:val="Normal"/>
    <w:link w:val="BalloonTextChar"/>
    <w:uiPriority w:val="99"/>
    <w:semiHidden/>
    <w:unhideWhenUsed/>
    <w:rsid w:val="00F92C90"/>
    <w:rPr>
      <w:rFonts w:ascii="Tahoma" w:hAnsi="Tahoma" w:cs="Tahoma"/>
      <w:sz w:val="16"/>
      <w:szCs w:val="16"/>
    </w:rPr>
  </w:style>
  <w:style w:type="character" w:customStyle="1" w:styleId="BalloonTextChar">
    <w:name w:val="Balloon Text Char"/>
    <w:basedOn w:val="DefaultParagraphFont"/>
    <w:link w:val="BalloonText"/>
    <w:uiPriority w:val="99"/>
    <w:semiHidden/>
    <w:rsid w:val="00F92C90"/>
    <w:rPr>
      <w:rFonts w:ascii="Tahoma" w:eastAsia="Times New Roman" w:hAnsi="Tahoma" w:cs="Tahoma"/>
      <w:sz w:val="16"/>
      <w:szCs w:val="16"/>
    </w:rPr>
  </w:style>
  <w:style w:type="character" w:customStyle="1" w:styleId="cursor-pointer">
    <w:name w:val="cursor-pointer"/>
    <w:basedOn w:val="DefaultParagraphFont"/>
    <w:rsid w:val="00DE0200"/>
  </w:style>
  <w:style w:type="paragraph" w:styleId="NormalWeb">
    <w:name w:val="Normal (Web)"/>
    <w:basedOn w:val="Normal"/>
    <w:uiPriority w:val="99"/>
    <w:unhideWhenUsed/>
    <w:rsid w:val="005D6619"/>
    <w:pPr>
      <w:spacing w:before="100" w:beforeAutospacing="1" w:after="100" w:afterAutospacing="1"/>
    </w:pPr>
  </w:style>
  <w:style w:type="paragraph" w:styleId="Caption">
    <w:name w:val="caption"/>
    <w:basedOn w:val="Normal"/>
    <w:next w:val="Normal"/>
    <w:uiPriority w:val="35"/>
    <w:unhideWhenUsed/>
    <w:qFormat/>
    <w:rsid w:val="003A1225"/>
    <w:pPr>
      <w:spacing w:after="200"/>
    </w:pPr>
    <w:rPr>
      <w:b/>
      <w:bCs/>
      <w:color w:val="4F81BD" w:themeColor="accent1"/>
      <w:sz w:val="18"/>
      <w:szCs w:val="18"/>
    </w:rPr>
  </w:style>
  <w:style w:type="paragraph" w:styleId="ListParagraph">
    <w:name w:val="List Paragraph"/>
    <w:basedOn w:val="Normal"/>
    <w:uiPriority w:val="34"/>
    <w:qFormat/>
    <w:rsid w:val="005A6F75"/>
    <w:pPr>
      <w:ind w:left="720"/>
      <w:contextualSpacing/>
    </w:pPr>
  </w:style>
  <w:style w:type="paragraph" w:styleId="TOCHeading">
    <w:name w:val="TOC Heading"/>
    <w:basedOn w:val="Heading1"/>
    <w:next w:val="Normal"/>
    <w:uiPriority w:val="39"/>
    <w:semiHidden/>
    <w:unhideWhenUsed/>
    <w:qFormat/>
    <w:rsid w:val="00AC313B"/>
    <w:pPr>
      <w:keepNext/>
      <w:keepLines/>
      <w:spacing w:before="480" w:after="0" w:line="276" w:lineRule="auto"/>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AC313B"/>
    <w:pPr>
      <w:spacing w:after="100"/>
    </w:pPr>
  </w:style>
  <w:style w:type="character" w:styleId="Hyperlink">
    <w:name w:val="Hyperlink"/>
    <w:basedOn w:val="DefaultParagraphFont"/>
    <w:uiPriority w:val="99"/>
    <w:unhideWhenUsed/>
    <w:rsid w:val="00AC313B"/>
    <w:rPr>
      <w:color w:val="0000FF" w:themeColor="hyperlink"/>
      <w:u w:val="single"/>
    </w:rPr>
  </w:style>
  <w:style w:type="paragraph" w:styleId="Header">
    <w:name w:val="header"/>
    <w:basedOn w:val="Normal"/>
    <w:link w:val="HeaderChar"/>
    <w:uiPriority w:val="99"/>
    <w:semiHidden/>
    <w:unhideWhenUsed/>
    <w:rsid w:val="00B17431"/>
    <w:pPr>
      <w:tabs>
        <w:tab w:val="center" w:pos="4680"/>
        <w:tab w:val="right" w:pos="9360"/>
      </w:tabs>
    </w:pPr>
  </w:style>
  <w:style w:type="character" w:customStyle="1" w:styleId="HeaderChar">
    <w:name w:val="Header Char"/>
    <w:basedOn w:val="DefaultParagraphFont"/>
    <w:link w:val="Header"/>
    <w:uiPriority w:val="99"/>
    <w:semiHidden/>
    <w:rsid w:val="00B17431"/>
    <w:rPr>
      <w:rFonts w:ascii="Times New Roman" w:eastAsia="Times New Roman" w:hAnsi="Times New Roman" w:cs="Times New Roman"/>
      <w:sz w:val="24"/>
      <w:szCs w:val="24"/>
    </w:rPr>
  </w:style>
  <w:style w:type="paragraph" w:styleId="Footer">
    <w:name w:val="footer"/>
    <w:basedOn w:val="Normal"/>
    <w:link w:val="FooterChar"/>
    <w:uiPriority w:val="99"/>
    <w:semiHidden/>
    <w:unhideWhenUsed/>
    <w:rsid w:val="00B17431"/>
    <w:pPr>
      <w:tabs>
        <w:tab w:val="center" w:pos="4680"/>
        <w:tab w:val="right" w:pos="9360"/>
      </w:tabs>
    </w:pPr>
  </w:style>
  <w:style w:type="character" w:customStyle="1" w:styleId="FooterChar">
    <w:name w:val="Footer Char"/>
    <w:basedOn w:val="DefaultParagraphFont"/>
    <w:link w:val="Footer"/>
    <w:uiPriority w:val="99"/>
    <w:semiHidden/>
    <w:rsid w:val="00B17431"/>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1453162093">
      <w:bodyDiv w:val="1"/>
      <w:marLeft w:val="0"/>
      <w:marRight w:val="0"/>
      <w:marTop w:val="0"/>
      <w:marBottom w:val="0"/>
      <w:divBdr>
        <w:top w:val="none" w:sz="0" w:space="0" w:color="auto"/>
        <w:left w:val="none" w:sz="0" w:space="0" w:color="auto"/>
        <w:bottom w:val="none" w:sz="0" w:space="0" w:color="auto"/>
        <w:right w:val="none" w:sz="0" w:space="0" w:color="auto"/>
      </w:divBdr>
    </w:div>
    <w:div w:id="1631587908">
      <w:bodyDiv w:val="1"/>
      <w:marLeft w:val="0"/>
      <w:marRight w:val="0"/>
      <w:marTop w:val="0"/>
      <w:marBottom w:val="0"/>
      <w:divBdr>
        <w:top w:val="none" w:sz="0" w:space="0" w:color="auto"/>
        <w:left w:val="none" w:sz="0" w:space="0" w:color="auto"/>
        <w:bottom w:val="none" w:sz="0" w:space="0" w:color="auto"/>
        <w:right w:val="none" w:sz="0" w:space="0" w:color="auto"/>
      </w:divBdr>
    </w:div>
    <w:div w:id="1867593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3459F3-BFDD-428C-8D3A-3138B5D71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16</Pages>
  <Words>3324</Words>
  <Characters>18951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12</cp:revision>
  <dcterms:created xsi:type="dcterms:W3CDTF">2026-10-23T23:52:00Z</dcterms:created>
  <dcterms:modified xsi:type="dcterms:W3CDTF">2026-10-24T01:14:00Z</dcterms:modified>
</cp:coreProperties>
</file>