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E3E2F" w14:textId="4D183405" w:rsidR="42E9F956" w:rsidRDefault="388348FB" w:rsidP="388348FB">
      <w:pPr>
        <w:tabs>
          <w:tab w:val="left" w:pos="2988"/>
        </w:tabs>
        <w:spacing w:line="360" w:lineRule="auto"/>
        <w:jc w:val="center"/>
        <w:rPr>
          <w:rFonts w:eastAsiaTheme="minorEastAsia"/>
          <w:b/>
          <w:bCs/>
          <w:color w:val="252525"/>
          <w:sz w:val="36"/>
          <w:szCs w:val="36"/>
        </w:rPr>
      </w:pPr>
      <w:r w:rsidRPr="388348FB">
        <w:rPr>
          <w:rFonts w:eastAsiaTheme="minorEastAsia"/>
          <w:b/>
          <w:bCs/>
          <w:color w:val="252525"/>
          <w:sz w:val="36"/>
          <w:szCs w:val="36"/>
        </w:rPr>
        <w:t xml:space="preserve">Legal Issues – Fire Safety in the Hotel Industry  </w:t>
      </w:r>
    </w:p>
    <w:p w14:paraId="0D44789D" w14:textId="6F537BB8" w:rsidR="42E9F956" w:rsidRDefault="42E9F956" w:rsidP="388348FB">
      <w:pPr>
        <w:tabs>
          <w:tab w:val="left" w:pos="2988"/>
        </w:tabs>
        <w:spacing w:line="360" w:lineRule="auto"/>
        <w:rPr>
          <w:rFonts w:eastAsiaTheme="minorEastAsia"/>
          <w:b/>
          <w:bCs/>
          <w:color w:val="252525"/>
          <w:sz w:val="24"/>
          <w:szCs w:val="24"/>
        </w:rPr>
      </w:pPr>
    </w:p>
    <w:p w14:paraId="68AC920D" w14:textId="67356AC4" w:rsidR="42E9F956" w:rsidRPr="00942DB9" w:rsidRDefault="00942DB9" w:rsidP="388348FB">
      <w:pPr>
        <w:tabs>
          <w:tab w:val="left" w:pos="2988"/>
        </w:tabs>
        <w:spacing w:line="360" w:lineRule="auto"/>
        <w:rPr>
          <w:rFonts w:eastAsiaTheme="minorEastAsia"/>
          <w:b/>
          <w:bCs/>
          <w:color w:val="252525"/>
          <w:sz w:val="24"/>
          <w:szCs w:val="24"/>
          <w:lang w:val="nl-NL"/>
        </w:rPr>
      </w:pPr>
      <w:r w:rsidRPr="00942DB9">
        <w:rPr>
          <w:rFonts w:eastAsiaTheme="minorEastAsia"/>
          <w:b/>
          <w:bCs/>
          <w:color w:val="252525"/>
          <w:sz w:val="24"/>
          <w:szCs w:val="24"/>
          <w:lang w:val="nl-NL"/>
        </w:rPr>
        <w:t>Student n</w:t>
      </w:r>
      <w:r w:rsidR="388348FB" w:rsidRPr="00942DB9">
        <w:rPr>
          <w:rFonts w:eastAsiaTheme="minorEastAsia"/>
          <w:b/>
          <w:bCs/>
          <w:color w:val="252525"/>
          <w:sz w:val="24"/>
          <w:szCs w:val="24"/>
          <w:lang w:val="nl-NL"/>
        </w:rPr>
        <w:t xml:space="preserve">ame </w:t>
      </w:r>
      <w:r w:rsidRPr="00942DB9">
        <w:rPr>
          <w:rFonts w:eastAsiaTheme="minorEastAsia"/>
          <w:b/>
          <w:bCs/>
          <w:color w:val="252525"/>
          <w:sz w:val="24"/>
          <w:szCs w:val="24"/>
          <w:lang w:val="nl-NL"/>
        </w:rPr>
        <w:t>: Mihai Iulian Drag</w:t>
      </w:r>
      <w:r>
        <w:rPr>
          <w:rFonts w:eastAsiaTheme="minorEastAsia"/>
          <w:b/>
          <w:bCs/>
          <w:color w:val="252525"/>
          <w:sz w:val="24"/>
          <w:szCs w:val="24"/>
          <w:lang w:val="nl-NL"/>
        </w:rPr>
        <w:t>hici</w:t>
      </w:r>
    </w:p>
    <w:p w14:paraId="4466974A" w14:textId="07D951E8" w:rsidR="42E9F956" w:rsidRDefault="00942DB9" w:rsidP="388348FB">
      <w:pPr>
        <w:tabs>
          <w:tab w:val="left" w:pos="2988"/>
        </w:tabs>
        <w:spacing w:line="360" w:lineRule="auto"/>
        <w:rPr>
          <w:rFonts w:eastAsiaTheme="minorEastAsia"/>
          <w:b/>
          <w:bCs/>
          <w:color w:val="252525"/>
          <w:sz w:val="24"/>
          <w:szCs w:val="24"/>
        </w:rPr>
      </w:pPr>
      <w:r>
        <w:rPr>
          <w:rFonts w:eastAsiaTheme="minorEastAsia"/>
          <w:b/>
          <w:bCs/>
          <w:color w:val="252525"/>
          <w:sz w:val="24"/>
          <w:szCs w:val="24"/>
        </w:rPr>
        <w:t>S</w:t>
      </w:r>
      <w:r w:rsidR="388348FB" w:rsidRPr="388348FB">
        <w:rPr>
          <w:rFonts w:eastAsiaTheme="minorEastAsia"/>
          <w:b/>
          <w:bCs/>
          <w:color w:val="252525"/>
          <w:sz w:val="24"/>
          <w:szCs w:val="24"/>
        </w:rPr>
        <w:t xml:space="preserve">tudent ID number </w:t>
      </w:r>
      <w:r>
        <w:rPr>
          <w:rFonts w:eastAsiaTheme="minorEastAsia"/>
          <w:b/>
          <w:bCs/>
          <w:color w:val="252525"/>
          <w:sz w:val="24"/>
          <w:szCs w:val="24"/>
        </w:rPr>
        <w:t>: 2235443</w:t>
      </w:r>
    </w:p>
    <w:p w14:paraId="742CAAB6" w14:textId="7034DA0E" w:rsidR="42E9F956" w:rsidRDefault="00942DB9" w:rsidP="388348FB">
      <w:pPr>
        <w:tabs>
          <w:tab w:val="left" w:pos="2988"/>
        </w:tabs>
        <w:spacing w:line="360" w:lineRule="auto"/>
        <w:rPr>
          <w:rFonts w:eastAsiaTheme="minorEastAsia"/>
          <w:b/>
          <w:bCs/>
          <w:color w:val="252525"/>
          <w:sz w:val="24"/>
          <w:szCs w:val="24"/>
        </w:rPr>
      </w:pPr>
      <w:r>
        <w:rPr>
          <w:rFonts w:eastAsiaTheme="minorEastAsia"/>
          <w:b/>
          <w:bCs/>
          <w:color w:val="252525"/>
          <w:sz w:val="24"/>
          <w:szCs w:val="24"/>
        </w:rPr>
        <w:t>M</w:t>
      </w:r>
      <w:r w:rsidR="388348FB" w:rsidRPr="388348FB">
        <w:rPr>
          <w:rFonts w:eastAsiaTheme="minorEastAsia"/>
          <w:b/>
          <w:bCs/>
          <w:color w:val="252525"/>
          <w:sz w:val="24"/>
          <w:szCs w:val="24"/>
        </w:rPr>
        <w:t xml:space="preserve">odule title: Business Skills BMIH4001 </w:t>
      </w:r>
    </w:p>
    <w:p w14:paraId="1F22BA22" w14:textId="3EEB84C8" w:rsidR="42E9F956" w:rsidRDefault="00942DB9" w:rsidP="388348FB">
      <w:pPr>
        <w:tabs>
          <w:tab w:val="left" w:pos="2988"/>
        </w:tabs>
        <w:spacing w:line="360" w:lineRule="auto"/>
        <w:rPr>
          <w:rFonts w:eastAsiaTheme="minorEastAsia"/>
          <w:b/>
          <w:bCs/>
          <w:color w:val="252525"/>
          <w:sz w:val="24"/>
          <w:szCs w:val="24"/>
        </w:rPr>
      </w:pPr>
      <w:r>
        <w:rPr>
          <w:rFonts w:eastAsiaTheme="minorEastAsia"/>
          <w:b/>
          <w:bCs/>
          <w:color w:val="252525"/>
          <w:sz w:val="24"/>
          <w:szCs w:val="24"/>
        </w:rPr>
        <w:t>L</w:t>
      </w:r>
      <w:r w:rsidR="388348FB" w:rsidRPr="388348FB">
        <w:rPr>
          <w:rFonts w:eastAsiaTheme="minorEastAsia"/>
          <w:b/>
          <w:bCs/>
          <w:color w:val="252525"/>
          <w:sz w:val="24"/>
          <w:szCs w:val="24"/>
        </w:rPr>
        <w:t>ecturer name</w:t>
      </w:r>
      <w:r>
        <w:rPr>
          <w:rFonts w:eastAsiaTheme="minorEastAsia"/>
          <w:b/>
          <w:bCs/>
          <w:color w:val="252525"/>
          <w:sz w:val="24"/>
          <w:szCs w:val="24"/>
        </w:rPr>
        <w:t xml:space="preserve"> : Lan Zhang</w:t>
      </w:r>
    </w:p>
    <w:p w14:paraId="6C51C91E" w14:textId="501DEFE6" w:rsidR="00942DB9" w:rsidRDefault="00942DB9" w:rsidP="388348FB">
      <w:pPr>
        <w:tabs>
          <w:tab w:val="left" w:pos="2988"/>
        </w:tabs>
        <w:spacing w:line="360" w:lineRule="auto"/>
        <w:rPr>
          <w:rFonts w:eastAsiaTheme="minorEastAsia"/>
          <w:b/>
          <w:bCs/>
          <w:sz w:val="32"/>
          <w:szCs w:val="32"/>
        </w:rPr>
      </w:pPr>
      <w:r>
        <w:rPr>
          <w:rFonts w:eastAsiaTheme="minorEastAsia"/>
          <w:b/>
          <w:bCs/>
          <w:color w:val="252525"/>
          <w:sz w:val="24"/>
          <w:szCs w:val="24"/>
        </w:rPr>
        <w:t>Word Count : 408</w:t>
      </w:r>
    </w:p>
    <w:p w14:paraId="2E56F068" w14:textId="3D1CFC31" w:rsidR="42E9F956" w:rsidRDefault="42E9F956" w:rsidP="42E9F956">
      <w:pPr>
        <w:tabs>
          <w:tab w:val="left" w:pos="2988"/>
        </w:tabs>
        <w:spacing w:line="360" w:lineRule="auto"/>
        <w:jc w:val="center"/>
        <w:rPr>
          <w:rFonts w:eastAsiaTheme="minorEastAsia"/>
          <w:b/>
          <w:bCs/>
          <w:color w:val="252525"/>
          <w:sz w:val="32"/>
          <w:szCs w:val="32"/>
        </w:rPr>
      </w:pPr>
    </w:p>
    <w:p w14:paraId="335BADBC" w14:textId="19D721C3" w:rsidR="42E9F956" w:rsidRDefault="42E9F956" w:rsidP="42E9F956">
      <w:pPr>
        <w:tabs>
          <w:tab w:val="left" w:pos="2988"/>
        </w:tabs>
        <w:spacing w:line="360" w:lineRule="auto"/>
        <w:jc w:val="center"/>
        <w:rPr>
          <w:rFonts w:eastAsiaTheme="minorEastAsia"/>
          <w:b/>
          <w:bCs/>
          <w:color w:val="252525"/>
          <w:sz w:val="32"/>
          <w:szCs w:val="32"/>
        </w:rPr>
      </w:pPr>
    </w:p>
    <w:p w14:paraId="1B74F3CE" w14:textId="670C1C09" w:rsidR="42E9F956" w:rsidRDefault="42E9F956" w:rsidP="42E9F956">
      <w:pPr>
        <w:tabs>
          <w:tab w:val="left" w:pos="2988"/>
        </w:tabs>
        <w:spacing w:line="360" w:lineRule="auto"/>
        <w:jc w:val="center"/>
        <w:rPr>
          <w:rFonts w:eastAsiaTheme="minorEastAsia"/>
          <w:b/>
          <w:bCs/>
          <w:color w:val="252525"/>
          <w:sz w:val="32"/>
          <w:szCs w:val="32"/>
        </w:rPr>
      </w:pPr>
    </w:p>
    <w:p w14:paraId="77548E5F" w14:textId="098B5477" w:rsidR="42E9F956" w:rsidRDefault="42E9F956" w:rsidP="42E9F956">
      <w:pPr>
        <w:tabs>
          <w:tab w:val="left" w:pos="2988"/>
        </w:tabs>
        <w:spacing w:line="360" w:lineRule="auto"/>
        <w:jc w:val="center"/>
        <w:rPr>
          <w:rFonts w:eastAsiaTheme="minorEastAsia"/>
          <w:b/>
          <w:bCs/>
          <w:color w:val="252525"/>
          <w:sz w:val="32"/>
          <w:szCs w:val="32"/>
        </w:rPr>
      </w:pPr>
    </w:p>
    <w:p w14:paraId="75A119B3" w14:textId="2D22EC13" w:rsidR="42E9F956" w:rsidRDefault="42E9F956" w:rsidP="42E9F956">
      <w:pPr>
        <w:tabs>
          <w:tab w:val="left" w:pos="2988"/>
        </w:tabs>
        <w:spacing w:line="360" w:lineRule="auto"/>
        <w:jc w:val="center"/>
        <w:rPr>
          <w:rFonts w:eastAsiaTheme="minorEastAsia"/>
          <w:b/>
          <w:bCs/>
          <w:color w:val="252525"/>
          <w:sz w:val="32"/>
          <w:szCs w:val="32"/>
        </w:rPr>
      </w:pPr>
    </w:p>
    <w:p w14:paraId="267B30D9" w14:textId="45607225" w:rsidR="42E9F956" w:rsidRDefault="42E9F956" w:rsidP="42E9F956">
      <w:pPr>
        <w:tabs>
          <w:tab w:val="left" w:pos="2988"/>
        </w:tabs>
        <w:spacing w:line="360" w:lineRule="auto"/>
        <w:jc w:val="center"/>
        <w:rPr>
          <w:rFonts w:eastAsiaTheme="minorEastAsia"/>
          <w:b/>
          <w:bCs/>
          <w:color w:val="252525"/>
          <w:sz w:val="32"/>
          <w:szCs w:val="32"/>
        </w:rPr>
      </w:pPr>
    </w:p>
    <w:p w14:paraId="2143C6E7" w14:textId="09EA45DB" w:rsidR="42E9F956" w:rsidRDefault="42E9F956" w:rsidP="42E9F956">
      <w:pPr>
        <w:tabs>
          <w:tab w:val="left" w:pos="2988"/>
        </w:tabs>
        <w:spacing w:line="360" w:lineRule="auto"/>
        <w:jc w:val="center"/>
        <w:rPr>
          <w:rFonts w:eastAsiaTheme="minorEastAsia"/>
          <w:b/>
          <w:bCs/>
          <w:color w:val="252525"/>
          <w:sz w:val="32"/>
          <w:szCs w:val="32"/>
        </w:rPr>
      </w:pPr>
    </w:p>
    <w:p w14:paraId="6BE57CDC" w14:textId="65DD70D6" w:rsidR="42E9F956" w:rsidRDefault="42E9F956" w:rsidP="42E9F956">
      <w:pPr>
        <w:tabs>
          <w:tab w:val="left" w:pos="2988"/>
        </w:tabs>
        <w:spacing w:line="360" w:lineRule="auto"/>
        <w:jc w:val="center"/>
        <w:rPr>
          <w:rFonts w:eastAsiaTheme="minorEastAsia"/>
          <w:b/>
          <w:bCs/>
          <w:color w:val="252525"/>
          <w:sz w:val="32"/>
          <w:szCs w:val="32"/>
        </w:rPr>
      </w:pPr>
    </w:p>
    <w:p w14:paraId="22AB8266" w14:textId="0C51948A" w:rsidR="42E9F956" w:rsidRDefault="42E9F956" w:rsidP="42E9F956">
      <w:pPr>
        <w:tabs>
          <w:tab w:val="left" w:pos="2988"/>
        </w:tabs>
        <w:spacing w:line="360" w:lineRule="auto"/>
        <w:jc w:val="center"/>
        <w:rPr>
          <w:rFonts w:eastAsiaTheme="minorEastAsia"/>
          <w:b/>
          <w:bCs/>
          <w:color w:val="252525"/>
          <w:sz w:val="32"/>
          <w:szCs w:val="32"/>
        </w:rPr>
      </w:pPr>
    </w:p>
    <w:p w14:paraId="569C5479" w14:textId="732B7F8A" w:rsidR="42E9F956" w:rsidRDefault="42E9F956" w:rsidP="42E9F956">
      <w:pPr>
        <w:tabs>
          <w:tab w:val="left" w:pos="2988"/>
        </w:tabs>
        <w:spacing w:line="360" w:lineRule="auto"/>
        <w:jc w:val="center"/>
        <w:rPr>
          <w:rFonts w:eastAsiaTheme="minorEastAsia"/>
          <w:b/>
          <w:bCs/>
          <w:color w:val="252525"/>
          <w:sz w:val="32"/>
          <w:szCs w:val="32"/>
        </w:rPr>
      </w:pPr>
    </w:p>
    <w:p w14:paraId="5B3EE506" w14:textId="46E606E2" w:rsidR="42E9F956" w:rsidRDefault="42E9F956" w:rsidP="42E9F956">
      <w:pPr>
        <w:tabs>
          <w:tab w:val="left" w:pos="2988"/>
        </w:tabs>
        <w:spacing w:line="360" w:lineRule="auto"/>
        <w:jc w:val="center"/>
        <w:rPr>
          <w:rFonts w:eastAsiaTheme="minorEastAsia"/>
          <w:b/>
          <w:bCs/>
          <w:color w:val="252525"/>
          <w:sz w:val="32"/>
          <w:szCs w:val="32"/>
        </w:rPr>
      </w:pPr>
    </w:p>
    <w:p w14:paraId="1509FEB3" w14:textId="45050F6B" w:rsidR="42E9F956" w:rsidRDefault="42E9F956" w:rsidP="388348FB">
      <w:pPr>
        <w:tabs>
          <w:tab w:val="left" w:pos="2988"/>
        </w:tabs>
        <w:spacing w:line="360" w:lineRule="auto"/>
        <w:jc w:val="center"/>
        <w:rPr>
          <w:rFonts w:eastAsiaTheme="minorEastAsia"/>
          <w:b/>
          <w:bCs/>
          <w:color w:val="252525"/>
          <w:sz w:val="32"/>
          <w:szCs w:val="32"/>
        </w:rPr>
      </w:pPr>
    </w:p>
    <w:p w14:paraId="696D647E" w14:textId="76B2566A" w:rsidR="388348FB" w:rsidRDefault="388348FB" w:rsidP="388348FB">
      <w:pPr>
        <w:tabs>
          <w:tab w:val="left" w:pos="2988"/>
        </w:tabs>
        <w:spacing w:line="360" w:lineRule="auto"/>
        <w:jc w:val="center"/>
        <w:rPr>
          <w:rFonts w:eastAsiaTheme="minorEastAsia"/>
          <w:b/>
          <w:bCs/>
          <w:color w:val="252525"/>
          <w:sz w:val="32"/>
          <w:szCs w:val="32"/>
        </w:rPr>
      </w:pPr>
    </w:p>
    <w:p w14:paraId="51F94EAF" w14:textId="22BD24E0" w:rsidR="42E9F956" w:rsidRDefault="00F531D9" w:rsidP="42E9F956">
      <w:pPr>
        <w:tabs>
          <w:tab w:val="left" w:pos="2988"/>
        </w:tabs>
        <w:spacing w:line="360" w:lineRule="auto"/>
        <w:jc w:val="both"/>
        <w:rPr>
          <w:rFonts w:eastAsiaTheme="minorEastAsia"/>
          <w:color w:val="252525"/>
          <w:sz w:val="24"/>
          <w:szCs w:val="24"/>
        </w:rPr>
      </w:pPr>
      <w:r w:rsidRPr="42E9F956">
        <w:rPr>
          <w:rFonts w:eastAsiaTheme="minorEastAsia"/>
          <w:color w:val="252525"/>
          <w:sz w:val="24"/>
          <w:szCs w:val="24"/>
        </w:rPr>
        <w:lastRenderedPageBreak/>
        <w:t>To protect guests and workers, fire safety is a vital part of the hotel business. Employers and building owners in the UK must assess and manage fire risk under the Regulation Reform (Fire Safety) Order of 2005 (RRFSO). Failure to comply with the RRFSO can lead to fines, jail time, and reputational damage.</w:t>
      </w:r>
    </w:p>
    <w:p w14:paraId="2A7220CC" w14:textId="68930460" w:rsidR="42E9F956" w:rsidRDefault="00F531D9" w:rsidP="42E9F956">
      <w:pPr>
        <w:tabs>
          <w:tab w:val="left" w:pos="2988"/>
        </w:tabs>
        <w:spacing w:line="360" w:lineRule="auto"/>
        <w:jc w:val="both"/>
        <w:rPr>
          <w:rFonts w:eastAsiaTheme="minorEastAsia"/>
          <w:color w:val="252525"/>
          <w:sz w:val="24"/>
          <w:szCs w:val="24"/>
        </w:rPr>
      </w:pPr>
      <w:r w:rsidRPr="42E9F956">
        <w:rPr>
          <w:rFonts w:eastAsiaTheme="minorEastAsia"/>
          <w:color w:val="252525"/>
          <w:sz w:val="24"/>
          <w:szCs w:val="24"/>
        </w:rPr>
        <w:t>Hotel Designs (2023) states that to comply with the RRFSO; hotels must follow specific necessary fire safety standards. Some of these are frequent fire risk assessments, installing and maintaining fire safety gear, and training staff on fire safety. Every hotel room and the public area should have fire safety equipment such as fire alarms, fire extinguishers, and sprinkler systems to detect and extinguish fires fast. Hoteliers should also stay current on fire safety guidelines and requirements. As Baker (2019) highlighted, England's post-construction fire safety laws are changing; therefore, building owners and operators must ensure their constructions comply. After the Grenfell Tower fire, the UK government tightened cladding material restrictions, and hoteliers must comply (BBC News, 2018).</w:t>
      </w:r>
    </w:p>
    <w:p w14:paraId="549773D4" w14:textId="53F5DB1D" w:rsidR="42E9F956" w:rsidRDefault="00F531D9" w:rsidP="42E9F956">
      <w:pPr>
        <w:tabs>
          <w:tab w:val="left" w:pos="2988"/>
        </w:tabs>
        <w:spacing w:line="360" w:lineRule="auto"/>
        <w:jc w:val="both"/>
        <w:rPr>
          <w:rFonts w:eastAsiaTheme="minorEastAsia"/>
          <w:color w:val="252525"/>
          <w:sz w:val="24"/>
          <w:szCs w:val="24"/>
        </w:rPr>
      </w:pPr>
      <w:r w:rsidRPr="42E9F956">
        <w:rPr>
          <w:rFonts w:eastAsiaTheme="minorEastAsia"/>
          <w:color w:val="252525"/>
          <w:sz w:val="24"/>
          <w:szCs w:val="24"/>
        </w:rPr>
        <w:t>In addition, high-rise structures, common in the hotel industry, require careful engineering for fire safety. In order to ensure that their structures are built to reduce the risk of fire and that the necessary safeguards are in place to contain and extinguish fires, building owners and operators should consult with fire safety engineers (Zhang, Jiang and Q. Li, 2018).</w:t>
      </w:r>
    </w:p>
    <w:p w14:paraId="111FF761" w14:textId="208DD2A7" w:rsidR="42E9F956" w:rsidRDefault="00F531D9" w:rsidP="42E9F956">
      <w:pPr>
        <w:tabs>
          <w:tab w:val="left" w:pos="2988"/>
        </w:tabs>
        <w:spacing w:line="360" w:lineRule="auto"/>
        <w:jc w:val="both"/>
        <w:rPr>
          <w:rFonts w:eastAsiaTheme="minorEastAsia"/>
          <w:color w:val="252525"/>
          <w:sz w:val="24"/>
          <w:szCs w:val="24"/>
        </w:rPr>
      </w:pPr>
      <w:r w:rsidRPr="42E9F956">
        <w:rPr>
          <w:rFonts w:eastAsiaTheme="minorEastAsia"/>
          <w:color w:val="252525"/>
          <w:sz w:val="24"/>
          <w:szCs w:val="24"/>
        </w:rPr>
        <w:t>Furthermore, hotel workers must be appropriately trained in fire safety. Hotel workers should share the construction industry's attitude that fire prevention is a shared duty. Workers should be trained in evacuation and fire safety processes and where to obtain and use fire safety equipment (Mohamed et al., 2019).</w:t>
      </w:r>
    </w:p>
    <w:p w14:paraId="10F6E9B2" w14:textId="0C54723B" w:rsidR="42E9F956" w:rsidRDefault="00F531D9" w:rsidP="42E9F956">
      <w:pPr>
        <w:tabs>
          <w:tab w:val="left" w:pos="2988"/>
        </w:tabs>
        <w:spacing w:line="360" w:lineRule="auto"/>
        <w:jc w:val="both"/>
        <w:rPr>
          <w:rFonts w:eastAsiaTheme="minorEastAsia"/>
          <w:color w:val="252525"/>
          <w:sz w:val="24"/>
          <w:szCs w:val="24"/>
        </w:rPr>
      </w:pPr>
      <w:r w:rsidRPr="42E9F956">
        <w:rPr>
          <w:rFonts w:eastAsiaTheme="minorEastAsia"/>
          <w:color w:val="252525"/>
          <w:sz w:val="24"/>
          <w:szCs w:val="24"/>
        </w:rPr>
        <w:t>Finally, fire safety rules must be communicated to visitors. According to (gov. UK) 2008, hotels shall inform guests of fire exits and assembly areas and publish clear instructions on how to escape the building in the event of a fire. Fire extinguishers and alarms should be demonstrated to guests in hotels.</w:t>
      </w:r>
    </w:p>
    <w:p w14:paraId="2430F169" w14:textId="176AABDE" w:rsidR="42E9F956" w:rsidRDefault="00F531D9" w:rsidP="42E9F956">
      <w:pPr>
        <w:tabs>
          <w:tab w:val="left" w:pos="2988"/>
        </w:tabs>
        <w:spacing w:line="360" w:lineRule="auto"/>
        <w:jc w:val="both"/>
        <w:rPr>
          <w:rFonts w:eastAsiaTheme="minorEastAsia"/>
          <w:color w:val="252525"/>
          <w:sz w:val="24"/>
          <w:szCs w:val="24"/>
        </w:rPr>
      </w:pPr>
      <w:r w:rsidRPr="42E9F956">
        <w:rPr>
          <w:rFonts w:eastAsiaTheme="minorEastAsia"/>
          <w:color w:val="252525"/>
          <w:sz w:val="24"/>
          <w:szCs w:val="24"/>
        </w:rPr>
        <w:t>In conclusion, fire safety is vital to the hotel sector, and following the law protects guests and personnel. Building owners and operators should constantly assess fire risk, ensure fire safety equipment is installed and maintained, engage with fire safety engineers, train staff, and teach visitors how to use fire extinguishers (</w:t>
      </w:r>
      <w:proofErr w:type="spellStart"/>
      <w:r w:rsidRPr="42E9F956">
        <w:rPr>
          <w:rFonts w:eastAsiaTheme="minorEastAsia"/>
          <w:color w:val="252525"/>
          <w:sz w:val="24"/>
          <w:szCs w:val="24"/>
        </w:rPr>
        <w:t>Anumba</w:t>
      </w:r>
      <w:proofErr w:type="spellEnd"/>
      <w:r w:rsidRPr="42E9F956">
        <w:rPr>
          <w:rFonts w:eastAsiaTheme="minorEastAsia"/>
          <w:color w:val="252525"/>
          <w:sz w:val="24"/>
          <w:szCs w:val="24"/>
        </w:rPr>
        <w:t xml:space="preserve"> and Bishop, 1997). Fire safety violations </w:t>
      </w:r>
      <w:r w:rsidRPr="42E9F956">
        <w:rPr>
          <w:rFonts w:eastAsiaTheme="minorEastAsia"/>
          <w:color w:val="252525"/>
          <w:sz w:val="24"/>
          <w:szCs w:val="24"/>
        </w:rPr>
        <w:lastRenderedPageBreak/>
        <w:t>can result in fines and jail time for hotels, damaging their reputations. So, hoteliers must prioritise fire safety to protect customers, employees, and operations.</w:t>
      </w:r>
    </w:p>
    <w:p w14:paraId="7C04AD68" w14:textId="32733AE2" w:rsidR="42E9F956" w:rsidRDefault="42E9F956" w:rsidP="42E9F956">
      <w:pPr>
        <w:tabs>
          <w:tab w:val="left" w:pos="2988"/>
        </w:tabs>
        <w:spacing w:line="360" w:lineRule="auto"/>
        <w:jc w:val="both"/>
        <w:rPr>
          <w:color w:val="252525"/>
          <w:sz w:val="24"/>
          <w:szCs w:val="24"/>
        </w:rPr>
      </w:pPr>
    </w:p>
    <w:p w14:paraId="33FF49A1" w14:textId="67A33E66" w:rsidR="42E9F956" w:rsidRDefault="42E9F956" w:rsidP="42E9F956">
      <w:pPr>
        <w:tabs>
          <w:tab w:val="left" w:pos="2988"/>
        </w:tabs>
        <w:spacing w:line="360" w:lineRule="auto"/>
        <w:jc w:val="both"/>
        <w:rPr>
          <w:b/>
          <w:bCs/>
          <w:color w:val="252525"/>
          <w:sz w:val="28"/>
          <w:szCs w:val="28"/>
        </w:rPr>
      </w:pPr>
    </w:p>
    <w:p w14:paraId="4B519B04" w14:textId="577A601A" w:rsidR="42E9F956" w:rsidRDefault="42E9F956" w:rsidP="42E9F956">
      <w:pPr>
        <w:tabs>
          <w:tab w:val="left" w:pos="2988"/>
        </w:tabs>
        <w:spacing w:line="360" w:lineRule="auto"/>
        <w:jc w:val="both"/>
        <w:rPr>
          <w:b/>
          <w:bCs/>
          <w:color w:val="252525"/>
          <w:sz w:val="28"/>
          <w:szCs w:val="28"/>
        </w:rPr>
      </w:pPr>
    </w:p>
    <w:p w14:paraId="54BB2D78" w14:textId="7E6162DA" w:rsidR="42E9F956" w:rsidRDefault="42E9F956" w:rsidP="42E9F956">
      <w:pPr>
        <w:tabs>
          <w:tab w:val="left" w:pos="2988"/>
        </w:tabs>
        <w:spacing w:line="360" w:lineRule="auto"/>
        <w:jc w:val="both"/>
        <w:rPr>
          <w:b/>
          <w:bCs/>
          <w:color w:val="252525"/>
          <w:sz w:val="28"/>
          <w:szCs w:val="28"/>
        </w:rPr>
      </w:pPr>
    </w:p>
    <w:p w14:paraId="46FC39BA" w14:textId="42ACA2D0" w:rsidR="42E9F956" w:rsidRDefault="42E9F956" w:rsidP="42E9F956">
      <w:pPr>
        <w:tabs>
          <w:tab w:val="left" w:pos="2988"/>
        </w:tabs>
        <w:spacing w:line="360" w:lineRule="auto"/>
        <w:jc w:val="both"/>
        <w:rPr>
          <w:b/>
          <w:bCs/>
          <w:color w:val="252525"/>
          <w:sz w:val="28"/>
          <w:szCs w:val="28"/>
        </w:rPr>
      </w:pPr>
    </w:p>
    <w:p w14:paraId="440D6638" w14:textId="1FFBB574" w:rsidR="42E9F956" w:rsidRDefault="42E9F956" w:rsidP="42E9F956">
      <w:pPr>
        <w:tabs>
          <w:tab w:val="left" w:pos="2988"/>
        </w:tabs>
        <w:spacing w:line="360" w:lineRule="auto"/>
        <w:jc w:val="both"/>
        <w:rPr>
          <w:b/>
          <w:bCs/>
          <w:color w:val="252525"/>
          <w:sz w:val="28"/>
          <w:szCs w:val="28"/>
        </w:rPr>
      </w:pPr>
    </w:p>
    <w:p w14:paraId="1EB56EE4" w14:textId="43249CBF" w:rsidR="42E9F956" w:rsidRDefault="42E9F956" w:rsidP="42E9F956">
      <w:pPr>
        <w:tabs>
          <w:tab w:val="left" w:pos="2988"/>
        </w:tabs>
        <w:spacing w:line="360" w:lineRule="auto"/>
        <w:jc w:val="both"/>
        <w:rPr>
          <w:b/>
          <w:bCs/>
          <w:color w:val="252525"/>
          <w:sz w:val="28"/>
          <w:szCs w:val="28"/>
        </w:rPr>
      </w:pPr>
    </w:p>
    <w:p w14:paraId="47BED9B2" w14:textId="3776AD67" w:rsidR="42E9F956" w:rsidRDefault="42E9F956" w:rsidP="42E9F956">
      <w:pPr>
        <w:tabs>
          <w:tab w:val="left" w:pos="2988"/>
        </w:tabs>
        <w:spacing w:line="360" w:lineRule="auto"/>
        <w:jc w:val="both"/>
        <w:rPr>
          <w:b/>
          <w:bCs/>
          <w:color w:val="252525"/>
          <w:sz w:val="28"/>
          <w:szCs w:val="28"/>
        </w:rPr>
      </w:pPr>
    </w:p>
    <w:p w14:paraId="19FAB97A" w14:textId="7B88C98B" w:rsidR="42E9F956" w:rsidRDefault="42E9F956" w:rsidP="42E9F956">
      <w:pPr>
        <w:tabs>
          <w:tab w:val="left" w:pos="2988"/>
        </w:tabs>
        <w:spacing w:line="360" w:lineRule="auto"/>
        <w:jc w:val="both"/>
        <w:rPr>
          <w:b/>
          <w:bCs/>
          <w:color w:val="252525"/>
          <w:sz w:val="28"/>
          <w:szCs w:val="28"/>
        </w:rPr>
      </w:pPr>
    </w:p>
    <w:p w14:paraId="44D82AA8" w14:textId="46902A22" w:rsidR="42E9F956" w:rsidRDefault="42E9F956" w:rsidP="42E9F956">
      <w:pPr>
        <w:tabs>
          <w:tab w:val="left" w:pos="2988"/>
        </w:tabs>
        <w:spacing w:line="360" w:lineRule="auto"/>
        <w:jc w:val="both"/>
        <w:rPr>
          <w:b/>
          <w:bCs/>
          <w:color w:val="252525"/>
          <w:sz w:val="28"/>
          <w:szCs w:val="28"/>
        </w:rPr>
      </w:pPr>
    </w:p>
    <w:p w14:paraId="36B1FF50" w14:textId="452822D5" w:rsidR="42E9F956" w:rsidRDefault="42E9F956" w:rsidP="42E9F956">
      <w:pPr>
        <w:tabs>
          <w:tab w:val="left" w:pos="2988"/>
        </w:tabs>
        <w:spacing w:line="360" w:lineRule="auto"/>
        <w:jc w:val="both"/>
        <w:rPr>
          <w:b/>
          <w:bCs/>
          <w:color w:val="252525"/>
          <w:sz w:val="28"/>
          <w:szCs w:val="28"/>
        </w:rPr>
      </w:pPr>
    </w:p>
    <w:p w14:paraId="65E5B133" w14:textId="38DA7002" w:rsidR="42E9F956" w:rsidRDefault="42E9F956" w:rsidP="42E9F956">
      <w:pPr>
        <w:tabs>
          <w:tab w:val="left" w:pos="2988"/>
        </w:tabs>
        <w:spacing w:line="360" w:lineRule="auto"/>
        <w:jc w:val="both"/>
        <w:rPr>
          <w:b/>
          <w:bCs/>
          <w:color w:val="252525"/>
          <w:sz w:val="28"/>
          <w:szCs w:val="28"/>
        </w:rPr>
      </w:pPr>
    </w:p>
    <w:p w14:paraId="007FF78C" w14:textId="2DBA2374" w:rsidR="42E9F956" w:rsidRDefault="42E9F956" w:rsidP="42E9F956">
      <w:pPr>
        <w:tabs>
          <w:tab w:val="left" w:pos="2988"/>
        </w:tabs>
        <w:spacing w:line="360" w:lineRule="auto"/>
        <w:jc w:val="both"/>
        <w:rPr>
          <w:b/>
          <w:bCs/>
          <w:color w:val="252525"/>
          <w:sz w:val="28"/>
          <w:szCs w:val="28"/>
        </w:rPr>
      </w:pPr>
    </w:p>
    <w:p w14:paraId="3E635A2E" w14:textId="62444FC0" w:rsidR="42E9F956" w:rsidRDefault="42E9F956" w:rsidP="42E9F956">
      <w:pPr>
        <w:tabs>
          <w:tab w:val="left" w:pos="2988"/>
        </w:tabs>
        <w:spacing w:line="360" w:lineRule="auto"/>
        <w:jc w:val="both"/>
        <w:rPr>
          <w:b/>
          <w:bCs/>
          <w:color w:val="252525"/>
          <w:sz w:val="28"/>
          <w:szCs w:val="28"/>
        </w:rPr>
      </w:pPr>
    </w:p>
    <w:p w14:paraId="64E75D49" w14:textId="48490901" w:rsidR="42E9F956" w:rsidRDefault="42E9F956" w:rsidP="42E9F956">
      <w:pPr>
        <w:tabs>
          <w:tab w:val="left" w:pos="2988"/>
        </w:tabs>
        <w:spacing w:line="360" w:lineRule="auto"/>
        <w:jc w:val="both"/>
        <w:rPr>
          <w:b/>
          <w:bCs/>
          <w:color w:val="252525"/>
          <w:sz w:val="28"/>
          <w:szCs w:val="28"/>
        </w:rPr>
      </w:pPr>
    </w:p>
    <w:p w14:paraId="3F5BCDA6" w14:textId="06AF1E5A" w:rsidR="388348FB" w:rsidRDefault="388348FB" w:rsidP="388348FB">
      <w:pPr>
        <w:tabs>
          <w:tab w:val="left" w:pos="2988"/>
        </w:tabs>
        <w:spacing w:line="360" w:lineRule="auto"/>
        <w:jc w:val="both"/>
        <w:rPr>
          <w:b/>
          <w:bCs/>
          <w:color w:val="252525"/>
          <w:sz w:val="28"/>
          <w:szCs w:val="28"/>
        </w:rPr>
      </w:pPr>
    </w:p>
    <w:p w14:paraId="5CE5052A" w14:textId="601CD85A" w:rsidR="388348FB" w:rsidRDefault="388348FB" w:rsidP="388348FB">
      <w:pPr>
        <w:tabs>
          <w:tab w:val="left" w:pos="2988"/>
        </w:tabs>
        <w:spacing w:line="360" w:lineRule="auto"/>
        <w:jc w:val="both"/>
        <w:rPr>
          <w:b/>
          <w:bCs/>
          <w:color w:val="252525"/>
          <w:sz w:val="28"/>
          <w:szCs w:val="28"/>
        </w:rPr>
      </w:pPr>
    </w:p>
    <w:p w14:paraId="55C42BA7" w14:textId="77777777" w:rsidR="00942DB9" w:rsidRDefault="00942DB9" w:rsidP="388348FB">
      <w:pPr>
        <w:tabs>
          <w:tab w:val="left" w:pos="2988"/>
        </w:tabs>
        <w:spacing w:line="360" w:lineRule="auto"/>
        <w:jc w:val="both"/>
        <w:rPr>
          <w:b/>
          <w:bCs/>
          <w:color w:val="252525"/>
          <w:sz w:val="28"/>
          <w:szCs w:val="28"/>
        </w:rPr>
      </w:pPr>
    </w:p>
    <w:p w14:paraId="57B66696" w14:textId="77777777" w:rsidR="00942DB9" w:rsidRDefault="00942DB9" w:rsidP="388348FB">
      <w:pPr>
        <w:tabs>
          <w:tab w:val="left" w:pos="2988"/>
        </w:tabs>
        <w:spacing w:line="360" w:lineRule="auto"/>
        <w:jc w:val="both"/>
        <w:rPr>
          <w:b/>
          <w:bCs/>
          <w:color w:val="252525"/>
          <w:sz w:val="28"/>
          <w:szCs w:val="28"/>
        </w:rPr>
      </w:pPr>
    </w:p>
    <w:p w14:paraId="783A6200" w14:textId="5860D7BD" w:rsidR="42E9F956" w:rsidRDefault="388348FB" w:rsidP="388348FB">
      <w:pPr>
        <w:tabs>
          <w:tab w:val="left" w:pos="2988"/>
        </w:tabs>
        <w:spacing w:line="360" w:lineRule="auto"/>
        <w:jc w:val="both"/>
        <w:rPr>
          <w:b/>
          <w:bCs/>
          <w:color w:val="252525"/>
          <w:sz w:val="28"/>
          <w:szCs w:val="28"/>
        </w:rPr>
      </w:pPr>
      <w:r w:rsidRPr="388348FB">
        <w:rPr>
          <w:b/>
          <w:bCs/>
          <w:color w:val="252525"/>
          <w:sz w:val="28"/>
          <w:szCs w:val="28"/>
        </w:rPr>
        <w:lastRenderedPageBreak/>
        <w:t>References</w:t>
      </w:r>
      <w:r w:rsidR="00942DB9">
        <w:rPr>
          <w:b/>
          <w:bCs/>
          <w:color w:val="252525"/>
          <w:sz w:val="28"/>
          <w:szCs w:val="28"/>
        </w:rPr>
        <w:t>:</w:t>
      </w:r>
    </w:p>
    <w:p w14:paraId="16414867" w14:textId="77777777" w:rsidR="00942DB9" w:rsidRDefault="00942DB9" w:rsidP="388348FB">
      <w:pPr>
        <w:tabs>
          <w:tab w:val="left" w:pos="2988"/>
        </w:tabs>
        <w:spacing w:line="360" w:lineRule="auto"/>
        <w:jc w:val="both"/>
        <w:rPr>
          <w:b/>
          <w:bCs/>
          <w:color w:val="252525"/>
          <w:sz w:val="28"/>
          <w:szCs w:val="28"/>
        </w:rPr>
      </w:pPr>
    </w:p>
    <w:p w14:paraId="3882C143" w14:textId="04AC2711" w:rsidR="42E9F956" w:rsidRDefault="00F531D9" w:rsidP="42E9F956">
      <w:pPr>
        <w:spacing w:line="360" w:lineRule="auto"/>
        <w:ind w:left="720" w:hanging="720"/>
        <w:jc w:val="both"/>
        <w:rPr>
          <w:rFonts w:eastAsiaTheme="minorEastAsia"/>
          <w:sz w:val="24"/>
          <w:szCs w:val="24"/>
        </w:rPr>
      </w:pPr>
      <w:proofErr w:type="spellStart"/>
      <w:r w:rsidRPr="42E9F956">
        <w:rPr>
          <w:rFonts w:eastAsiaTheme="minorEastAsia"/>
          <w:sz w:val="24"/>
          <w:szCs w:val="24"/>
        </w:rPr>
        <w:t>Anumba</w:t>
      </w:r>
      <w:proofErr w:type="spellEnd"/>
      <w:r w:rsidRPr="42E9F956">
        <w:rPr>
          <w:rFonts w:eastAsiaTheme="minorEastAsia"/>
          <w:sz w:val="24"/>
          <w:szCs w:val="24"/>
        </w:rPr>
        <w:t xml:space="preserve">, C. and Bishop, G. (1997). Importance of safety considerations in site layout and organisation. </w:t>
      </w:r>
      <w:r w:rsidRPr="42E9F956">
        <w:rPr>
          <w:rFonts w:eastAsiaTheme="minorEastAsia"/>
          <w:i/>
          <w:iCs/>
          <w:sz w:val="24"/>
          <w:szCs w:val="24"/>
        </w:rPr>
        <w:t>Canadian Journal of Civil Engineering</w:t>
      </w:r>
      <w:r w:rsidRPr="42E9F956">
        <w:rPr>
          <w:rFonts w:eastAsiaTheme="minorEastAsia"/>
          <w:sz w:val="24"/>
          <w:szCs w:val="24"/>
        </w:rPr>
        <w:t xml:space="preserve">, 24(2), pp.229–236. </w:t>
      </w:r>
      <w:proofErr w:type="spellStart"/>
      <w:r w:rsidRPr="42E9F956">
        <w:rPr>
          <w:rFonts w:eastAsiaTheme="minorEastAsia"/>
          <w:sz w:val="24"/>
          <w:szCs w:val="24"/>
        </w:rPr>
        <w:t>doi:https</w:t>
      </w:r>
      <w:proofErr w:type="spellEnd"/>
      <w:r w:rsidRPr="42E9F956">
        <w:rPr>
          <w:rFonts w:eastAsiaTheme="minorEastAsia"/>
          <w:sz w:val="24"/>
          <w:szCs w:val="24"/>
        </w:rPr>
        <w:t>://doi.org/10.1139/l96-100.</w:t>
      </w:r>
    </w:p>
    <w:p w14:paraId="16E2997C" w14:textId="0C6A4AC7" w:rsidR="42E9F956" w:rsidRDefault="00F531D9" w:rsidP="42E9F956">
      <w:pPr>
        <w:spacing w:line="360" w:lineRule="auto"/>
        <w:ind w:left="720" w:hanging="720"/>
        <w:jc w:val="both"/>
        <w:rPr>
          <w:rFonts w:eastAsiaTheme="minorEastAsia"/>
          <w:sz w:val="24"/>
          <w:szCs w:val="24"/>
        </w:rPr>
      </w:pPr>
      <w:r w:rsidRPr="42E9F956">
        <w:rPr>
          <w:rFonts w:eastAsiaTheme="minorEastAsia"/>
          <w:sz w:val="24"/>
          <w:szCs w:val="24"/>
        </w:rPr>
        <w:t xml:space="preserve">Baker, AJ (2019). 'Suitable and sufficient'? UK regulation of post-construction fire safety. </w:t>
      </w:r>
      <w:r w:rsidRPr="42E9F956">
        <w:rPr>
          <w:rFonts w:eastAsiaTheme="minorEastAsia"/>
          <w:i/>
          <w:iCs/>
          <w:sz w:val="24"/>
          <w:szCs w:val="24"/>
        </w:rPr>
        <w:t>Ed.ac.uk</w:t>
      </w:r>
      <w:r w:rsidRPr="42E9F956">
        <w:rPr>
          <w:rFonts w:eastAsiaTheme="minorEastAsia"/>
          <w:sz w:val="24"/>
          <w:szCs w:val="24"/>
        </w:rPr>
        <w:t xml:space="preserve">. [online] </w:t>
      </w:r>
      <w:proofErr w:type="spellStart"/>
      <w:r w:rsidRPr="42E9F956">
        <w:rPr>
          <w:rFonts w:eastAsiaTheme="minorEastAsia"/>
          <w:sz w:val="24"/>
          <w:szCs w:val="24"/>
        </w:rPr>
        <w:t>doi:http</w:t>
      </w:r>
      <w:proofErr w:type="spellEnd"/>
      <w:r w:rsidRPr="42E9F956">
        <w:rPr>
          <w:rFonts w:eastAsiaTheme="minorEastAsia"/>
          <w:sz w:val="24"/>
          <w:szCs w:val="24"/>
        </w:rPr>
        <w:t>://hdl.handle.net/1842/35809.</w:t>
      </w:r>
    </w:p>
    <w:p w14:paraId="13B1F88C" w14:textId="5F4781D2" w:rsidR="42E9F956" w:rsidRDefault="00F531D9" w:rsidP="42E9F956">
      <w:pPr>
        <w:spacing w:line="360" w:lineRule="auto"/>
        <w:ind w:left="720" w:hanging="720"/>
        <w:jc w:val="both"/>
        <w:rPr>
          <w:rFonts w:eastAsiaTheme="minorEastAsia"/>
          <w:sz w:val="24"/>
          <w:szCs w:val="24"/>
        </w:rPr>
      </w:pPr>
      <w:r w:rsidRPr="42E9F956">
        <w:rPr>
          <w:rFonts w:eastAsiaTheme="minorEastAsia"/>
          <w:sz w:val="24"/>
          <w:szCs w:val="24"/>
        </w:rPr>
        <w:t xml:space="preserve">BBC News (2018). Grenfell Tower: What happened. </w:t>
      </w:r>
      <w:r w:rsidRPr="42E9F956">
        <w:rPr>
          <w:rFonts w:eastAsiaTheme="minorEastAsia"/>
          <w:i/>
          <w:iCs/>
          <w:sz w:val="24"/>
          <w:szCs w:val="24"/>
        </w:rPr>
        <w:t>BBC News</w:t>
      </w:r>
      <w:r w:rsidRPr="42E9F956">
        <w:rPr>
          <w:rFonts w:eastAsiaTheme="minorEastAsia"/>
          <w:sz w:val="24"/>
          <w:szCs w:val="24"/>
        </w:rPr>
        <w:t xml:space="preserve">. [online] 18 Jun. Available at: </w:t>
      </w:r>
      <w:hyperlink r:id="rId4">
        <w:r w:rsidRPr="42E9F956">
          <w:rPr>
            <w:rStyle w:val="Hyperlink"/>
            <w:rFonts w:eastAsiaTheme="minorEastAsia"/>
            <w:sz w:val="24"/>
            <w:szCs w:val="24"/>
          </w:rPr>
          <w:t>https://www.bbc.com/news/uk-40301289</w:t>
        </w:r>
      </w:hyperlink>
      <w:r w:rsidRPr="42E9F956">
        <w:rPr>
          <w:rFonts w:eastAsiaTheme="minorEastAsia"/>
          <w:sz w:val="24"/>
          <w:szCs w:val="24"/>
        </w:rPr>
        <w:t>.</w:t>
      </w:r>
    </w:p>
    <w:p w14:paraId="0D5A0192" w14:textId="09E9F117" w:rsidR="42E9F956" w:rsidRDefault="00F531D9" w:rsidP="42E9F956">
      <w:pPr>
        <w:spacing w:line="360" w:lineRule="auto"/>
        <w:ind w:left="720" w:hanging="720"/>
        <w:jc w:val="both"/>
        <w:rPr>
          <w:rFonts w:eastAsiaTheme="minorEastAsia"/>
          <w:sz w:val="24"/>
          <w:szCs w:val="24"/>
        </w:rPr>
      </w:pPr>
      <w:r w:rsidRPr="42E9F956">
        <w:rPr>
          <w:rFonts w:eastAsiaTheme="minorEastAsia"/>
          <w:sz w:val="24"/>
          <w:szCs w:val="24"/>
        </w:rPr>
        <w:t xml:space="preserve">gov.uk (2008). </w:t>
      </w:r>
      <w:r w:rsidRPr="42E9F956">
        <w:rPr>
          <w:rFonts w:eastAsiaTheme="minorEastAsia"/>
          <w:i/>
          <w:iCs/>
          <w:sz w:val="24"/>
          <w:szCs w:val="24"/>
        </w:rPr>
        <w:t>Fire safety: guidance for the hospitality industry</w:t>
      </w:r>
      <w:r w:rsidRPr="42E9F956">
        <w:rPr>
          <w:rFonts w:eastAsiaTheme="minorEastAsia"/>
          <w:sz w:val="24"/>
          <w:szCs w:val="24"/>
        </w:rPr>
        <w:t xml:space="preserve">. [online] GOV.UK. Available at: </w:t>
      </w:r>
      <w:hyperlink r:id="rId5">
        <w:r w:rsidRPr="42E9F956">
          <w:rPr>
            <w:rStyle w:val="Hyperlink"/>
            <w:rFonts w:eastAsiaTheme="minorEastAsia"/>
            <w:sz w:val="24"/>
            <w:szCs w:val="24"/>
          </w:rPr>
          <w:t>https://www.gov.uk/government/publications/do-you-have-paying-guests</w:t>
        </w:r>
      </w:hyperlink>
      <w:r w:rsidRPr="42E9F956">
        <w:rPr>
          <w:rFonts w:eastAsiaTheme="minorEastAsia"/>
          <w:sz w:val="24"/>
          <w:szCs w:val="24"/>
        </w:rPr>
        <w:t>.</w:t>
      </w:r>
    </w:p>
    <w:p w14:paraId="751C9D59" w14:textId="27021C55" w:rsidR="42E9F956" w:rsidRDefault="00F531D9" w:rsidP="42E9F956">
      <w:pPr>
        <w:spacing w:line="360" w:lineRule="auto"/>
        <w:ind w:left="720" w:hanging="720"/>
        <w:jc w:val="both"/>
        <w:rPr>
          <w:rFonts w:eastAsiaTheme="minorEastAsia"/>
          <w:sz w:val="24"/>
          <w:szCs w:val="24"/>
        </w:rPr>
      </w:pPr>
      <w:r w:rsidRPr="42E9F956">
        <w:rPr>
          <w:rFonts w:eastAsiaTheme="minorEastAsia"/>
          <w:sz w:val="24"/>
          <w:szCs w:val="24"/>
        </w:rPr>
        <w:t xml:space="preserve">Hotel Designs (2023). </w:t>
      </w:r>
      <w:r w:rsidRPr="42E9F956">
        <w:rPr>
          <w:rFonts w:eastAsiaTheme="minorEastAsia"/>
          <w:i/>
          <w:iCs/>
          <w:sz w:val="24"/>
          <w:szCs w:val="24"/>
        </w:rPr>
        <w:t>A guide to hotel design Pt 28: Essential fire safety protocols all hotels should follow • Hotel Designs</w:t>
      </w:r>
      <w:r w:rsidRPr="42E9F956">
        <w:rPr>
          <w:rFonts w:eastAsiaTheme="minorEastAsia"/>
          <w:sz w:val="24"/>
          <w:szCs w:val="24"/>
        </w:rPr>
        <w:t xml:space="preserve">. [online] Hotel Designs. Available at: </w:t>
      </w:r>
      <w:hyperlink r:id="rId6">
        <w:r w:rsidRPr="42E9F956">
          <w:rPr>
            <w:rStyle w:val="Hyperlink"/>
            <w:rFonts w:eastAsiaTheme="minorEastAsia"/>
            <w:sz w:val="24"/>
            <w:szCs w:val="24"/>
          </w:rPr>
          <w:t>https://hoteldesigns.net/essential-fire-safety-protocols-all-hotels-should-follow/</w:t>
        </w:r>
      </w:hyperlink>
      <w:r w:rsidRPr="42E9F956">
        <w:rPr>
          <w:rFonts w:eastAsiaTheme="minorEastAsia"/>
          <w:sz w:val="24"/>
          <w:szCs w:val="24"/>
        </w:rPr>
        <w:t>.</w:t>
      </w:r>
    </w:p>
    <w:p w14:paraId="3D02D3C2" w14:textId="3B08EF68" w:rsidR="42E9F956" w:rsidRDefault="00F531D9" w:rsidP="42E9F956">
      <w:pPr>
        <w:spacing w:line="360" w:lineRule="auto"/>
        <w:ind w:left="720" w:hanging="720"/>
        <w:jc w:val="both"/>
        <w:rPr>
          <w:rFonts w:eastAsiaTheme="minorEastAsia"/>
          <w:sz w:val="24"/>
          <w:szCs w:val="24"/>
        </w:rPr>
      </w:pPr>
      <w:r w:rsidRPr="42E9F956">
        <w:rPr>
          <w:rFonts w:eastAsiaTheme="minorEastAsia"/>
          <w:sz w:val="24"/>
          <w:szCs w:val="24"/>
        </w:rPr>
        <w:t xml:space="preserve">legislation.gov.uk (2005). </w:t>
      </w:r>
      <w:r w:rsidRPr="42E9F956">
        <w:rPr>
          <w:rFonts w:eastAsiaTheme="minorEastAsia"/>
          <w:i/>
          <w:iCs/>
          <w:sz w:val="24"/>
          <w:szCs w:val="24"/>
        </w:rPr>
        <w:t>The Regulatory Reform (Fire Safety) Order 2005</w:t>
      </w:r>
      <w:r w:rsidRPr="42E9F956">
        <w:rPr>
          <w:rFonts w:eastAsiaTheme="minorEastAsia"/>
          <w:sz w:val="24"/>
          <w:szCs w:val="24"/>
        </w:rPr>
        <w:t xml:space="preserve">. [online] </w:t>
      </w:r>
      <w:hyperlink>
        <w:r w:rsidRPr="42E9F956">
          <w:rPr>
            <w:rStyle w:val="Hyperlink"/>
            <w:rFonts w:eastAsiaTheme="minorEastAsia"/>
            <w:sz w:val="24"/>
            <w:szCs w:val="24"/>
          </w:rPr>
          <w:t>www.legislation.gov.uk</w:t>
        </w:r>
      </w:hyperlink>
      <w:r w:rsidRPr="42E9F956">
        <w:rPr>
          <w:rFonts w:eastAsiaTheme="minorEastAsia"/>
          <w:sz w:val="24"/>
          <w:szCs w:val="24"/>
        </w:rPr>
        <w:t xml:space="preserve">. Available at: </w:t>
      </w:r>
      <w:hyperlink r:id="rId7">
        <w:r w:rsidRPr="42E9F956">
          <w:rPr>
            <w:rStyle w:val="Hyperlink"/>
            <w:rFonts w:eastAsiaTheme="minorEastAsia"/>
            <w:sz w:val="24"/>
            <w:szCs w:val="24"/>
          </w:rPr>
          <w:t>https://www.legislation.gov.uk/uksi/2005/1541/contents/made</w:t>
        </w:r>
      </w:hyperlink>
      <w:r w:rsidRPr="42E9F956">
        <w:rPr>
          <w:rFonts w:eastAsiaTheme="minorEastAsia"/>
          <w:sz w:val="24"/>
          <w:szCs w:val="24"/>
        </w:rPr>
        <w:t>.</w:t>
      </w:r>
    </w:p>
    <w:p w14:paraId="4E1DBD53" w14:textId="0B430ED2" w:rsidR="42E9F956" w:rsidRDefault="00F531D9" w:rsidP="42E9F956">
      <w:pPr>
        <w:spacing w:line="360" w:lineRule="auto"/>
        <w:ind w:left="720" w:hanging="720"/>
        <w:jc w:val="both"/>
        <w:rPr>
          <w:rFonts w:eastAsiaTheme="minorEastAsia"/>
          <w:sz w:val="24"/>
          <w:szCs w:val="24"/>
        </w:rPr>
      </w:pPr>
      <w:r w:rsidRPr="42E9F956">
        <w:rPr>
          <w:rFonts w:eastAsiaTheme="minorEastAsia"/>
          <w:sz w:val="24"/>
          <w:szCs w:val="24"/>
        </w:rPr>
        <w:t xml:space="preserve">Mohamed, I.F., Edwards, D.J., Mateo-Garcia, M., Costin, G. and </w:t>
      </w:r>
      <w:proofErr w:type="spellStart"/>
      <w:r w:rsidRPr="42E9F956">
        <w:rPr>
          <w:rFonts w:eastAsiaTheme="minorEastAsia"/>
          <w:sz w:val="24"/>
          <w:szCs w:val="24"/>
        </w:rPr>
        <w:t>Thwala</w:t>
      </w:r>
      <w:proofErr w:type="spellEnd"/>
      <w:r w:rsidRPr="42E9F956">
        <w:rPr>
          <w:rFonts w:eastAsiaTheme="minorEastAsia"/>
          <w:sz w:val="24"/>
          <w:szCs w:val="24"/>
        </w:rPr>
        <w:t xml:space="preserve">, W.D.D. (2019). An investigation into the construction industry’s view on fire prevention in high-rise buildings post Grenfell. </w:t>
      </w:r>
      <w:r w:rsidRPr="42E9F956">
        <w:rPr>
          <w:rFonts w:eastAsiaTheme="minorEastAsia"/>
          <w:i/>
          <w:iCs/>
          <w:sz w:val="24"/>
          <w:szCs w:val="24"/>
        </w:rPr>
        <w:t>International Journal of Building Pathology and Adaptation</w:t>
      </w:r>
      <w:r w:rsidRPr="42E9F956">
        <w:rPr>
          <w:rFonts w:eastAsiaTheme="minorEastAsia"/>
          <w:sz w:val="24"/>
          <w:szCs w:val="24"/>
        </w:rPr>
        <w:t xml:space="preserve">, 38(3), pp.451–471. </w:t>
      </w:r>
      <w:proofErr w:type="spellStart"/>
      <w:r w:rsidRPr="42E9F956">
        <w:rPr>
          <w:rFonts w:eastAsiaTheme="minorEastAsia"/>
          <w:sz w:val="24"/>
          <w:szCs w:val="24"/>
        </w:rPr>
        <w:t>doi:https</w:t>
      </w:r>
      <w:proofErr w:type="spellEnd"/>
      <w:r w:rsidRPr="42E9F956">
        <w:rPr>
          <w:rFonts w:eastAsiaTheme="minorEastAsia"/>
          <w:sz w:val="24"/>
          <w:szCs w:val="24"/>
        </w:rPr>
        <w:t>://doi.org/10.1108/ijbpa-05-2019-0048.</w:t>
      </w:r>
    </w:p>
    <w:p w14:paraId="0D1C682C" w14:textId="746DCCAF" w:rsidR="42E9F956" w:rsidRDefault="00F531D9" w:rsidP="42E9F956">
      <w:pPr>
        <w:spacing w:line="360" w:lineRule="auto"/>
        <w:ind w:left="720" w:hanging="720"/>
        <w:jc w:val="both"/>
        <w:rPr>
          <w:rFonts w:eastAsiaTheme="minorEastAsia"/>
          <w:sz w:val="24"/>
          <w:szCs w:val="24"/>
        </w:rPr>
      </w:pPr>
      <w:r w:rsidRPr="42E9F956">
        <w:rPr>
          <w:rFonts w:eastAsiaTheme="minorEastAsia"/>
          <w:sz w:val="24"/>
          <w:szCs w:val="24"/>
        </w:rPr>
        <w:t xml:space="preserve">Zhang, C., Jiang, J. and Q. Li, G. (2018). </w:t>
      </w:r>
      <w:r w:rsidRPr="42E9F956">
        <w:rPr>
          <w:rFonts w:eastAsiaTheme="minorEastAsia"/>
          <w:i/>
          <w:iCs/>
          <w:sz w:val="24"/>
          <w:szCs w:val="24"/>
        </w:rPr>
        <w:t>A review on fire safety engineering: Key issues for high-rise buildings</w:t>
      </w:r>
      <w:r w:rsidRPr="42E9F956">
        <w:rPr>
          <w:rFonts w:eastAsiaTheme="minorEastAsia"/>
          <w:sz w:val="24"/>
          <w:szCs w:val="24"/>
        </w:rPr>
        <w:t xml:space="preserve">. [online] Available at: </w:t>
      </w:r>
      <w:hyperlink r:id="rId8">
        <w:r w:rsidRPr="42E9F956">
          <w:rPr>
            <w:rStyle w:val="Hyperlink"/>
            <w:rFonts w:eastAsiaTheme="minorEastAsia"/>
            <w:sz w:val="24"/>
            <w:szCs w:val="24"/>
          </w:rPr>
          <w:t>https://www.researchgate.net/publication/329733209_A_review_on_fire_safety_engineering_Key_issues_for_high-rise_buildings</w:t>
        </w:r>
      </w:hyperlink>
      <w:r w:rsidRPr="42E9F956">
        <w:rPr>
          <w:rFonts w:eastAsiaTheme="minorEastAsia"/>
          <w:sz w:val="24"/>
          <w:szCs w:val="24"/>
        </w:rPr>
        <w:t>.</w:t>
      </w:r>
    </w:p>
    <w:p w14:paraId="46F1A514" w14:textId="5A634D07" w:rsidR="42E9F956" w:rsidRDefault="00F531D9" w:rsidP="42E9F956">
      <w:pPr>
        <w:tabs>
          <w:tab w:val="left" w:pos="2988"/>
        </w:tabs>
        <w:spacing w:line="360" w:lineRule="auto"/>
        <w:jc w:val="both"/>
        <w:rPr>
          <w:b/>
          <w:bCs/>
          <w:color w:val="252525"/>
          <w:sz w:val="28"/>
          <w:szCs w:val="28"/>
        </w:rPr>
      </w:pPr>
      <w:r w:rsidRPr="42E9F956">
        <w:rPr>
          <w:b/>
          <w:bCs/>
          <w:color w:val="252525"/>
          <w:sz w:val="28"/>
          <w:szCs w:val="28"/>
        </w:rPr>
        <w:t xml:space="preserve"> </w:t>
      </w:r>
    </w:p>
    <w:sectPr w:rsidR="42E9F9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77D7"/>
    <w:rsid w:val="00194D02"/>
    <w:rsid w:val="005B77D7"/>
    <w:rsid w:val="00895507"/>
    <w:rsid w:val="00942DB9"/>
    <w:rsid w:val="00F531D9"/>
    <w:rsid w:val="388348FB"/>
    <w:rsid w:val="42E9F9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E335C"/>
  <w15:chartTrackingRefBased/>
  <w15:docId w15:val="{2A197C07-BA22-49A2-88ED-DD1D8D9F4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29733209_A_review_on_fire_safety_engineering_Key_issues_for_high-rise_buildings" TargetMode="External"/><Relationship Id="rId3" Type="http://schemas.openxmlformats.org/officeDocument/2006/relationships/webSettings" Target="webSettings.xml"/><Relationship Id="rId7" Type="http://schemas.openxmlformats.org/officeDocument/2006/relationships/hyperlink" Target="https://www.legislation.gov.uk/uksi/2005/1541/contents/mad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oteldesigns.net/essential-fire-safety-protocols-all-hotels-should-follow/" TargetMode="External"/><Relationship Id="rId5" Type="http://schemas.openxmlformats.org/officeDocument/2006/relationships/hyperlink" Target="https://www.gov.uk/government/publications/do-you-have-paying-guests" TargetMode="External"/><Relationship Id="rId10" Type="http://schemas.openxmlformats.org/officeDocument/2006/relationships/theme" Target="theme/theme1.xml"/><Relationship Id="rId4" Type="http://schemas.openxmlformats.org/officeDocument/2006/relationships/hyperlink" Target="https://www.bbc.com/news/uk-40301289"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752</Words>
  <Characters>4289</Characters>
  <Application>Microsoft Office Word</Application>
  <DocSecurity>0</DocSecurity>
  <Lines>35</Lines>
  <Paragraphs>10</Paragraphs>
  <ScaleCrop>false</ScaleCrop>
  <Company/>
  <LinksUpToDate>false</LinksUpToDate>
  <CharactersWithSpaces>5031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roh34</dc:creator>
  <cp:lastModifiedBy>Mihai Iulian Draghici (2235443)</cp:lastModifiedBy>
  <cp:revision>2</cp:revision>
  <dcterms:created xsi:type="dcterms:W3CDTF">2023-02-22T12:17:00Z</dcterms:created>
  <dcterms:modified xsi:type="dcterms:W3CDTF">2023-02-22T12:17:00Z</dcterms:modified>
</cp:coreProperties>
</file>