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E94A20" w14:textId="77777777" w:rsidR="00A55224" w:rsidRDefault="00A55224"/>
    <w:p w14:paraId="3B431180" w14:textId="77777777" w:rsidR="00292D49" w:rsidRPr="00292D49" w:rsidRDefault="00292D49">
      <w:pPr>
        <w:rPr>
          <w:rFonts w:ascii="Arial" w:hAnsi="Arial" w:cs="Arial"/>
        </w:rPr>
      </w:pPr>
    </w:p>
    <w:p w14:paraId="7D54353D" w14:textId="77777777" w:rsidR="00292D49" w:rsidRPr="00292D49" w:rsidRDefault="00292D49" w:rsidP="00292D49">
      <w:pPr>
        <w:spacing w:line="360" w:lineRule="auto"/>
        <w:rPr>
          <w:rFonts w:ascii="Arial" w:hAnsi="Arial" w:cs="Arial"/>
        </w:rPr>
      </w:pPr>
    </w:p>
    <w:p w14:paraId="7C7DD837" w14:textId="77777777" w:rsidR="00292D49" w:rsidRPr="00292D49" w:rsidRDefault="00292D49" w:rsidP="00292D49">
      <w:pPr>
        <w:spacing w:line="360" w:lineRule="auto"/>
        <w:rPr>
          <w:rFonts w:ascii="Arial" w:hAnsi="Arial" w:cs="Arial"/>
        </w:rPr>
      </w:pPr>
    </w:p>
    <w:p w14:paraId="24AF8FAB" w14:textId="7E2751AF" w:rsidR="00292D49" w:rsidRPr="00292D49" w:rsidRDefault="00292D49" w:rsidP="00292D49">
      <w:pPr>
        <w:spacing w:line="360" w:lineRule="auto"/>
        <w:rPr>
          <w:rFonts w:ascii="Arial" w:hAnsi="Arial" w:cs="Arial"/>
        </w:rPr>
      </w:pPr>
      <w:r w:rsidRPr="00292D49">
        <w:rPr>
          <w:rFonts w:ascii="Arial" w:hAnsi="Arial" w:cs="Arial"/>
        </w:rPr>
        <w:t>AI Statement</w:t>
      </w:r>
    </w:p>
    <w:p w14:paraId="4BA627F8" w14:textId="77777777" w:rsidR="00292D49" w:rsidRPr="00292D49" w:rsidRDefault="00292D49" w:rsidP="00292D49">
      <w:pPr>
        <w:spacing w:line="360" w:lineRule="auto"/>
        <w:rPr>
          <w:rFonts w:ascii="Arial" w:hAnsi="Arial" w:cs="Arial"/>
        </w:rPr>
      </w:pPr>
    </w:p>
    <w:p w14:paraId="14F5D701" w14:textId="77777777" w:rsidR="00292D49" w:rsidRPr="00292D49" w:rsidRDefault="00292D49" w:rsidP="00292D49">
      <w:pPr>
        <w:spacing w:line="360" w:lineRule="auto"/>
        <w:rPr>
          <w:rFonts w:ascii="Arial" w:hAnsi="Arial" w:cs="Arial"/>
        </w:rPr>
      </w:pPr>
    </w:p>
    <w:p w14:paraId="35C302C9" w14:textId="4FB6E697" w:rsidR="00292D49" w:rsidRDefault="00292D49" w:rsidP="00292D49">
      <w:pPr>
        <w:spacing w:line="360" w:lineRule="auto"/>
        <w:rPr>
          <w:rFonts w:ascii="Arial" w:hAnsi="Arial" w:cs="Arial"/>
        </w:rPr>
      </w:pPr>
      <w:r w:rsidRPr="00292D49">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p w14:paraId="519A1A20" w14:textId="77777777" w:rsidR="00292D49" w:rsidRDefault="00292D49" w:rsidP="00292D49">
      <w:pPr>
        <w:spacing w:line="360" w:lineRule="auto"/>
        <w:rPr>
          <w:rFonts w:ascii="Arial" w:hAnsi="Arial" w:cs="Arial"/>
        </w:rPr>
      </w:pPr>
    </w:p>
    <w:p w14:paraId="4C8C3E06" w14:textId="77777777" w:rsidR="00292D49" w:rsidRDefault="00292D49" w:rsidP="00292D49">
      <w:pPr>
        <w:spacing w:line="360" w:lineRule="auto"/>
        <w:rPr>
          <w:rFonts w:ascii="Arial" w:hAnsi="Arial" w:cs="Arial"/>
        </w:rPr>
      </w:pPr>
    </w:p>
    <w:p w14:paraId="5E160F01" w14:textId="77777777" w:rsidR="00292D49" w:rsidRDefault="00292D49" w:rsidP="00292D49">
      <w:pPr>
        <w:spacing w:line="360" w:lineRule="auto"/>
        <w:rPr>
          <w:rFonts w:ascii="Arial" w:hAnsi="Arial" w:cs="Arial"/>
        </w:rPr>
      </w:pPr>
    </w:p>
    <w:p w14:paraId="3B3FE95E" w14:textId="77777777" w:rsidR="00292D49" w:rsidRDefault="00292D49" w:rsidP="00292D49">
      <w:pPr>
        <w:spacing w:line="360" w:lineRule="auto"/>
        <w:rPr>
          <w:rFonts w:ascii="Arial" w:hAnsi="Arial" w:cs="Arial"/>
        </w:rPr>
      </w:pPr>
    </w:p>
    <w:p w14:paraId="7CA316DB" w14:textId="77777777" w:rsidR="00292D49" w:rsidRDefault="00292D49" w:rsidP="00292D49">
      <w:pPr>
        <w:spacing w:line="360" w:lineRule="auto"/>
        <w:rPr>
          <w:rFonts w:ascii="Arial" w:hAnsi="Arial" w:cs="Arial"/>
        </w:rPr>
      </w:pPr>
    </w:p>
    <w:p w14:paraId="76FC681E" w14:textId="77777777" w:rsidR="00292D49" w:rsidRDefault="00292D49" w:rsidP="00292D49">
      <w:pPr>
        <w:spacing w:line="360" w:lineRule="auto"/>
        <w:rPr>
          <w:rFonts w:ascii="Arial" w:hAnsi="Arial" w:cs="Arial"/>
        </w:rPr>
      </w:pPr>
    </w:p>
    <w:p w14:paraId="626D0DF5" w14:textId="77777777" w:rsidR="00292D49" w:rsidRDefault="00292D49" w:rsidP="00292D49">
      <w:pPr>
        <w:spacing w:line="360" w:lineRule="auto"/>
        <w:rPr>
          <w:rFonts w:ascii="Arial" w:hAnsi="Arial" w:cs="Arial"/>
        </w:rPr>
      </w:pPr>
    </w:p>
    <w:p w14:paraId="5719BA5E" w14:textId="77777777" w:rsidR="00292D49" w:rsidRDefault="00292D49" w:rsidP="00292D49">
      <w:pPr>
        <w:spacing w:line="360" w:lineRule="auto"/>
        <w:rPr>
          <w:rFonts w:ascii="Arial" w:hAnsi="Arial" w:cs="Arial"/>
        </w:rPr>
      </w:pPr>
    </w:p>
    <w:p w14:paraId="1F4D46CB" w14:textId="77777777" w:rsidR="00292D49" w:rsidRDefault="00292D49" w:rsidP="00292D49">
      <w:pPr>
        <w:spacing w:line="360" w:lineRule="auto"/>
        <w:rPr>
          <w:rFonts w:ascii="Arial" w:hAnsi="Arial" w:cs="Arial"/>
        </w:rPr>
      </w:pPr>
    </w:p>
    <w:p w14:paraId="3E540B9B" w14:textId="77777777" w:rsidR="00292D49" w:rsidRDefault="00292D49" w:rsidP="00292D49">
      <w:pPr>
        <w:spacing w:line="360" w:lineRule="auto"/>
        <w:rPr>
          <w:rFonts w:ascii="Arial" w:hAnsi="Arial" w:cs="Arial"/>
        </w:rPr>
      </w:pPr>
    </w:p>
    <w:p w14:paraId="04F09715" w14:textId="77777777" w:rsidR="00292D49" w:rsidRDefault="00292D49" w:rsidP="00292D49">
      <w:pPr>
        <w:spacing w:line="360" w:lineRule="auto"/>
        <w:rPr>
          <w:rFonts w:ascii="Arial" w:hAnsi="Arial" w:cs="Arial"/>
        </w:rPr>
      </w:pPr>
    </w:p>
    <w:p w14:paraId="72B249C1" w14:textId="77777777" w:rsidR="00292D49" w:rsidRDefault="00292D49" w:rsidP="00292D49">
      <w:pPr>
        <w:spacing w:line="360" w:lineRule="auto"/>
        <w:rPr>
          <w:rFonts w:ascii="Arial" w:hAnsi="Arial" w:cs="Arial"/>
        </w:rPr>
      </w:pPr>
    </w:p>
    <w:p w14:paraId="5672CB39" w14:textId="77777777" w:rsidR="00292D49" w:rsidRDefault="00292D49" w:rsidP="00292D49">
      <w:pPr>
        <w:spacing w:line="360" w:lineRule="auto"/>
        <w:rPr>
          <w:rFonts w:ascii="Arial" w:hAnsi="Arial" w:cs="Arial"/>
        </w:rPr>
      </w:pPr>
    </w:p>
    <w:p w14:paraId="37B635E1" w14:textId="77777777" w:rsidR="00292D49" w:rsidRDefault="00292D49" w:rsidP="00292D49">
      <w:pPr>
        <w:spacing w:line="360" w:lineRule="auto"/>
        <w:rPr>
          <w:rFonts w:ascii="Arial" w:hAnsi="Arial" w:cs="Arial"/>
        </w:rPr>
      </w:pPr>
    </w:p>
    <w:p w14:paraId="3328E4EA" w14:textId="77777777" w:rsidR="00292D49" w:rsidRDefault="00292D49" w:rsidP="00292D49">
      <w:pPr>
        <w:spacing w:line="360" w:lineRule="auto"/>
        <w:rPr>
          <w:rFonts w:ascii="Arial" w:hAnsi="Arial" w:cs="Arial"/>
        </w:rPr>
      </w:pPr>
    </w:p>
    <w:p w14:paraId="0B50EF97" w14:textId="77777777" w:rsidR="00292D49" w:rsidRDefault="00292D49" w:rsidP="00292D49">
      <w:pPr>
        <w:spacing w:line="360" w:lineRule="auto"/>
        <w:rPr>
          <w:rFonts w:ascii="Arial" w:hAnsi="Arial" w:cs="Arial"/>
        </w:rPr>
      </w:pPr>
    </w:p>
    <w:p w14:paraId="2BCFBDBF" w14:textId="77777777" w:rsidR="00292D49" w:rsidRDefault="00292D49" w:rsidP="00292D49">
      <w:pPr>
        <w:spacing w:line="360" w:lineRule="auto"/>
        <w:rPr>
          <w:rFonts w:ascii="Arial" w:hAnsi="Arial" w:cs="Arial"/>
        </w:rPr>
      </w:pPr>
    </w:p>
    <w:p w14:paraId="6822C3DA" w14:textId="77777777" w:rsidR="00292D49" w:rsidRDefault="00292D49" w:rsidP="00292D49">
      <w:pPr>
        <w:spacing w:line="360" w:lineRule="auto"/>
        <w:rPr>
          <w:rFonts w:ascii="Arial" w:hAnsi="Arial" w:cs="Arial"/>
        </w:rPr>
      </w:pPr>
    </w:p>
    <w:p w14:paraId="2BBEFB95" w14:textId="77777777" w:rsidR="00292D49" w:rsidRDefault="00292D49" w:rsidP="00292D49">
      <w:pPr>
        <w:spacing w:line="360" w:lineRule="auto"/>
        <w:rPr>
          <w:rFonts w:ascii="Arial" w:hAnsi="Arial" w:cs="Arial"/>
        </w:rPr>
      </w:pPr>
    </w:p>
    <w:p w14:paraId="4B14DCD8" w14:textId="77777777" w:rsidR="00292D49" w:rsidRDefault="00292D49" w:rsidP="00292D49">
      <w:pPr>
        <w:spacing w:line="360" w:lineRule="auto"/>
        <w:rPr>
          <w:rFonts w:ascii="Arial" w:hAnsi="Arial" w:cs="Arial"/>
        </w:rPr>
      </w:pPr>
    </w:p>
    <w:p w14:paraId="317FBB65" w14:textId="77777777" w:rsidR="00292D49" w:rsidRDefault="00292D49" w:rsidP="00292D49">
      <w:pPr>
        <w:spacing w:line="360" w:lineRule="auto"/>
        <w:rPr>
          <w:rFonts w:ascii="Arial" w:hAnsi="Arial" w:cs="Arial"/>
        </w:rPr>
      </w:pPr>
    </w:p>
    <w:p w14:paraId="48BC6CB8" w14:textId="77777777" w:rsidR="00292D49" w:rsidRDefault="00292D49" w:rsidP="00292D49">
      <w:pPr>
        <w:spacing w:line="360" w:lineRule="auto"/>
        <w:rPr>
          <w:rFonts w:ascii="Arial" w:hAnsi="Arial" w:cs="Arial"/>
        </w:rPr>
      </w:pPr>
    </w:p>
    <w:p w14:paraId="45378B7D" w14:textId="77777777" w:rsidR="00292D49" w:rsidRDefault="00292D49" w:rsidP="00292D49">
      <w:pPr>
        <w:spacing w:line="360" w:lineRule="auto"/>
        <w:rPr>
          <w:rFonts w:ascii="Arial" w:hAnsi="Arial" w:cs="Arial"/>
        </w:rPr>
      </w:pPr>
    </w:p>
    <w:p w14:paraId="324DCAED" w14:textId="77777777" w:rsidR="00292D49" w:rsidRDefault="00292D49" w:rsidP="00292D49">
      <w:pPr>
        <w:spacing w:line="360" w:lineRule="auto"/>
        <w:rPr>
          <w:rFonts w:ascii="Arial" w:hAnsi="Arial" w:cs="Arial"/>
        </w:rPr>
      </w:pPr>
    </w:p>
    <w:p w14:paraId="4C47B18D" w14:textId="77777777" w:rsidR="00292D49" w:rsidRDefault="00292D49" w:rsidP="00292D49">
      <w:pPr>
        <w:spacing w:line="360" w:lineRule="auto"/>
        <w:rPr>
          <w:rFonts w:ascii="Arial" w:hAnsi="Arial" w:cs="Arial"/>
        </w:rPr>
      </w:pPr>
    </w:p>
    <w:p w14:paraId="6102721B" w14:textId="77777777" w:rsidR="00292D49" w:rsidRDefault="00292D49" w:rsidP="00292D49">
      <w:pPr>
        <w:spacing w:line="360" w:lineRule="auto"/>
        <w:rPr>
          <w:rFonts w:ascii="Arial" w:hAnsi="Arial" w:cs="Arial"/>
        </w:rPr>
      </w:pPr>
    </w:p>
    <w:p w14:paraId="7C02C674" w14:textId="77777777" w:rsidR="00292D49" w:rsidRPr="00292D49" w:rsidRDefault="00292D49" w:rsidP="00292D49">
      <w:pPr>
        <w:spacing w:line="360" w:lineRule="auto"/>
        <w:rPr>
          <w:rFonts w:ascii="Arial" w:hAnsi="Arial" w:cs="Arial"/>
          <w:u w:val="single"/>
        </w:rPr>
      </w:pPr>
    </w:p>
    <w:p w14:paraId="48EB471C" w14:textId="706C9700" w:rsidR="00292D49" w:rsidRDefault="00292D49" w:rsidP="00292D49">
      <w:pPr>
        <w:spacing w:line="360" w:lineRule="auto"/>
        <w:rPr>
          <w:rFonts w:ascii="Arial" w:hAnsi="Arial" w:cs="Arial"/>
          <w:u w:val="single"/>
        </w:rPr>
      </w:pPr>
      <w:r w:rsidRPr="00292D49">
        <w:rPr>
          <w:rFonts w:ascii="Arial" w:hAnsi="Arial" w:cs="Arial"/>
          <w:u w:val="single"/>
        </w:rPr>
        <w:t>Contents</w:t>
      </w:r>
    </w:p>
    <w:p w14:paraId="6F7FCD97" w14:textId="77777777" w:rsidR="00292D49" w:rsidRDefault="00292D49" w:rsidP="00292D49">
      <w:pPr>
        <w:spacing w:line="360" w:lineRule="auto"/>
        <w:rPr>
          <w:rFonts w:ascii="Arial" w:hAnsi="Arial" w:cs="Arial"/>
          <w:u w:val="single"/>
        </w:rPr>
      </w:pPr>
    </w:p>
    <w:p w14:paraId="19836407" w14:textId="77777777" w:rsidR="00292D49" w:rsidRDefault="00292D49" w:rsidP="00292D49">
      <w:pPr>
        <w:spacing w:line="360" w:lineRule="auto"/>
        <w:rPr>
          <w:rFonts w:ascii="Arial" w:hAnsi="Arial" w:cs="Arial"/>
          <w:u w:val="single"/>
        </w:rPr>
      </w:pPr>
    </w:p>
    <w:p w14:paraId="2F10448C" w14:textId="77777777" w:rsidR="00292D49" w:rsidRDefault="00292D49" w:rsidP="00292D49">
      <w:pPr>
        <w:spacing w:line="360" w:lineRule="auto"/>
        <w:rPr>
          <w:rFonts w:ascii="Arial" w:hAnsi="Arial" w:cs="Arial"/>
          <w:u w:val="single"/>
        </w:rPr>
      </w:pPr>
    </w:p>
    <w:p w14:paraId="555CC445" w14:textId="77777777" w:rsidR="00292D49" w:rsidRDefault="00292D49" w:rsidP="00292D49">
      <w:pPr>
        <w:spacing w:line="360" w:lineRule="auto"/>
        <w:rPr>
          <w:rFonts w:ascii="Arial" w:hAnsi="Arial" w:cs="Arial"/>
        </w:rPr>
      </w:pPr>
    </w:p>
    <w:p w14:paraId="2CFD170C" w14:textId="3581F33A" w:rsidR="00292D49" w:rsidRPr="00292D49" w:rsidRDefault="00292D49" w:rsidP="00292D49">
      <w:pPr>
        <w:pStyle w:val="ListParagraph"/>
        <w:numPr>
          <w:ilvl w:val="0"/>
          <w:numId w:val="3"/>
        </w:numPr>
        <w:spacing w:line="360" w:lineRule="auto"/>
        <w:rPr>
          <w:rFonts w:ascii="Arial" w:hAnsi="Arial" w:cs="Arial"/>
        </w:rPr>
      </w:pPr>
      <w:r w:rsidRPr="00292D49">
        <w:rPr>
          <w:rFonts w:ascii="Arial" w:hAnsi="Arial" w:cs="Arial"/>
        </w:rPr>
        <w:t>Section One</w:t>
      </w:r>
    </w:p>
    <w:p w14:paraId="4D7B2010" w14:textId="77777777" w:rsidR="00292D49" w:rsidRDefault="00292D49" w:rsidP="00292D49">
      <w:pPr>
        <w:spacing w:line="360" w:lineRule="auto"/>
        <w:rPr>
          <w:rFonts w:ascii="Arial" w:hAnsi="Arial" w:cs="Arial"/>
        </w:rPr>
      </w:pPr>
    </w:p>
    <w:p w14:paraId="05304B07" w14:textId="77777777" w:rsidR="00292D49" w:rsidRDefault="00292D49" w:rsidP="00292D49">
      <w:pPr>
        <w:spacing w:line="360" w:lineRule="auto"/>
        <w:rPr>
          <w:rFonts w:ascii="Arial" w:hAnsi="Arial" w:cs="Arial"/>
        </w:rPr>
      </w:pPr>
    </w:p>
    <w:p w14:paraId="2A6E6220" w14:textId="77777777" w:rsidR="00292D49" w:rsidRDefault="00292D49" w:rsidP="00292D49">
      <w:pPr>
        <w:spacing w:line="360" w:lineRule="auto"/>
        <w:rPr>
          <w:rFonts w:ascii="Arial" w:hAnsi="Arial" w:cs="Arial"/>
        </w:rPr>
      </w:pPr>
    </w:p>
    <w:p w14:paraId="7A839B7D" w14:textId="77777777" w:rsidR="00292D49" w:rsidRDefault="00292D49" w:rsidP="00292D49">
      <w:pPr>
        <w:spacing w:line="360" w:lineRule="auto"/>
        <w:rPr>
          <w:rFonts w:ascii="Arial" w:hAnsi="Arial" w:cs="Arial"/>
        </w:rPr>
      </w:pPr>
    </w:p>
    <w:p w14:paraId="28E0D56D" w14:textId="721D2116" w:rsidR="00292D49" w:rsidRDefault="00292D49" w:rsidP="00292D49">
      <w:pPr>
        <w:pStyle w:val="ListParagraph"/>
        <w:numPr>
          <w:ilvl w:val="0"/>
          <w:numId w:val="3"/>
        </w:numPr>
        <w:spacing w:line="360" w:lineRule="auto"/>
        <w:rPr>
          <w:rFonts w:ascii="Arial" w:hAnsi="Arial" w:cs="Arial"/>
        </w:rPr>
      </w:pPr>
      <w:r>
        <w:rPr>
          <w:rFonts w:ascii="Arial" w:hAnsi="Arial" w:cs="Arial"/>
        </w:rPr>
        <w:t>Section Two</w:t>
      </w:r>
    </w:p>
    <w:p w14:paraId="119E3648" w14:textId="77777777" w:rsidR="00292D49" w:rsidRDefault="00292D49" w:rsidP="00292D49">
      <w:pPr>
        <w:spacing w:line="360" w:lineRule="auto"/>
        <w:rPr>
          <w:rFonts w:ascii="Arial" w:hAnsi="Arial" w:cs="Arial"/>
        </w:rPr>
      </w:pPr>
    </w:p>
    <w:p w14:paraId="7AB7D853" w14:textId="77777777" w:rsidR="00292D49" w:rsidRDefault="00292D49" w:rsidP="00292D49">
      <w:pPr>
        <w:spacing w:line="360" w:lineRule="auto"/>
        <w:rPr>
          <w:rFonts w:ascii="Arial" w:hAnsi="Arial" w:cs="Arial"/>
        </w:rPr>
      </w:pPr>
    </w:p>
    <w:p w14:paraId="75DFE75A" w14:textId="77777777" w:rsidR="00292D49" w:rsidRDefault="00292D49" w:rsidP="00292D49">
      <w:pPr>
        <w:spacing w:line="360" w:lineRule="auto"/>
        <w:rPr>
          <w:rFonts w:ascii="Arial" w:hAnsi="Arial" w:cs="Arial"/>
        </w:rPr>
      </w:pPr>
    </w:p>
    <w:p w14:paraId="15DE30AF" w14:textId="77777777" w:rsidR="00292D49" w:rsidRDefault="00292D49" w:rsidP="00292D49">
      <w:pPr>
        <w:spacing w:line="360" w:lineRule="auto"/>
        <w:rPr>
          <w:rFonts w:ascii="Arial" w:hAnsi="Arial" w:cs="Arial"/>
        </w:rPr>
      </w:pPr>
    </w:p>
    <w:p w14:paraId="164C35B0" w14:textId="493A5383" w:rsidR="00292D49" w:rsidRDefault="00292D49" w:rsidP="00292D49">
      <w:pPr>
        <w:pStyle w:val="ListParagraph"/>
        <w:numPr>
          <w:ilvl w:val="0"/>
          <w:numId w:val="3"/>
        </w:numPr>
        <w:spacing w:line="360" w:lineRule="auto"/>
        <w:rPr>
          <w:rFonts w:ascii="Arial" w:hAnsi="Arial" w:cs="Arial"/>
        </w:rPr>
      </w:pPr>
      <w:r>
        <w:rPr>
          <w:rFonts w:ascii="Arial" w:hAnsi="Arial" w:cs="Arial"/>
        </w:rPr>
        <w:t>Section Three</w:t>
      </w:r>
    </w:p>
    <w:p w14:paraId="5E84B658" w14:textId="77777777" w:rsidR="00292D49" w:rsidRDefault="00292D49" w:rsidP="00292D49">
      <w:pPr>
        <w:spacing w:line="360" w:lineRule="auto"/>
        <w:rPr>
          <w:rFonts w:ascii="Arial" w:hAnsi="Arial" w:cs="Arial"/>
        </w:rPr>
      </w:pPr>
    </w:p>
    <w:p w14:paraId="3DBE7CD1" w14:textId="77777777" w:rsidR="00292D49" w:rsidRDefault="00292D49" w:rsidP="00292D49">
      <w:pPr>
        <w:spacing w:line="360" w:lineRule="auto"/>
        <w:rPr>
          <w:rFonts w:ascii="Arial" w:hAnsi="Arial" w:cs="Arial"/>
        </w:rPr>
      </w:pPr>
    </w:p>
    <w:p w14:paraId="09A351FE" w14:textId="77777777" w:rsidR="00292D49" w:rsidRDefault="00292D49" w:rsidP="00292D49">
      <w:pPr>
        <w:spacing w:line="360" w:lineRule="auto"/>
        <w:rPr>
          <w:rFonts w:ascii="Arial" w:hAnsi="Arial" w:cs="Arial"/>
        </w:rPr>
      </w:pPr>
    </w:p>
    <w:p w14:paraId="1909E21F" w14:textId="77777777" w:rsidR="00292D49" w:rsidRDefault="00292D49" w:rsidP="00292D49">
      <w:pPr>
        <w:spacing w:line="360" w:lineRule="auto"/>
        <w:rPr>
          <w:rFonts w:ascii="Arial" w:hAnsi="Arial" w:cs="Arial"/>
        </w:rPr>
      </w:pPr>
    </w:p>
    <w:p w14:paraId="197E07AB" w14:textId="77777777" w:rsidR="00292D49" w:rsidRDefault="00292D49" w:rsidP="00292D49">
      <w:pPr>
        <w:spacing w:line="360" w:lineRule="auto"/>
        <w:rPr>
          <w:rFonts w:ascii="Arial" w:hAnsi="Arial" w:cs="Arial"/>
        </w:rPr>
      </w:pPr>
    </w:p>
    <w:p w14:paraId="6FBFCDEB" w14:textId="77777777" w:rsidR="00292D49" w:rsidRDefault="00292D49" w:rsidP="00292D49">
      <w:pPr>
        <w:spacing w:line="360" w:lineRule="auto"/>
        <w:rPr>
          <w:rFonts w:ascii="Arial" w:hAnsi="Arial" w:cs="Arial"/>
        </w:rPr>
      </w:pPr>
    </w:p>
    <w:p w14:paraId="6A131F27" w14:textId="77777777" w:rsidR="00292D49" w:rsidRDefault="00292D49" w:rsidP="00292D49">
      <w:pPr>
        <w:spacing w:line="360" w:lineRule="auto"/>
        <w:rPr>
          <w:rFonts w:ascii="Arial" w:hAnsi="Arial" w:cs="Arial"/>
        </w:rPr>
      </w:pPr>
    </w:p>
    <w:p w14:paraId="4001B5B3" w14:textId="77777777" w:rsidR="00292D49" w:rsidRDefault="00292D49" w:rsidP="00292D49">
      <w:pPr>
        <w:spacing w:line="360" w:lineRule="auto"/>
        <w:rPr>
          <w:rFonts w:ascii="Arial" w:hAnsi="Arial" w:cs="Arial"/>
        </w:rPr>
      </w:pPr>
    </w:p>
    <w:p w14:paraId="6AB5F3B7" w14:textId="77777777" w:rsidR="00292D49" w:rsidRDefault="00292D49" w:rsidP="00292D49">
      <w:pPr>
        <w:spacing w:line="360" w:lineRule="auto"/>
        <w:rPr>
          <w:rFonts w:ascii="Arial" w:hAnsi="Arial" w:cs="Arial"/>
        </w:rPr>
      </w:pPr>
    </w:p>
    <w:p w14:paraId="61102A0A" w14:textId="77777777" w:rsidR="00292D49" w:rsidRDefault="00292D49" w:rsidP="00292D49">
      <w:pPr>
        <w:spacing w:line="360" w:lineRule="auto"/>
        <w:rPr>
          <w:rFonts w:ascii="Arial" w:hAnsi="Arial" w:cs="Arial"/>
        </w:rPr>
      </w:pPr>
    </w:p>
    <w:p w14:paraId="0F93D0B6" w14:textId="77777777" w:rsidR="00292D49" w:rsidRDefault="00292D49" w:rsidP="00292D49">
      <w:pPr>
        <w:spacing w:line="360" w:lineRule="auto"/>
        <w:rPr>
          <w:rFonts w:ascii="Arial" w:hAnsi="Arial" w:cs="Arial"/>
        </w:rPr>
      </w:pPr>
    </w:p>
    <w:p w14:paraId="763FBB3A" w14:textId="77777777" w:rsidR="00292D49" w:rsidRDefault="00292D49" w:rsidP="00292D49">
      <w:pPr>
        <w:spacing w:line="360" w:lineRule="auto"/>
        <w:rPr>
          <w:rFonts w:ascii="Arial" w:hAnsi="Arial" w:cs="Arial"/>
        </w:rPr>
      </w:pPr>
    </w:p>
    <w:p w14:paraId="157CA1FD" w14:textId="77777777" w:rsidR="00292D49" w:rsidRDefault="00292D49" w:rsidP="00292D49">
      <w:pPr>
        <w:spacing w:line="360" w:lineRule="auto"/>
        <w:rPr>
          <w:rFonts w:ascii="Arial" w:hAnsi="Arial" w:cs="Arial"/>
        </w:rPr>
      </w:pPr>
    </w:p>
    <w:p w14:paraId="01BD6B8B" w14:textId="77777777" w:rsidR="00292D49" w:rsidRDefault="00292D49" w:rsidP="00292D49">
      <w:pPr>
        <w:spacing w:line="360" w:lineRule="auto"/>
        <w:rPr>
          <w:rFonts w:ascii="Arial" w:hAnsi="Arial" w:cs="Arial"/>
        </w:rPr>
      </w:pPr>
    </w:p>
    <w:p w14:paraId="3A7CE90E" w14:textId="77777777" w:rsidR="00292D49" w:rsidRDefault="00292D49" w:rsidP="00292D49">
      <w:pPr>
        <w:spacing w:line="360" w:lineRule="auto"/>
        <w:rPr>
          <w:rFonts w:ascii="Arial" w:hAnsi="Arial" w:cs="Arial"/>
        </w:rPr>
      </w:pPr>
    </w:p>
    <w:p w14:paraId="24515D5F" w14:textId="77777777" w:rsidR="00292D49" w:rsidRPr="00292D49" w:rsidRDefault="00292D49" w:rsidP="00292D49">
      <w:pPr>
        <w:spacing w:line="360" w:lineRule="auto"/>
        <w:rPr>
          <w:rFonts w:ascii="Arial" w:hAnsi="Arial" w:cs="Arial"/>
          <w:b/>
          <w:bCs/>
          <w:u w:val="single"/>
        </w:rPr>
      </w:pPr>
    </w:p>
    <w:p w14:paraId="442E056B" w14:textId="6E64A5E2" w:rsidR="00292D49" w:rsidRPr="00E21A07" w:rsidRDefault="00292D49" w:rsidP="00292D49">
      <w:pPr>
        <w:spacing w:line="360" w:lineRule="auto"/>
        <w:rPr>
          <w:rFonts w:ascii="Arial" w:hAnsi="Arial" w:cs="Arial"/>
          <w:b/>
          <w:bCs/>
          <w:u w:val="single"/>
        </w:rPr>
      </w:pPr>
      <w:r w:rsidRPr="00E21A07">
        <w:rPr>
          <w:rFonts w:ascii="Arial" w:hAnsi="Arial" w:cs="Arial"/>
          <w:b/>
          <w:bCs/>
          <w:u w:val="single"/>
        </w:rPr>
        <w:t>Section One: Critically Analysing the Challenges of Implementing a Play-Based Curriculum</w:t>
      </w:r>
    </w:p>
    <w:p w14:paraId="7CA02C4B" w14:textId="77777777" w:rsidR="00292D49" w:rsidRPr="00E21A07" w:rsidRDefault="00292D49" w:rsidP="00292D49">
      <w:pPr>
        <w:spacing w:line="360" w:lineRule="auto"/>
        <w:rPr>
          <w:rFonts w:ascii="Arial" w:hAnsi="Arial" w:cs="Arial"/>
          <w:b/>
          <w:bCs/>
          <w:u w:val="single"/>
        </w:rPr>
      </w:pPr>
    </w:p>
    <w:p w14:paraId="33B39162" w14:textId="0ADD1A7F" w:rsidR="00292D49" w:rsidRPr="00E21A07" w:rsidRDefault="00292D49" w:rsidP="00292D49">
      <w:pPr>
        <w:spacing w:line="360" w:lineRule="auto"/>
        <w:rPr>
          <w:rFonts w:ascii="Arial" w:hAnsi="Arial" w:cs="Arial"/>
          <w:b/>
          <w:bCs/>
          <w:u w:val="single"/>
        </w:rPr>
      </w:pPr>
      <w:r w:rsidRPr="00E21A07">
        <w:rPr>
          <w:rFonts w:ascii="Arial" w:hAnsi="Arial" w:cs="Arial"/>
          <w:b/>
          <w:bCs/>
          <w:u w:val="single"/>
        </w:rPr>
        <w:t>Introduction</w:t>
      </w:r>
    </w:p>
    <w:p w14:paraId="4149EF57" w14:textId="77777777" w:rsidR="00292D49" w:rsidRPr="00E21A07" w:rsidRDefault="00292D49" w:rsidP="00292D49">
      <w:pPr>
        <w:spacing w:line="360" w:lineRule="auto"/>
        <w:rPr>
          <w:rFonts w:ascii="Arial" w:hAnsi="Arial" w:cs="Arial"/>
        </w:rPr>
      </w:pPr>
    </w:p>
    <w:p w14:paraId="4797651D" w14:textId="4C6FBFF6" w:rsidR="00292D49" w:rsidRPr="00E21A07" w:rsidRDefault="00292D49" w:rsidP="00292D49">
      <w:pPr>
        <w:spacing w:line="360" w:lineRule="auto"/>
        <w:rPr>
          <w:rFonts w:ascii="Arial" w:hAnsi="Arial" w:cs="Arial"/>
        </w:rPr>
      </w:pPr>
      <w:r w:rsidRPr="00E21A07">
        <w:rPr>
          <w:rFonts w:ascii="Arial" w:hAnsi="Arial" w:cs="Arial"/>
        </w:rPr>
        <w:t>Education enables children to develop knowledge, skills, values and dispositions that contribute to their learning, development and participation within society. Curriculum is central to this process because it influences what is valued educationally and the experiences and opportunities made available to children (McLachlan, Fleer and Edwards, 2018). Rather than consisting solely of prescribed content, early childhood curriculum also encompasses pedagogical decisions about how children learn and how practitioners respond to their development, interests and experiences (Trevarthen, Delafield-Butt and Dunlop, 2018).</w:t>
      </w:r>
    </w:p>
    <w:p w14:paraId="3382644E" w14:textId="77777777" w:rsidR="00292D49" w:rsidRPr="00E21A07" w:rsidRDefault="00292D49" w:rsidP="00292D49">
      <w:pPr>
        <w:spacing w:line="360" w:lineRule="auto"/>
        <w:rPr>
          <w:rFonts w:ascii="Arial" w:hAnsi="Arial" w:cs="Arial"/>
        </w:rPr>
      </w:pPr>
    </w:p>
    <w:p w14:paraId="160EF177" w14:textId="0DDB5CC3" w:rsidR="00292D49" w:rsidRPr="00E21A07" w:rsidRDefault="00292D49" w:rsidP="00292D49">
      <w:pPr>
        <w:spacing w:line="360" w:lineRule="auto"/>
        <w:rPr>
          <w:rFonts w:ascii="Arial" w:hAnsi="Arial" w:cs="Arial"/>
        </w:rPr>
      </w:pPr>
      <w:r w:rsidRPr="00E21A07">
        <w:rPr>
          <w:rFonts w:ascii="Arial" w:hAnsi="Arial" w:cs="Arial"/>
        </w:rPr>
        <w:t>Play-based curricula recognise children as active participants who explore, communicate, make choices and construct understanding through meaningful experiences (Zosh et al., 2017; Whitebread et al., 2012). However, implementing play-based learning is more complex than simply providing opportunities to play, because practitioners must interpret how play, teaching and learning interact (McInnes et al., 2011; Pyle, DeLuca and Danniels, 2017). This is particularly relevant to the Curriculum for Wales, where play and play-based learning are fundamental features of foundation learning.</w:t>
      </w:r>
    </w:p>
    <w:p w14:paraId="67D0DFFA" w14:textId="77777777" w:rsidR="00292D49" w:rsidRPr="00E21A07" w:rsidRDefault="00292D49" w:rsidP="00292D49">
      <w:pPr>
        <w:spacing w:line="360" w:lineRule="auto"/>
        <w:rPr>
          <w:rFonts w:ascii="Arial" w:hAnsi="Arial" w:cs="Arial"/>
        </w:rPr>
      </w:pPr>
    </w:p>
    <w:p w14:paraId="5652133C" w14:textId="2C4ED868" w:rsidR="00292D49" w:rsidRPr="00E21A07" w:rsidRDefault="00292D49" w:rsidP="00292D49">
      <w:pPr>
        <w:spacing w:line="360" w:lineRule="auto"/>
        <w:rPr>
          <w:rFonts w:ascii="Arial" w:hAnsi="Arial" w:cs="Arial"/>
        </w:rPr>
      </w:pPr>
      <w:r w:rsidRPr="00E21A07">
        <w:rPr>
          <w:rFonts w:ascii="Arial" w:hAnsi="Arial" w:cs="Arial"/>
        </w:rPr>
        <w:t>Section One therefore critically analyses challenges associated with implementing play-based pedagogy within the Curriculum for Wales, drawing upon previous Foundation Phase evidence where relevant. Section Two critically evaluates assessment, progress tracking and age- or stage-related development through the concept of the ‘Unique Child’, while Section Three presents a professional blog advocating the importance of outdoor play and learning within early childhood curricula.</w:t>
      </w:r>
    </w:p>
    <w:p w14:paraId="0E6D9ADF" w14:textId="77777777" w:rsidR="00292D49" w:rsidRPr="00E21A07" w:rsidRDefault="00292D49" w:rsidP="00292D49">
      <w:pPr>
        <w:spacing w:line="360" w:lineRule="auto"/>
        <w:rPr>
          <w:rFonts w:ascii="Arial" w:hAnsi="Arial" w:cs="Arial"/>
        </w:rPr>
      </w:pPr>
    </w:p>
    <w:p w14:paraId="0E1E080C" w14:textId="77777777" w:rsidR="00292D49" w:rsidRPr="00E21A07" w:rsidRDefault="00292D49" w:rsidP="00292D49">
      <w:pPr>
        <w:spacing w:line="360" w:lineRule="auto"/>
        <w:rPr>
          <w:rFonts w:ascii="Arial" w:hAnsi="Arial" w:cs="Arial"/>
          <w:u w:val="single"/>
        </w:rPr>
      </w:pPr>
    </w:p>
    <w:p w14:paraId="4E20C16D" w14:textId="77777777" w:rsidR="00292D49" w:rsidRPr="00E21A07" w:rsidRDefault="00292D49" w:rsidP="00292D49">
      <w:pPr>
        <w:spacing w:line="360" w:lineRule="auto"/>
        <w:rPr>
          <w:rFonts w:ascii="Arial" w:hAnsi="Arial" w:cs="Arial"/>
          <w:u w:val="single"/>
        </w:rPr>
      </w:pPr>
    </w:p>
    <w:p w14:paraId="22367044" w14:textId="77777777" w:rsidR="00292D49" w:rsidRPr="00E21A07" w:rsidRDefault="00292D49" w:rsidP="00292D49">
      <w:pPr>
        <w:spacing w:line="360" w:lineRule="auto"/>
        <w:rPr>
          <w:rFonts w:ascii="Arial" w:hAnsi="Arial" w:cs="Arial"/>
          <w:u w:val="single"/>
        </w:rPr>
      </w:pPr>
    </w:p>
    <w:p w14:paraId="797EAE48" w14:textId="77777777" w:rsidR="00292D49" w:rsidRPr="00E21A07" w:rsidRDefault="00292D49" w:rsidP="00292D49">
      <w:pPr>
        <w:spacing w:line="360" w:lineRule="auto"/>
        <w:rPr>
          <w:rFonts w:ascii="Arial" w:hAnsi="Arial" w:cs="Arial"/>
          <w:b/>
          <w:bCs/>
          <w:u w:val="single"/>
        </w:rPr>
      </w:pPr>
    </w:p>
    <w:p w14:paraId="25B8B6B2" w14:textId="1D7DADBB" w:rsidR="00292D49" w:rsidRPr="00E21A07" w:rsidRDefault="00292D49" w:rsidP="00292D49">
      <w:pPr>
        <w:spacing w:line="360" w:lineRule="auto"/>
        <w:rPr>
          <w:rFonts w:ascii="Arial" w:hAnsi="Arial" w:cs="Arial"/>
          <w:b/>
          <w:bCs/>
          <w:u w:val="single"/>
        </w:rPr>
      </w:pPr>
      <w:r w:rsidRPr="00E21A07">
        <w:rPr>
          <w:rFonts w:ascii="Arial" w:hAnsi="Arial" w:cs="Arial"/>
          <w:b/>
          <w:bCs/>
          <w:u w:val="single"/>
        </w:rPr>
        <w:t>Translating Play-Based Pedagogy from Policy into Practice</w:t>
      </w:r>
    </w:p>
    <w:p w14:paraId="0AC14706" w14:textId="77777777" w:rsidR="00292D49" w:rsidRPr="00E21A07" w:rsidRDefault="00292D49" w:rsidP="00292D49">
      <w:pPr>
        <w:spacing w:line="360" w:lineRule="auto"/>
        <w:rPr>
          <w:rFonts w:ascii="Arial" w:hAnsi="Arial" w:cs="Arial"/>
        </w:rPr>
      </w:pPr>
    </w:p>
    <w:p w14:paraId="3A459299" w14:textId="407B0257" w:rsidR="00292D49" w:rsidRPr="00E21A07" w:rsidRDefault="00292D49" w:rsidP="00292D49">
      <w:pPr>
        <w:spacing w:line="360" w:lineRule="auto"/>
        <w:rPr>
          <w:rFonts w:ascii="Arial" w:hAnsi="Arial" w:cs="Arial"/>
        </w:rPr>
      </w:pPr>
      <w:r w:rsidRPr="00E21A07">
        <w:rPr>
          <w:rFonts w:ascii="Arial" w:hAnsi="Arial" w:cs="Arial"/>
        </w:rPr>
        <w:t>A fundamental challenge associated with play-based pedagogy is translating curriculum intention into consistent everyday practice. Curriculum for Wales places considerable emphasis upon responsive learning experiences and identifies play and play-based learning alongside observation, authentic and purposeful learning, enabling adults, engaging experiences and effective environments as important features of foundation learning (Welsh Government, 2022</w:t>
      </w:r>
      <w:r w:rsidR="00B70081" w:rsidRPr="00E21A07">
        <w:rPr>
          <w:rFonts w:ascii="Arial" w:hAnsi="Arial" w:cs="Arial"/>
        </w:rPr>
        <w:t>a</w:t>
      </w:r>
      <w:r w:rsidRPr="00E21A07">
        <w:rPr>
          <w:rFonts w:ascii="Arial" w:hAnsi="Arial" w:cs="Arial"/>
        </w:rPr>
        <w:t>). This approach has considerable potential because flexibility can enable practitioners to respond to individual children's development, interests and experiences rather than expecting all learners to progress identically (McLachlan, Fleer and Edwards, 2018). However, flexibility also increases reliance upon professional judgement. Consequently, a curriculum may promote play at policy level without guaranteeing that children experience consistently high-quality play-based pedagogy in practice.</w:t>
      </w:r>
    </w:p>
    <w:p w14:paraId="765C90DE" w14:textId="77777777" w:rsidR="00292D49" w:rsidRPr="00E21A07" w:rsidRDefault="00292D49" w:rsidP="00292D49">
      <w:pPr>
        <w:spacing w:line="360" w:lineRule="auto"/>
        <w:rPr>
          <w:rFonts w:ascii="Arial" w:hAnsi="Arial" w:cs="Arial"/>
        </w:rPr>
      </w:pPr>
    </w:p>
    <w:p w14:paraId="1A15B972" w14:textId="1DDB0507" w:rsidR="00292D49" w:rsidRPr="00E21A07" w:rsidRDefault="00292D49" w:rsidP="00292D49">
      <w:pPr>
        <w:spacing w:line="360" w:lineRule="auto"/>
        <w:rPr>
          <w:rFonts w:ascii="Arial" w:hAnsi="Arial" w:cs="Arial"/>
        </w:rPr>
      </w:pPr>
      <w:r w:rsidRPr="00E21A07">
        <w:rPr>
          <w:rFonts w:ascii="Arial" w:hAnsi="Arial" w:cs="Arial"/>
        </w:rPr>
        <w:t>Earlier Welsh curriculum reform illustrates this difficulty. The former Foundation Phase similarly promoted experiential and play-based approaches, but research demonstrated that implementation involved practitioners interpreting curriculum principles within different settings (Waldron et al., 2014; Taylor, Rhys and Waldron, 2016). Research on the Foundation Phase is therefore useful not because it represents current policy, but because it demonstrates how ambitious play-based curriculum reform can encounter difficulties during enactment. Taylor, Rhys and Waldron (2016), for example, examine the implementation of a curriculum explicitly characterised by developmental, experiential and play-based learning. This demonstrates that implementation cannot be reduced to issuing curriculum guidance; pedagogy is ultimately mediated through practitioners and settings.</w:t>
      </w:r>
    </w:p>
    <w:p w14:paraId="4EE06563" w14:textId="77777777" w:rsidR="00292D49" w:rsidRPr="00E21A07" w:rsidRDefault="00292D49" w:rsidP="00292D49">
      <w:pPr>
        <w:spacing w:line="360" w:lineRule="auto"/>
        <w:rPr>
          <w:rFonts w:ascii="Arial" w:hAnsi="Arial" w:cs="Arial"/>
        </w:rPr>
      </w:pPr>
    </w:p>
    <w:p w14:paraId="4E78174A" w14:textId="119E6D05" w:rsidR="00292D49" w:rsidRPr="00E21A07" w:rsidRDefault="00292D49" w:rsidP="00292D49">
      <w:pPr>
        <w:spacing w:line="360" w:lineRule="auto"/>
        <w:rPr>
          <w:rFonts w:ascii="Arial" w:hAnsi="Arial" w:cs="Arial"/>
        </w:rPr>
      </w:pPr>
      <w:r w:rsidRPr="00E21A07">
        <w:rPr>
          <w:rFonts w:ascii="Arial" w:hAnsi="Arial" w:cs="Arial"/>
        </w:rPr>
        <w:t xml:space="preserve">This issue remains highly relevant. The recent Welsh Government study of foundation learning under Curriculum for Wales found strong commitment to play-led learning but also identified variation in interpretation and a continuing need for professional support (Duggan et al., 2026). The persistence of implementation </w:t>
      </w:r>
      <w:r w:rsidRPr="00E21A07">
        <w:rPr>
          <w:rFonts w:ascii="Arial" w:hAnsi="Arial" w:cs="Arial"/>
        </w:rPr>
        <w:lastRenderedPageBreak/>
        <w:t>issues across successive Welsh reforms suggests that policy flexibility is simultaneously a strength and a potential weakness. It allows practitioners to respond to local contexts and individual children yet can create inconsistency where practitioners have different understandings of what play-based pedagogy requires.</w:t>
      </w:r>
    </w:p>
    <w:p w14:paraId="43A2276E" w14:textId="77777777" w:rsidR="00292D49" w:rsidRPr="00E21A07" w:rsidRDefault="00292D49" w:rsidP="00292D49">
      <w:pPr>
        <w:spacing w:line="360" w:lineRule="auto"/>
        <w:rPr>
          <w:rFonts w:ascii="Arial" w:hAnsi="Arial" w:cs="Arial"/>
        </w:rPr>
      </w:pPr>
    </w:p>
    <w:p w14:paraId="1D1B9C97" w14:textId="77777777" w:rsidR="00292D49" w:rsidRPr="00E21A07" w:rsidRDefault="00292D49" w:rsidP="00292D49">
      <w:pPr>
        <w:spacing w:line="360" w:lineRule="auto"/>
        <w:rPr>
          <w:rFonts w:ascii="Arial" w:hAnsi="Arial" w:cs="Arial"/>
          <w:b/>
          <w:bCs/>
          <w:u w:val="single"/>
        </w:rPr>
      </w:pPr>
    </w:p>
    <w:p w14:paraId="702259A8" w14:textId="61D0AA21" w:rsidR="00292D49" w:rsidRPr="00E21A07" w:rsidRDefault="00292D49" w:rsidP="00292D49">
      <w:pPr>
        <w:spacing w:line="360" w:lineRule="auto"/>
        <w:rPr>
          <w:rFonts w:ascii="Arial" w:hAnsi="Arial" w:cs="Arial"/>
          <w:b/>
          <w:bCs/>
          <w:u w:val="single"/>
        </w:rPr>
      </w:pPr>
      <w:r w:rsidRPr="00E21A07">
        <w:rPr>
          <w:rFonts w:ascii="Arial" w:hAnsi="Arial" w:cs="Arial"/>
          <w:b/>
          <w:bCs/>
          <w:u w:val="single"/>
        </w:rPr>
        <w:t>Understanding Play and the Pedagogical Role of the Adult</w:t>
      </w:r>
    </w:p>
    <w:p w14:paraId="20222DC4" w14:textId="77777777" w:rsidR="00292D49" w:rsidRPr="00E21A07" w:rsidRDefault="00292D49" w:rsidP="00292D49">
      <w:pPr>
        <w:spacing w:line="360" w:lineRule="auto"/>
        <w:rPr>
          <w:rFonts w:ascii="Arial" w:hAnsi="Arial" w:cs="Arial"/>
        </w:rPr>
      </w:pPr>
    </w:p>
    <w:p w14:paraId="70D671D2" w14:textId="77DACE1D" w:rsidR="00292D49" w:rsidRPr="00E21A07" w:rsidRDefault="00292D49" w:rsidP="00292D49">
      <w:pPr>
        <w:spacing w:line="360" w:lineRule="auto"/>
        <w:rPr>
          <w:rFonts w:ascii="Arial" w:hAnsi="Arial" w:cs="Arial"/>
        </w:rPr>
      </w:pPr>
      <w:r w:rsidRPr="00E21A07">
        <w:rPr>
          <w:rFonts w:ascii="Arial" w:hAnsi="Arial" w:cs="Arial"/>
        </w:rPr>
        <w:t>A further challenge is that play-based pedagogy does not have one universally interpreted form. McInnes et al. (2011) found that practitioners differed in their understandings of play and that these differences were associated with variation in pedagogical interaction and children's perceptions of whether activities constituted play. This is significant because curriculum guidance may use the term play-based learning, yet practitioners can interpret this differently in relation to choice, control and adult involvement. Similarly, Pyle, DeLuca and Danniels (2017) demonstrate considerable variation within play-based pedagogies, reinforcing the difficulty of treating play as a single, clearly defined teaching method.</w:t>
      </w:r>
    </w:p>
    <w:p w14:paraId="10CF0B45" w14:textId="77777777" w:rsidR="00292D49" w:rsidRPr="00E21A07" w:rsidRDefault="00292D49" w:rsidP="00292D49">
      <w:pPr>
        <w:spacing w:line="360" w:lineRule="auto"/>
        <w:rPr>
          <w:rFonts w:ascii="Arial" w:hAnsi="Arial" w:cs="Arial"/>
        </w:rPr>
      </w:pPr>
    </w:p>
    <w:p w14:paraId="6DD985CA" w14:textId="6CB25761" w:rsidR="00292D49" w:rsidRPr="00E21A07" w:rsidRDefault="00292D49" w:rsidP="00292D49">
      <w:pPr>
        <w:spacing w:line="360" w:lineRule="auto"/>
        <w:rPr>
          <w:rFonts w:ascii="Arial" w:hAnsi="Arial" w:cs="Arial"/>
        </w:rPr>
      </w:pPr>
      <w:r w:rsidRPr="00E21A07">
        <w:rPr>
          <w:rFonts w:ascii="Arial" w:hAnsi="Arial" w:cs="Arial"/>
        </w:rPr>
        <w:t>One important tension concerns children's agency versus adult direction. Play is commonly associated with choice, control and intrinsic motivation; consequently, excessive adult direction may alter the nature of children's experiences (McInnes et al., 2011). Yet if adults should simply withdraw from children's play creates a different difficulty. Skilled pedagogical interaction can extend children's thinking, language and problem-solving while maintaining meaningful opportunities for child agency. Thus, the implementation challenge is not straightforwardly choosing between free play and adult teaching but determining when adult involvement supports learning without unnecessarily taking control from children.</w:t>
      </w:r>
    </w:p>
    <w:p w14:paraId="1F467B35" w14:textId="77777777" w:rsidR="00292D49" w:rsidRPr="00E21A07" w:rsidRDefault="00292D49" w:rsidP="00292D49">
      <w:pPr>
        <w:spacing w:line="360" w:lineRule="auto"/>
        <w:rPr>
          <w:rFonts w:ascii="Arial" w:hAnsi="Arial" w:cs="Arial"/>
        </w:rPr>
      </w:pPr>
    </w:p>
    <w:p w14:paraId="4CEE8401" w14:textId="71F00040" w:rsidR="00292D49" w:rsidRPr="00E21A07" w:rsidRDefault="00292D49" w:rsidP="00292D49">
      <w:pPr>
        <w:spacing w:line="360" w:lineRule="auto"/>
        <w:rPr>
          <w:rFonts w:ascii="Arial" w:hAnsi="Arial" w:cs="Arial"/>
        </w:rPr>
      </w:pPr>
      <w:r w:rsidRPr="00E21A07">
        <w:rPr>
          <w:rFonts w:ascii="Arial" w:hAnsi="Arial" w:cs="Arial"/>
        </w:rPr>
        <w:t xml:space="preserve">Recent evidence illustrates why a balanced interpretation is necessary. Skene et al. (2022), in a systematic review of 39 guided-play studies, found some advantages of guided play over direct instruction for outcomes including early mathematics, shape knowledge and task switching, and over free play for spatial vocabulary. However, differences were not evident across all outcomes, and the authors highlighted considerable variation in how guided play was conceptualised and </w:t>
      </w:r>
      <w:r w:rsidRPr="00E21A07">
        <w:rPr>
          <w:rFonts w:ascii="Arial" w:hAnsi="Arial" w:cs="Arial"/>
        </w:rPr>
        <w:lastRenderedPageBreak/>
        <w:t>implemented. Therefore, guided play should not be presented as universally superior to either free play or direct instruction. Instead, the evidence suggests that the educational value of adult guidance depends upon how, why and in what context intervention occurs.</w:t>
      </w:r>
    </w:p>
    <w:p w14:paraId="5FF1E9E9" w14:textId="77777777" w:rsidR="00292D49" w:rsidRPr="00E21A07" w:rsidRDefault="00292D49" w:rsidP="00292D49">
      <w:pPr>
        <w:spacing w:line="360" w:lineRule="auto"/>
        <w:rPr>
          <w:rFonts w:ascii="Arial" w:hAnsi="Arial" w:cs="Arial"/>
        </w:rPr>
      </w:pPr>
    </w:p>
    <w:p w14:paraId="754AEA4F" w14:textId="3BF9B82D" w:rsidR="00292D49" w:rsidRPr="00E21A07" w:rsidRDefault="00292D49" w:rsidP="00292D49">
      <w:pPr>
        <w:spacing w:line="360" w:lineRule="auto"/>
        <w:rPr>
          <w:rFonts w:ascii="Arial" w:hAnsi="Arial" w:cs="Arial"/>
        </w:rPr>
      </w:pPr>
      <w:r w:rsidRPr="00E21A07">
        <w:rPr>
          <w:rFonts w:ascii="Arial" w:hAnsi="Arial" w:cs="Arial"/>
        </w:rPr>
        <w:t>This reinforces the importance of practitioner expertise. Adults implementing play-based curricula must observe children's interests and capabilities, recognise appropriate opportunities for interaction and decide when intervention could extend learning or instead disrupt children's ownership of play. Such judgements make play-based pedagogy professionally demanding rather than an easier alternative to formal instruction. Sim et al. (2018) similarly emphasises the importance of practitioner pedagogy within early-years provision, while Kingston and Siraj (2017) highlight professional development in relation to implementation of the Foundation Phase. Professional learning is therefore not peripheral to play-based curriculum reform; it can determine whether broad policy aspirations become meaningful pedagogical experiences.</w:t>
      </w:r>
    </w:p>
    <w:p w14:paraId="7ACCECF5" w14:textId="77777777" w:rsidR="00292D49" w:rsidRPr="00E21A07" w:rsidRDefault="00292D49" w:rsidP="00292D49">
      <w:pPr>
        <w:spacing w:line="360" w:lineRule="auto"/>
        <w:rPr>
          <w:rFonts w:ascii="Arial" w:hAnsi="Arial" w:cs="Arial"/>
        </w:rPr>
      </w:pPr>
    </w:p>
    <w:p w14:paraId="560BD1A2" w14:textId="09E03E91" w:rsidR="00292D49" w:rsidRPr="00E21A07" w:rsidRDefault="00292D49" w:rsidP="00292D49">
      <w:pPr>
        <w:spacing w:line="360" w:lineRule="auto"/>
        <w:rPr>
          <w:rFonts w:ascii="Arial" w:hAnsi="Arial" w:cs="Arial"/>
          <w:b/>
          <w:bCs/>
          <w:u w:val="single"/>
        </w:rPr>
      </w:pPr>
      <w:r w:rsidRPr="00E21A07">
        <w:rPr>
          <w:rFonts w:ascii="Arial" w:hAnsi="Arial" w:cs="Arial"/>
          <w:b/>
          <w:bCs/>
          <w:u w:val="single"/>
        </w:rPr>
        <w:t>Structural Conditions and the Reality of Implementation</w:t>
      </w:r>
    </w:p>
    <w:p w14:paraId="68338D89" w14:textId="77777777" w:rsidR="00292D49" w:rsidRPr="00E21A07" w:rsidRDefault="00292D49" w:rsidP="00292D49">
      <w:pPr>
        <w:spacing w:line="360" w:lineRule="auto"/>
        <w:rPr>
          <w:rFonts w:ascii="Arial" w:hAnsi="Arial" w:cs="Arial"/>
        </w:rPr>
      </w:pPr>
    </w:p>
    <w:p w14:paraId="1E761449" w14:textId="4C4AAF4A" w:rsidR="00292D49" w:rsidRPr="00E21A07" w:rsidRDefault="00292D49" w:rsidP="00292D49">
      <w:pPr>
        <w:spacing w:line="360" w:lineRule="auto"/>
        <w:rPr>
          <w:rFonts w:ascii="Arial" w:hAnsi="Arial" w:cs="Arial"/>
        </w:rPr>
      </w:pPr>
      <w:r w:rsidRPr="00E21A07">
        <w:rPr>
          <w:rFonts w:ascii="Arial" w:hAnsi="Arial" w:cs="Arial"/>
        </w:rPr>
        <w:t>Pedagogical expertise alone, however, cannot overcome every implementation barrier. Play-based learning takes place within settings affected by staffing, ratios, time, resources, physical environments and organisational expectations. Bonetti and Brown (2018) identify structural characteristics of early-years provision as relevant to quality, demonstrating why curriculum implementation cannot be considered independently from the conditions in which practitioners work. Practitioners may understand the value of observation and responsive interaction yet have limited opportunities to enact these principles when managing large groups or working with insufficient time and resources.</w:t>
      </w:r>
    </w:p>
    <w:p w14:paraId="2E7924A4" w14:textId="77777777" w:rsidR="00292D49" w:rsidRPr="00E21A07" w:rsidRDefault="00292D49" w:rsidP="00292D49">
      <w:pPr>
        <w:spacing w:line="360" w:lineRule="auto"/>
        <w:rPr>
          <w:rFonts w:ascii="Arial" w:hAnsi="Arial" w:cs="Arial"/>
        </w:rPr>
      </w:pPr>
    </w:p>
    <w:p w14:paraId="32F50598" w14:textId="22B25525" w:rsidR="00292D49" w:rsidRPr="00E21A07" w:rsidRDefault="00292D49" w:rsidP="00292D49">
      <w:pPr>
        <w:spacing w:line="360" w:lineRule="auto"/>
        <w:rPr>
          <w:rFonts w:ascii="Arial" w:hAnsi="Arial" w:cs="Arial"/>
        </w:rPr>
      </w:pPr>
      <w:r w:rsidRPr="00E21A07">
        <w:rPr>
          <w:rFonts w:ascii="Arial" w:hAnsi="Arial" w:cs="Arial"/>
        </w:rPr>
        <w:t xml:space="preserve">This creates an important issue of responsibility. If implementation is inconsistent, attributing this solely to practitioner knowledge risks overlooking systemic constraints. The Curriculum for Wales expects practitioners to create engaging experiences and effective environments alongside responsive adult interactions (Welsh Government, 2022). These expectations are pedagogically coherent, but </w:t>
      </w:r>
      <w:r w:rsidRPr="00E21A07">
        <w:rPr>
          <w:rFonts w:ascii="Arial" w:hAnsi="Arial" w:cs="Arial"/>
        </w:rPr>
        <w:lastRenderedPageBreak/>
        <w:t>they require appropriate material and professional support. Earlier Foundation Phase evidence similarly indicates that translating play-based policy into practice depends upon more than practitioners agreeing philosophically with play (Taylor, Rhys and Waldron, 2016). The implementation of play-based pedagogy should therefore be understood as an interaction between practitioner expertise and the structural conditions that enable that expertise to be exercised.</w:t>
      </w:r>
    </w:p>
    <w:p w14:paraId="4A282A7F" w14:textId="77777777" w:rsidR="00292D49" w:rsidRPr="00E21A07" w:rsidRDefault="00292D49" w:rsidP="00292D49">
      <w:pPr>
        <w:spacing w:line="360" w:lineRule="auto"/>
        <w:rPr>
          <w:rFonts w:ascii="Arial" w:hAnsi="Arial" w:cs="Arial"/>
        </w:rPr>
      </w:pPr>
    </w:p>
    <w:p w14:paraId="7CE46039" w14:textId="787F63E4" w:rsidR="00292D49" w:rsidRPr="00E21A07" w:rsidRDefault="00292D49" w:rsidP="00292D49">
      <w:pPr>
        <w:spacing w:line="360" w:lineRule="auto"/>
        <w:rPr>
          <w:rFonts w:ascii="Arial" w:hAnsi="Arial" w:cs="Arial"/>
        </w:rPr>
      </w:pPr>
      <w:r w:rsidRPr="00E21A07">
        <w:rPr>
          <w:rFonts w:ascii="Arial" w:hAnsi="Arial" w:cs="Arial"/>
        </w:rPr>
        <w:t>Environment provides a clear example. Outdoor and flexible environments can offer opportunities for exploration, movement and child-initiated activity, yet simply providing an environment does not guarantee high-quality pedagogy. Bilton and Waters (2017) demonstrate that practitioners' understandings of the purposes of outdoor learning influence how such provision is conceptualised. Similarly, Merewether (2015) foregrounds children's perspectives on outdoor learning spaces, illustrating the importance of considering what children themselves value within environments. These perspectives challenge implementation approaches that concentrate primarily upon resources rather than children's actual experiences of provision.</w:t>
      </w:r>
    </w:p>
    <w:p w14:paraId="6983EACC" w14:textId="77777777" w:rsidR="00292D49" w:rsidRPr="00E21A07" w:rsidRDefault="00292D49" w:rsidP="00292D49">
      <w:pPr>
        <w:spacing w:line="360" w:lineRule="auto"/>
        <w:rPr>
          <w:rFonts w:ascii="Arial" w:hAnsi="Arial" w:cs="Arial"/>
        </w:rPr>
      </w:pPr>
    </w:p>
    <w:p w14:paraId="2626A8EA" w14:textId="77777777" w:rsidR="00292D49" w:rsidRPr="00E21A07" w:rsidRDefault="00292D49" w:rsidP="00292D49">
      <w:pPr>
        <w:spacing w:line="360" w:lineRule="auto"/>
        <w:rPr>
          <w:rFonts w:ascii="Arial" w:hAnsi="Arial" w:cs="Arial"/>
        </w:rPr>
      </w:pPr>
    </w:p>
    <w:p w14:paraId="604C59E6" w14:textId="01F32FF8" w:rsidR="00292D49" w:rsidRPr="00E21A07" w:rsidRDefault="00292D49" w:rsidP="00292D49">
      <w:pPr>
        <w:spacing w:line="360" w:lineRule="auto"/>
        <w:rPr>
          <w:rFonts w:ascii="Arial" w:hAnsi="Arial" w:cs="Arial"/>
          <w:b/>
          <w:bCs/>
          <w:u w:val="single"/>
        </w:rPr>
      </w:pPr>
      <w:r w:rsidRPr="00E21A07">
        <w:rPr>
          <w:rFonts w:ascii="Arial" w:hAnsi="Arial" w:cs="Arial"/>
          <w:b/>
          <w:bCs/>
          <w:u w:val="single"/>
        </w:rPr>
        <w:t>Inclusion and the Child-Centred Curriculum</w:t>
      </w:r>
    </w:p>
    <w:p w14:paraId="42C876EE" w14:textId="77777777" w:rsidR="00292D49" w:rsidRPr="00E21A07" w:rsidRDefault="00292D49" w:rsidP="00292D49">
      <w:pPr>
        <w:spacing w:line="360" w:lineRule="auto"/>
        <w:rPr>
          <w:rFonts w:ascii="Arial" w:hAnsi="Arial" w:cs="Arial"/>
        </w:rPr>
      </w:pPr>
    </w:p>
    <w:p w14:paraId="6C21BBAC" w14:textId="14F0DB85" w:rsidR="00292D49" w:rsidRPr="00E21A07" w:rsidRDefault="00292D49" w:rsidP="00292D49">
      <w:pPr>
        <w:spacing w:line="360" w:lineRule="auto"/>
        <w:rPr>
          <w:rFonts w:ascii="Arial" w:hAnsi="Arial" w:cs="Arial"/>
        </w:rPr>
      </w:pPr>
      <w:r w:rsidRPr="00E21A07">
        <w:rPr>
          <w:rFonts w:ascii="Arial" w:hAnsi="Arial" w:cs="Arial"/>
        </w:rPr>
        <w:t>A final challenge concerns whether play-based pedagogy is genuinely equitable and child-centred. Curriculum flexibility potentially allows practitioners to respond to differences in development, language, communication, culture and additional learning needs. However, providing choice does not automatically ensure that every child can participate equally. Children's previous experiences, communication styles and confidence can influence how readily they access forms of play.</w:t>
      </w:r>
    </w:p>
    <w:p w14:paraId="7C507D12" w14:textId="77777777" w:rsidR="00292D49" w:rsidRPr="00E21A07" w:rsidRDefault="00292D49" w:rsidP="00292D49">
      <w:pPr>
        <w:spacing w:line="360" w:lineRule="auto"/>
        <w:rPr>
          <w:rFonts w:ascii="Arial" w:hAnsi="Arial" w:cs="Arial"/>
        </w:rPr>
      </w:pPr>
    </w:p>
    <w:p w14:paraId="65299DA2" w14:textId="0B9F60C8" w:rsidR="00292D49" w:rsidRPr="00E21A07" w:rsidRDefault="00292D49" w:rsidP="00292D49">
      <w:pPr>
        <w:spacing w:line="360" w:lineRule="auto"/>
        <w:rPr>
          <w:rFonts w:ascii="Arial" w:hAnsi="Arial" w:cs="Arial"/>
        </w:rPr>
      </w:pPr>
      <w:r w:rsidRPr="00E21A07">
        <w:rPr>
          <w:rFonts w:ascii="Arial" w:hAnsi="Arial" w:cs="Arial"/>
        </w:rPr>
        <w:t xml:space="preserve">This complicates assumptions that play is inherently inclusive. A genuinely child-centred pedagogy requires practitioners to consider not only whether children are offered choices but also whose choices are recognised, who can access the environment independently and who may require adaptation or sensitive adult support. Trevarthen, Delafield-Butt and Dunlop (2018) emphasise the importance of recognising children's natural values and individual experiences within curriculum, </w:t>
      </w:r>
      <w:r w:rsidRPr="00E21A07">
        <w:rPr>
          <w:rFonts w:ascii="Arial" w:hAnsi="Arial" w:cs="Arial"/>
        </w:rPr>
        <w:lastRenderedPageBreak/>
        <w:t>while McLachlan, Fleer and Edwards (2018) similarly position curriculum implementation as responsive to children rather than mechanically delivered. Flexibility is therefore valuable, but without knowledgeable practitioners and adequate support it may result in different levels of access rather than genuine inclusion.</w:t>
      </w:r>
    </w:p>
    <w:p w14:paraId="13F9C352" w14:textId="77777777" w:rsidR="00292D49" w:rsidRPr="00E21A07" w:rsidRDefault="00292D49" w:rsidP="00292D49">
      <w:pPr>
        <w:spacing w:line="360" w:lineRule="auto"/>
        <w:rPr>
          <w:rFonts w:ascii="Arial" w:hAnsi="Arial" w:cs="Arial"/>
          <w:b/>
          <w:bCs/>
          <w:u w:val="single"/>
        </w:rPr>
      </w:pPr>
    </w:p>
    <w:p w14:paraId="67BC74C9" w14:textId="77777777" w:rsidR="00292D49" w:rsidRPr="00E21A07" w:rsidRDefault="00292D49" w:rsidP="00292D49">
      <w:pPr>
        <w:spacing w:line="360" w:lineRule="auto"/>
        <w:rPr>
          <w:rFonts w:ascii="Arial" w:hAnsi="Arial" w:cs="Arial"/>
          <w:b/>
          <w:bCs/>
          <w:u w:val="single"/>
        </w:rPr>
      </w:pPr>
    </w:p>
    <w:p w14:paraId="08913C47" w14:textId="61C899AD" w:rsidR="00292D49" w:rsidRPr="00E21A07" w:rsidRDefault="00292D49" w:rsidP="00292D49">
      <w:pPr>
        <w:spacing w:line="360" w:lineRule="auto"/>
        <w:rPr>
          <w:rFonts w:ascii="Arial" w:hAnsi="Arial" w:cs="Arial"/>
          <w:b/>
          <w:bCs/>
          <w:u w:val="single"/>
        </w:rPr>
      </w:pPr>
      <w:r w:rsidRPr="00E21A07">
        <w:rPr>
          <w:rFonts w:ascii="Arial" w:hAnsi="Arial" w:cs="Arial"/>
          <w:b/>
          <w:bCs/>
          <w:u w:val="single"/>
        </w:rPr>
        <w:t>Conclusion</w:t>
      </w:r>
    </w:p>
    <w:p w14:paraId="401E3449" w14:textId="77777777" w:rsidR="00292D49" w:rsidRPr="00E21A07" w:rsidRDefault="00292D49" w:rsidP="00292D49">
      <w:pPr>
        <w:spacing w:line="360" w:lineRule="auto"/>
        <w:rPr>
          <w:rFonts w:ascii="Arial" w:hAnsi="Arial" w:cs="Arial"/>
        </w:rPr>
      </w:pPr>
    </w:p>
    <w:p w14:paraId="46C21CE6" w14:textId="7EDE0B6E" w:rsidR="00292D49" w:rsidRPr="00E21A07" w:rsidRDefault="00292D49" w:rsidP="00292D49">
      <w:pPr>
        <w:spacing w:line="360" w:lineRule="auto"/>
        <w:rPr>
          <w:rFonts w:ascii="Arial" w:hAnsi="Arial" w:cs="Arial"/>
        </w:rPr>
      </w:pPr>
      <w:r w:rsidRPr="00E21A07">
        <w:rPr>
          <w:rFonts w:ascii="Arial" w:hAnsi="Arial" w:cs="Arial"/>
        </w:rPr>
        <w:t>Overall, the central challenge of implementing play-based pedagogy within Curriculum for Wales lies in translating an ambitious and flexible curriculum philosophy into consistent, intentional and equitable practice. Evidence from both the former Foundation Phase and contemporary foundation learning demonstrates that curriculum reform is mediated by practitioner interpretation, professional knowledge and contextual conditions (Taylor, Rhys and Waldron, 2016; Duggan et al., 2026). Research also challenges a simplistic opposition between free play and adult teaching: adult guidance may enhance learning outcomes, but its effectiveness varies and must preserve meaningful opportunities for children's agency (McInnes et al., 2011; Skene et al., 2022). Consequently, successful implementation depends not simply upon placing play within curriculum policy, but upon well-informed practitioners, appropriate professional learning, enabling structural conditions and pedagogy that remains responsive to diverse children.</w:t>
      </w:r>
    </w:p>
    <w:p w14:paraId="1478CE14" w14:textId="77777777" w:rsidR="00292D49" w:rsidRPr="00E21A07" w:rsidRDefault="00292D49" w:rsidP="00292D49">
      <w:pPr>
        <w:spacing w:line="360" w:lineRule="auto"/>
        <w:rPr>
          <w:rFonts w:ascii="Arial" w:hAnsi="Arial" w:cs="Arial"/>
        </w:rPr>
      </w:pPr>
    </w:p>
    <w:p w14:paraId="3894DA11" w14:textId="77777777" w:rsidR="00292D49" w:rsidRPr="00E21A07" w:rsidRDefault="00292D49" w:rsidP="00292D49">
      <w:pPr>
        <w:spacing w:line="360" w:lineRule="auto"/>
        <w:rPr>
          <w:rFonts w:ascii="Arial" w:hAnsi="Arial" w:cs="Arial"/>
        </w:rPr>
      </w:pPr>
    </w:p>
    <w:p w14:paraId="31415BA0" w14:textId="77777777" w:rsidR="00292D49" w:rsidRPr="00E21A07" w:rsidRDefault="00292D49" w:rsidP="00292D49">
      <w:pPr>
        <w:spacing w:line="360" w:lineRule="auto"/>
        <w:rPr>
          <w:rFonts w:ascii="Arial" w:hAnsi="Arial" w:cs="Arial"/>
        </w:rPr>
      </w:pPr>
    </w:p>
    <w:p w14:paraId="3EFF7F70" w14:textId="77777777" w:rsidR="00292D49" w:rsidRPr="00E21A07" w:rsidRDefault="00292D49" w:rsidP="00292D49">
      <w:pPr>
        <w:spacing w:line="360" w:lineRule="auto"/>
        <w:rPr>
          <w:rFonts w:ascii="Arial" w:hAnsi="Arial" w:cs="Arial"/>
        </w:rPr>
      </w:pPr>
    </w:p>
    <w:p w14:paraId="3514C948" w14:textId="77777777" w:rsidR="00292D49" w:rsidRPr="00E21A07" w:rsidRDefault="00292D49" w:rsidP="00292D49">
      <w:pPr>
        <w:spacing w:line="360" w:lineRule="auto"/>
        <w:rPr>
          <w:rFonts w:ascii="Arial" w:hAnsi="Arial" w:cs="Arial"/>
        </w:rPr>
      </w:pPr>
    </w:p>
    <w:p w14:paraId="71C90F45" w14:textId="77777777" w:rsidR="00292D49" w:rsidRPr="00E21A07" w:rsidRDefault="00292D49" w:rsidP="00292D49">
      <w:pPr>
        <w:spacing w:line="360" w:lineRule="auto"/>
        <w:rPr>
          <w:rFonts w:ascii="Arial" w:hAnsi="Arial" w:cs="Arial"/>
        </w:rPr>
      </w:pPr>
    </w:p>
    <w:p w14:paraId="622F0204" w14:textId="77777777" w:rsidR="00292D49" w:rsidRPr="00E21A07" w:rsidRDefault="00292D49" w:rsidP="00292D49">
      <w:pPr>
        <w:spacing w:line="360" w:lineRule="auto"/>
        <w:rPr>
          <w:rFonts w:ascii="Arial" w:hAnsi="Arial" w:cs="Arial"/>
        </w:rPr>
      </w:pPr>
    </w:p>
    <w:p w14:paraId="3C68CEA1" w14:textId="77777777" w:rsidR="00292D49" w:rsidRPr="00E21A07" w:rsidRDefault="00292D49" w:rsidP="00292D49">
      <w:pPr>
        <w:spacing w:line="360" w:lineRule="auto"/>
        <w:rPr>
          <w:rFonts w:ascii="Arial" w:hAnsi="Arial" w:cs="Arial"/>
        </w:rPr>
      </w:pPr>
    </w:p>
    <w:p w14:paraId="71917FE3" w14:textId="77777777" w:rsidR="00292D49" w:rsidRPr="00E21A07" w:rsidRDefault="00292D49" w:rsidP="00292D49">
      <w:pPr>
        <w:spacing w:line="360" w:lineRule="auto"/>
        <w:rPr>
          <w:rFonts w:ascii="Arial" w:hAnsi="Arial" w:cs="Arial"/>
        </w:rPr>
      </w:pPr>
    </w:p>
    <w:p w14:paraId="4CA1BF24" w14:textId="77777777" w:rsidR="00292D49" w:rsidRPr="00E21A07" w:rsidRDefault="00292D49" w:rsidP="00292D49">
      <w:pPr>
        <w:spacing w:line="360" w:lineRule="auto"/>
        <w:rPr>
          <w:rFonts w:ascii="Arial" w:hAnsi="Arial" w:cs="Arial"/>
        </w:rPr>
      </w:pPr>
    </w:p>
    <w:p w14:paraId="3D0EFA25" w14:textId="77777777" w:rsidR="00292D49" w:rsidRPr="00E21A07" w:rsidRDefault="00292D49" w:rsidP="00292D49">
      <w:pPr>
        <w:spacing w:line="360" w:lineRule="auto"/>
        <w:rPr>
          <w:rFonts w:ascii="Arial" w:hAnsi="Arial" w:cs="Arial"/>
        </w:rPr>
      </w:pPr>
    </w:p>
    <w:p w14:paraId="31B98F96" w14:textId="77777777" w:rsidR="00292D49" w:rsidRPr="00E21A07" w:rsidRDefault="00292D49" w:rsidP="00292D49">
      <w:pPr>
        <w:spacing w:line="360" w:lineRule="auto"/>
        <w:rPr>
          <w:rFonts w:ascii="Arial" w:hAnsi="Arial" w:cs="Arial"/>
        </w:rPr>
      </w:pPr>
    </w:p>
    <w:p w14:paraId="6F83325D" w14:textId="77777777" w:rsidR="00292D49" w:rsidRPr="00E21A07" w:rsidRDefault="00292D49" w:rsidP="00292D49">
      <w:pPr>
        <w:spacing w:line="360" w:lineRule="auto"/>
        <w:rPr>
          <w:rFonts w:ascii="Arial" w:hAnsi="Arial" w:cs="Arial"/>
          <w:u w:val="single"/>
        </w:rPr>
      </w:pPr>
    </w:p>
    <w:p w14:paraId="6F1E0234" w14:textId="1ED2D929" w:rsidR="00292D49" w:rsidRPr="00E21A07" w:rsidRDefault="00292D49" w:rsidP="00292D49">
      <w:pPr>
        <w:spacing w:line="360" w:lineRule="auto"/>
        <w:rPr>
          <w:rFonts w:ascii="Arial" w:hAnsi="Arial" w:cs="Arial"/>
          <w:b/>
          <w:bCs/>
          <w:u w:val="single"/>
        </w:rPr>
      </w:pPr>
      <w:r w:rsidRPr="00E21A07">
        <w:rPr>
          <w:rFonts w:ascii="Arial" w:hAnsi="Arial" w:cs="Arial"/>
          <w:b/>
          <w:bCs/>
          <w:u w:val="single"/>
        </w:rPr>
        <w:t>Section Two: The ‘Unique Child’ - Assessment, Progress Tracking and Developmental Models</w:t>
      </w:r>
    </w:p>
    <w:p w14:paraId="1B110F5F" w14:textId="77777777" w:rsidR="00292D49" w:rsidRPr="00E21A07" w:rsidRDefault="00292D49" w:rsidP="00292D49">
      <w:pPr>
        <w:spacing w:line="360" w:lineRule="auto"/>
        <w:rPr>
          <w:rFonts w:ascii="Arial" w:hAnsi="Arial" w:cs="Arial"/>
          <w:b/>
          <w:bCs/>
        </w:rPr>
      </w:pPr>
    </w:p>
    <w:p w14:paraId="13895E17" w14:textId="77777777" w:rsidR="00292D49" w:rsidRPr="00E21A07" w:rsidRDefault="00292D49" w:rsidP="00292D49">
      <w:pPr>
        <w:spacing w:line="360" w:lineRule="auto"/>
        <w:rPr>
          <w:rFonts w:ascii="Arial" w:hAnsi="Arial" w:cs="Arial"/>
          <w:b/>
          <w:bCs/>
          <w:u w:val="single"/>
        </w:rPr>
      </w:pPr>
    </w:p>
    <w:p w14:paraId="6D4786E4" w14:textId="23FBF241" w:rsidR="00292D49" w:rsidRPr="00E21A07" w:rsidRDefault="00292D49" w:rsidP="00292D49">
      <w:pPr>
        <w:spacing w:line="360" w:lineRule="auto"/>
        <w:rPr>
          <w:rFonts w:ascii="Arial" w:hAnsi="Arial" w:cs="Arial"/>
          <w:b/>
          <w:bCs/>
          <w:u w:val="single"/>
        </w:rPr>
      </w:pPr>
      <w:r w:rsidRPr="00E21A07">
        <w:rPr>
          <w:rFonts w:ascii="Arial" w:hAnsi="Arial" w:cs="Arial"/>
          <w:b/>
          <w:bCs/>
          <w:u w:val="single"/>
        </w:rPr>
        <w:t>Introduction</w:t>
      </w:r>
    </w:p>
    <w:p w14:paraId="2D268E63" w14:textId="77777777" w:rsidR="00292D49" w:rsidRPr="00E21A07" w:rsidRDefault="00292D49" w:rsidP="00292D49">
      <w:pPr>
        <w:spacing w:line="360" w:lineRule="auto"/>
        <w:rPr>
          <w:rFonts w:ascii="Arial" w:hAnsi="Arial" w:cs="Arial"/>
          <w:b/>
          <w:bCs/>
        </w:rPr>
      </w:pPr>
    </w:p>
    <w:p w14:paraId="3213AD48" w14:textId="6FBD9B5F" w:rsidR="00292D49" w:rsidRPr="00E21A07" w:rsidRDefault="00292D49" w:rsidP="00292D49">
      <w:pPr>
        <w:spacing w:line="360" w:lineRule="auto"/>
        <w:rPr>
          <w:rFonts w:ascii="Arial" w:hAnsi="Arial" w:cs="Arial"/>
        </w:rPr>
      </w:pPr>
      <w:r w:rsidRPr="00E21A07">
        <w:rPr>
          <w:rFonts w:ascii="Arial" w:hAnsi="Arial" w:cs="Arial"/>
        </w:rPr>
        <w:t>The concept of the ‘Unique Child’ recognises that children develop and learn in individual ways and bring different experiences, identities, abilities and needs to early childhood education (McLachlan, Fleer and Edwards, 2018; Trevarthen, Delafield-Butt and Dunlop, 2018). Assessment can help practitioners recognise learning, identify progress and plan appropriate support; however, difficulties arise when predetermined expectations are treated as universal measures of what children should achieve at ages (Tierney, 2013; Montoya-Fernández et al., 2024). Contemporary research demonstrates the complexity of developmental assessment in play-based education, with considerable variation in the developmental domains and instruments used (Montoya-Fernández et al., 2024).</w:t>
      </w:r>
    </w:p>
    <w:p w14:paraId="5BD556B5" w14:textId="77777777" w:rsidR="00292D49" w:rsidRPr="00E21A07" w:rsidRDefault="00292D49" w:rsidP="00292D49">
      <w:pPr>
        <w:spacing w:line="360" w:lineRule="auto"/>
        <w:rPr>
          <w:rFonts w:ascii="Arial" w:hAnsi="Arial" w:cs="Arial"/>
        </w:rPr>
      </w:pPr>
    </w:p>
    <w:p w14:paraId="37EB623F" w14:textId="77777777" w:rsidR="00292D49" w:rsidRPr="00E21A07" w:rsidRDefault="00292D49" w:rsidP="00292D49">
      <w:pPr>
        <w:spacing w:line="360" w:lineRule="auto"/>
        <w:rPr>
          <w:rFonts w:ascii="Arial" w:hAnsi="Arial" w:cs="Arial"/>
        </w:rPr>
      </w:pPr>
      <w:r w:rsidRPr="00E21A07">
        <w:rPr>
          <w:rFonts w:ascii="Arial" w:hAnsi="Arial" w:cs="Arial"/>
        </w:rPr>
        <w:t>This section critically compares two approaches within the Welsh context: the former Foundation Phase Profile, incorporating developmental outcomes and expectations, and the more individualised, observation- and progression-focused approach associated with Curriculum for Wales. Consideration is given to whether each approach recognises developmental variation, language, ALN and neurodiversity while providing meaningful evidence of progression.</w:t>
      </w:r>
    </w:p>
    <w:p w14:paraId="2BE2BC4C" w14:textId="77777777" w:rsidR="00292D49" w:rsidRPr="00E21A07" w:rsidRDefault="00292D49" w:rsidP="00292D49">
      <w:pPr>
        <w:spacing w:line="360" w:lineRule="auto"/>
        <w:rPr>
          <w:rFonts w:ascii="Arial" w:hAnsi="Arial" w:cs="Arial"/>
          <w:b/>
          <w:bCs/>
          <w:u w:val="single"/>
        </w:rPr>
      </w:pPr>
    </w:p>
    <w:p w14:paraId="33B80FCE" w14:textId="77777777" w:rsidR="00292D49" w:rsidRPr="00E21A07" w:rsidRDefault="00292D49" w:rsidP="00292D49">
      <w:pPr>
        <w:spacing w:line="360" w:lineRule="auto"/>
        <w:rPr>
          <w:rFonts w:ascii="Arial" w:hAnsi="Arial" w:cs="Arial"/>
          <w:b/>
          <w:bCs/>
          <w:u w:val="single"/>
        </w:rPr>
      </w:pPr>
    </w:p>
    <w:p w14:paraId="5C24E27A" w14:textId="6F43A228" w:rsidR="00292D49" w:rsidRPr="00E21A07" w:rsidRDefault="00292D49" w:rsidP="00292D49">
      <w:pPr>
        <w:spacing w:line="360" w:lineRule="auto"/>
        <w:rPr>
          <w:rFonts w:ascii="Arial" w:hAnsi="Arial" w:cs="Arial"/>
          <w:b/>
          <w:bCs/>
          <w:u w:val="single"/>
        </w:rPr>
      </w:pPr>
      <w:r w:rsidRPr="00E21A07">
        <w:rPr>
          <w:rFonts w:ascii="Arial" w:hAnsi="Arial" w:cs="Arial"/>
          <w:b/>
          <w:bCs/>
          <w:u w:val="single"/>
        </w:rPr>
        <w:t>Developmental Expectations and the Foundation Phase Profile</w:t>
      </w:r>
    </w:p>
    <w:p w14:paraId="29A0B464" w14:textId="77777777" w:rsidR="00292D49" w:rsidRPr="00E21A07" w:rsidRDefault="00292D49" w:rsidP="00292D49">
      <w:pPr>
        <w:spacing w:line="360" w:lineRule="auto"/>
        <w:rPr>
          <w:rFonts w:ascii="Arial" w:hAnsi="Arial" w:cs="Arial"/>
        </w:rPr>
      </w:pPr>
    </w:p>
    <w:p w14:paraId="0E114920" w14:textId="7CE062D3" w:rsidR="00292D49" w:rsidRPr="00E21A07" w:rsidRDefault="00292D49" w:rsidP="00292D49">
      <w:pPr>
        <w:spacing w:line="360" w:lineRule="auto"/>
        <w:rPr>
          <w:rFonts w:ascii="Arial" w:hAnsi="Arial" w:cs="Arial"/>
        </w:rPr>
      </w:pPr>
      <w:r w:rsidRPr="00E21A07">
        <w:rPr>
          <w:rFonts w:ascii="Arial" w:hAnsi="Arial" w:cs="Arial"/>
        </w:rPr>
        <w:t>Developmental frameworks can provide common reference points for considering children's learning and identifying areas where further support may be appropriate (McLachlan, Fleer and Edwards, 2018). The Foundation Phase Profile provided such a framework within the former Welsh Foundation Phase, combining assessment of children's skills and development with observation in everyday practice (Welsh Government, 2022</w:t>
      </w:r>
      <w:r w:rsidR="00B70081" w:rsidRPr="00E21A07">
        <w:rPr>
          <w:rFonts w:ascii="Arial" w:hAnsi="Arial" w:cs="Arial"/>
        </w:rPr>
        <w:t>b</w:t>
      </w:r>
      <w:r w:rsidRPr="00E21A07">
        <w:rPr>
          <w:rFonts w:ascii="Arial" w:hAnsi="Arial" w:cs="Arial"/>
        </w:rPr>
        <w:t xml:space="preserve">). Practitioners generally considered the Profile useful for </w:t>
      </w:r>
      <w:r w:rsidRPr="00E21A07">
        <w:rPr>
          <w:rFonts w:ascii="Arial" w:hAnsi="Arial" w:cs="Arial"/>
        </w:rPr>
        <w:lastRenderedPageBreak/>
        <w:t>establishing a baseline and identifying next steps, while observation enabled much assessment to remain compatible with play-based pedagogy (Welsh Government, 2022</w:t>
      </w:r>
      <w:r w:rsidR="00B70081" w:rsidRPr="00E21A07">
        <w:rPr>
          <w:rFonts w:ascii="Arial" w:hAnsi="Arial" w:cs="Arial"/>
        </w:rPr>
        <w:t>b</w:t>
      </w:r>
      <w:r w:rsidRPr="00E21A07">
        <w:rPr>
          <w:rFonts w:ascii="Arial" w:hAnsi="Arial" w:cs="Arial"/>
        </w:rPr>
        <w:t>).</w:t>
      </w:r>
    </w:p>
    <w:p w14:paraId="2D60ADDE" w14:textId="77777777" w:rsidR="00292D49" w:rsidRPr="00E21A07" w:rsidRDefault="00292D49" w:rsidP="00292D49">
      <w:pPr>
        <w:spacing w:line="360" w:lineRule="auto"/>
        <w:rPr>
          <w:rFonts w:ascii="Arial" w:hAnsi="Arial" w:cs="Arial"/>
        </w:rPr>
      </w:pPr>
    </w:p>
    <w:p w14:paraId="482F0C31" w14:textId="17EE796C" w:rsidR="00292D49" w:rsidRPr="00E21A07" w:rsidRDefault="00292D49" w:rsidP="00292D49">
      <w:pPr>
        <w:spacing w:line="360" w:lineRule="auto"/>
        <w:rPr>
          <w:rFonts w:ascii="Arial" w:hAnsi="Arial" w:cs="Arial"/>
        </w:rPr>
      </w:pPr>
      <w:r w:rsidRPr="00E21A07">
        <w:rPr>
          <w:rFonts w:ascii="Arial" w:hAnsi="Arial" w:cs="Arial"/>
        </w:rPr>
        <w:t>Nevertheless, the Unique Child raises questions about predetermined developmental expectations. Children do not necessarily develop evenly across domains, while chronological age cannot fully account for differences in experience, language, relationships or individual developmental trajectories (McLachlan, Fleer and Edwards, 2018; Montoya-Fernández et al., 2024). Montoya-Fernández et al. (2024) identified 41 developmental play-based assessment instruments across 5</w:t>
      </w:r>
      <w:r w:rsidR="00B70081" w:rsidRPr="00E21A07">
        <w:rPr>
          <w:rFonts w:ascii="Arial" w:hAnsi="Arial" w:cs="Arial"/>
        </w:rPr>
        <w:t>6</w:t>
      </w:r>
      <w:r w:rsidRPr="00E21A07">
        <w:rPr>
          <w:rFonts w:ascii="Arial" w:hAnsi="Arial" w:cs="Arial"/>
        </w:rPr>
        <w:t xml:space="preserve"> studies, with considerable variation in whether cognitive, socio-emotional or psychomotor development was prioritised. This illustrates that assessment does not simply discover development; what is measured influences the picture produced.</w:t>
      </w:r>
    </w:p>
    <w:p w14:paraId="624F3D9F" w14:textId="77777777" w:rsidR="00292D49" w:rsidRPr="00E21A07" w:rsidRDefault="00292D49" w:rsidP="00292D49">
      <w:pPr>
        <w:spacing w:line="360" w:lineRule="auto"/>
        <w:rPr>
          <w:rFonts w:ascii="Arial" w:hAnsi="Arial" w:cs="Arial"/>
        </w:rPr>
      </w:pPr>
    </w:p>
    <w:p w14:paraId="4FF39D26" w14:textId="473C27B2" w:rsidR="00292D49" w:rsidRPr="00E21A07" w:rsidRDefault="00292D49" w:rsidP="00292D49">
      <w:pPr>
        <w:spacing w:line="360" w:lineRule="auto"/>
        <w:rPr>
          <w:rFonts w:ascii="Arial" w:hAnsi="Arial" w:cs="Arial"/>
        </w:rPr>
      </w:pPr>
      <w:r w:rsidRPr="00E21A07">
        <w:rPr>
          <w:rFonts w:ascii="Arial" w:hAnsi="Arial" w:cs="Arial"/>
        </w:rPr>
        <w:t>Welsh evidence reveals a similar tension between assessment and play-based pedagogy. Although practitioners generally valued the Foundation Phase Profile's use of observation, practitioners across most participating schools reported sometimes constructing specific activities, including desk-based tasks, because skills could not easily be observed through play (Welsh Government, 2022</w:t>
      </w:r>
      <w:r w:rsidR="00B70081" w:rsidRPr="00E21A07">
        <w:rPr>
          <w:rFonts w:ascii="Arial" w:hAnsi="Arial" w:cs="Arial"/>
        </w:rPr>
        <w:t>b</w:t>
      </w:r>
      <w:r w:rsidRPr="00E21A07">
        <w:rPr>
          <w:rFonts w:ascii="Arial" w:hAnsi="Arial" w:cs="Arial"/>
        </w:rPr>
        <w:t>). Assessment expectations could therefore influence children's experiences rather than simply documenting naturally occurring learning.</w:t>
      </w:r>
    </w:p>
    <w:p w14:paraId="2208AC77" w14:textId="77777777" w:rsidR="00292D49" w:rsidRPr="00E21A07" w:rsidRDefault="00292D49" w:rsidP="00292D49">
      <w:pPr>
        <w:spacing w:line="360" w:lineRule="auto"/>
        <w:rPr>
          <w:rFonts w:ascii="Arial" w:hAnsi="Arial" w:cs="Arial"/>
        </w:rPr>
      </w:pPr>
    </w:p>
    <w:p w14:paraId="4FE0A37B" w14:textId="7345B7F7" w:rsidR="00292D49" w:rsidRPr="00E21A07" w:rsidRDefault="00292D49" w:rsidP="00292D49">
      <w:pPr>
        <w:spacing w:line="360" w:lineRule="auto"/>
        <w:rPr>
          <w:rFonts w:ascii="Arial" w:hAnsi="Arial" w:cs="Arial"/>
        </w:rPr>
      </w:pPr>
      <w:r w:rsidRPr="00E21A07">
        <w:rPr>
          <w:rFonts w:ascii="Arial" w:hAnsi="Arial" w:cs="Arial"/>
        </w:rPr>
        <w:t>This difficulty extends beyond Wales. Pyle, DeLuca, Danniels and Wickstrom (2020) identified seven pathways through which teachers connected learning goals, forms of play and assessment within play-based kindergarten classrooms. Their findings challenge the assumption that there is one straightforward method for assessing learning through play. Instead, assessment and pedagogy interact practitioners' understandings of worthwhile evidence can affect how they observe children and organise play.</w:t>
      </w:r>
    </w:p>
    <w:p w14:paraId="710C677E" w14:textId="77777777" w:rsidR="00292D49" w:rsidRPr="00E21A07" w:rsidRDefault="00292D49" w:rsidP="00292D49">
      <w:pPr>
        <w:spacing w:line="360" w:lineRule="auto"/>
        <w:rPr>
          <w:rFonts w:ascii="Arial" w:hAnsi="Arial" w:cs="Arial"/>
        </w:rPr>
      </w:pPr>
    </w:p>
    <w:p w14:paraId="77EC7601" w14:textId="77777777" w:rsidR="00292D49" w:rsidRPr="00E21A07" w:rsidRDefault="00292D49" w:rsidP="00292D49">
      <w:pPr>
        <w:spacing w:line="360" w:lineRule="auto"/>
        <w:rPr>
          <w:rFonts w:ascii="Arial" w:hAnsi="Arial" w:cs="Arial"/>
        </w:rPr>
      </w:pPr>
      <w:r w:rsidRPr="00E21A07">
        <w:rPr>
          <w:rFonts w:ascii="Arial" w:hAnsi="Arial" w:cs="Arial"/>
        </w:rPr>
        <w:t xml:space="preserve">Developmental frameworks should therefore not necessarily be rejected. They may support professional communication, recognition of progression and identification of possible additional needs. The difficulty occurs when a reference point becomes a fixed judgement of the child. From a Unique Child perspective, developmental </w:t>
      </w:r>
      <w:r w:rsidRPr="00E21A07">
        <w:rPr>
          <w:rFonts w:ascii="Arial" w:hAnsi="Arial" w:cs="Arial"/>
        </w:rPr>
        <w:lastRenderedPageBreak/>
        <w:t>knowledge is more appropriate when it informs professional interpretation rather than determining what a child is assumed to be capable of.</w:t>
      </w:r>
    </w:p>
    <w:p w14:paraId="678677F5" w14:textId="77777777" w:rsidR="00292D49" w:rsidRPr="00E21A07" w:rsidRDefault="00292D49" w:rsidP="00292D49">
      <w:pPr>
        <w:spacing w:line="360" w:lineRule="auto"/>
        <w:rPr>
          <w:rFonts w:ascii="Arial" w:hAnsi="Arial" w:cs="Arial"/>
        </w:rPr>
      </w:pPr>
    </w:p>
    <w:p w14:paraId="4FE4119A" w14:textId="77777777" w:rsidR="00292D49" w:rsidRPr="00E21A07" w:rsidRDefault="00292D49" w:rsidP="00292D49">
      <w:pPr>
        <w:spacing w:line="360" w:lineRule="auto"/>
        <w:rPr>
          <w:rFonts w:ascii="Arial" w:hAnsi="Arial" w:cs="Arial"/>
        </w:rPr>
      </w:pPr>
    </w:p>
    <w:p w14:paraId="1788713C" w14:textId="77777777" w:rsidR="00292D49" w:rsidRPr="00E21A07" w:rsidRDefault="00292D49" w:rsidP="00292D49">
      <w:pPr>
        <w:spacing w:line="360" w:lineRule="auto"/>
        <w:rPr>
          <w:rFonts w:ascii="Arial" w:hAnsi="Arial" w:cs="Arial"/>
        </w:rPr>
      </w:pPr>
    </w:p>
    <w:p w14:paraId="4577F9C7" w14:textId="7B8424E5" w:rsidR="00292D49" w:rsidRPr="00E21A07" w:rsidRDefault="00292D49" w:rsidP="00292D49">
      <w:pPr>
        <w:spacing w:line="360" w:lineRule="auto"/>
        <w:rPr>
          <w:rFonts w:ascii="Arial" w:hAnsi="Arial" w:cs="Arial"/>
          <w:b/>
          <w:bCs/>
          <w:u w:val="single"/>
        </w:rPr>
      </w:pPr>
      <w:r w:rsidRPr="00E21A07">
        <w:rPr>
          <w:rFonts w:ascii="Arial" w:hAnsi="Arial" w:cs="Arial"/>
          <w:b/>
          <w:bCs/>
          <w:u w:val="single"/>
        </w:rPr>
        <w:t>Observation and Individual Progression within Curriculum for Wales</w:t>
      </w:r>
    </w:p>
    <w:p w14:paraId="315B73DB" w14:textId="77777777" w:rsidR="00292D49" w:rsidRPr="00E21A07" w:rsidRDefault="00292D49" w:rsidP="00292D49">
      <w:pPr>
        <w:spacing w:line="360" w:lineRule="auto"/>
        <w:rPr>
          <w:rFonts w:ascii="Arial" w:hAnsi="Arial" w:cs="Arial"/>
        </w:rPr>
      </w:pPr>
    </w:p>
    <w:p w14:paraId="26B6130C" w14:textId="2CF6CF66" w:rsidR="00292D49" w:rsidRPr="00E21A07" w:rsidRDefault="00292D49" w:rsidP="00292D49">
      <w:pPr>
        <w:spacing w:line="360" w:lineRule="auto"/>
        <w:rPr>
          <w:rFonts w:ascii="Arial" w:hAnsi="Arial" w:cs="Arial"/>
        </w:rPr>
      </w:pPr>
      <w:r w:rsidRPr="00E21A07">
        <w:rPr>
          <w:rFonts w:ascii="Arial" w:hAnsi="Arial" w:cs="Arial"/>
        </w:rPr>
        <w:t>Curriculum for Wales places greater emphasis on individual progression and formative assessment. Rather than determining whether learners fit predetermined levels, current assessment arrangements are intended to support practitioners in understanding children's learning and determining appropriate next steps (Welsh Government, 2022</w:t>
      </w:r>
      <w:r w:rsidR="00B70081" w:rsidRPr="00E21A07">
        <w:rPr>
          <w:rFonts w:ascii="Arial" w:hAnsi="Arial" w:cs="Arial"/>
        </w:rPr>
        <w:t>c</w:t>
      </w:r>
      <w:r w:rsidRPr="00E21A07">
        <w:rPr>
          <w:rFonts w:ascii="Arial" w:hAnsi="Arial" w:cs="Arial"/>
        </w:rPr>
        <w:t>). This represents a significant conceptual shift because progression can be considered in relation to the individual learner rather than solely through comparison with a standardised developmental pathway.</w:t>
      </w:r>
    </w:p>
    <w:p w14:paraId="319AF4C5" w14:textId="77777777" w:rsidR="00292D49" w:rsidRPr="00E21A07" w:rsidRDefault="00292D49" w:rsidP="00292D49">
      <w:pPr>
        <w:spacing w:line="360" w:lineRule="auto"/>
        <w:rPr>
          <w:rFonts w:ascii="Arial" w:hAnsi="Arial" w:cs="Arial"/>
        </w:rPr>
      </w:pPr>
    </w:p>
    <w:p w14:paraId="32057F56" w14:textId="77777777" w:rsidR="00292D49" w:rsidRPr="00E21A07" w:rsidRDefault="00292D49" w:rsidP="00292D49">
      <w:pPr>
        <w:spacing w:line="360" w:lineRule="auto"/>
        <w:rPr>
          <w:rFonts w:ascii="Arial" w:hAnsi="Arial" w:cs="Arial"/>
        </w:rPr>
      </w:pPr>
      <w:r w:rsidRPr="00E21A07">
        <w:rPr>
          <w:rFonts w:ascii="Arial" w:hAnsi="Arial" w:cs="Arial"/>
        </w:rPr>
        <w:t>Observation is particularly compatible with this approach because practitioners can gather evidence while children participate in meaningful play, interactions and everyday experiences. Research supports connecting assessment with authentic classroom activity while also demonstrating that the process requires considerable practitioner judgement (Pyle et al., 2020; Montoya-Fernández et al., 2024).</w:t>
      </w:r>
    </w:p>
    <w:p w14:paraId="292BF5A9" w14:textId="77777777" w:rsidR="00292D49" w:rsidRPr="00E21A07" w:rsidRDefault="00292D49" w:rsidP="00292D49">
      <w:pPr>
        <w:spacing w:line="360" w:lineRule="auto"/>
        <w:rPr>
          <w:rFonts w:ascii="Arial" w:hAnsi="Arial" w:cs="Arial"/>
        </w:rPr>
      </w:pPr>
    </w:p>
    <w:p w14:paraId="17F2E721" w14:textId="3334DA6C" w:rsidR="00292D49" w:rsidRPr="00E21A07" w:rsidRDefault="00292D49" w:rsidP="00292D49">
      <w:pPr>
        <w:spacing w:line="360" w:lineRule="auto"/>
        <w:rPr>
          <w:rFonts w:ascii="Arial" w:hAnsi="Arial" w:cs="Arial"/>
        </w:rPr>
      </w:pPr>
      <w:r w:rsidRPr="00E21A07">
        <w:rPr>
          <w:rFonts w:ascii="Arial" w:hAnsi="Arial" w:cs="Arial"/>
        </w:rPr>
        <w:t>However, observation is not automatically objective because it appears more child centred. Practitioners decide what is significant, what constitutes progress and how children's actions are interpreted. Pyle et al. (2020) demonstrate how assessment within play can vary according to the relationship between learning intentions, play and assessment practices. Professional judgement therefore represents both a strength and limitation: it enables responsiveness but may also produce differences in interpretation.</w:t>
      </w:r>
    </w:p>
    <w:p w14:paraId="1FE241ED" w14:textId="77777777" w:rsidR="00292D49" w:rsidRPr="00E21A07" w:rsidRDefault="00292D49" w:rsidP="00292D49">
      <w:pPr>
        <w:spacing w:line="360" w:lineRule="auto"/>
        <w:rPr>
          <w:rFonts w:ascii="Arial" w:hAnsi="Arial" w:cs="Arial"/>
        </w:rPr>
      </w:pPr>
    </w:p>
    <w:p w14:paraId="5C998B25" w14:textId="77777777" w:rsidR="00292D49" w:rsidRPr="00E21A07" w:rsidRDefault="00292D49" w:rsidP="00292D49">
      <w:pPr>
        <w:spacing w:line="360" w:lineRule="auto"/>
        <w:rPr>
          <w:rFonts w:ascii="Arial" w:hAnsi="Arial" w:cs="Arial"/>
        </w:rPr>
      </w:pPr>
      <w:r w:rsidRPr="00E21A07">
        <w:rPr>
          <w:rFonts w:ascii="Arial" w:hAnsi="Arial" w:cs="Arial"/>
        </w:rPr>
        <w:t xml:space="preserve">The comparison reveals a difficult balance. Predetermined developmental indicators can promote consistency but risk oversimplifying individual development, whereas flexible observational assessment can recognise varied trajectories but potentially increase subjectivity. Neither standardisation nor individualisation alone guarantees high-quality assessment. Shared professional dialogue, knowledge of child </w:t>
      </w:r>
      <w:r w:rsidRPr="00E21A07">
        <w:rPr>
          <w:rFonts w:ascii="Arial" w:hAnsi="Arial" w:cs="Arial"/>
        </w:rPr>
        <w:lastRenderedPageBreak/>
        <w:t>development and evidence collected across contexts remain important for strengthening assessment judgements.</w:t>
      </w:r>
    </w:p>
    <w:p w14:paraId="38587BB5" w14:textId="77777777" w:rsidR="00292D49" w:rsidRPr="00E21A07" w:rsidRDefault="00292D49" w:rsidP="00292D49">
      <w:pPr>
        <w:spacing w:line="360" w:lineRule="auto"/>
        <w:rPr>
          <w:rFonts w:ascii="Arial" w:hAnsi="Arial" w:cs="Arial"/>
        </w:rPr>
      </w:pPr>
    </w:p>
    <w:p w14:paraId="3E790EC9" w14:textId="77777777" w:rsidR="00292D49" w:rsidRPr="00E21A07" w:rsidRDefault="00292D49" w:rsidP="00292D49">
      <w:pPr>
        <w:spacing w:line="360" w:lineRule="auto"/>
        <w:rPr>
          <w:rFonts w:ascii="Arial" w:hAnsi="Arial" w:cs="Arial"/>
        </w:rPr>
      </w:pPr>
    </w:p>
    <w:p w14:paraId="097BE017" w14:textId="45390CE9" w:rsidR="00292D49" w:rsidRPr="00E21A07" w:rsidRDefault="00292D49" w:rsidP="00292D49">
      <w:pPr>
        <w:spacing w:line="360" w:lineRule="auto"/>
        <w:rPr>
          <w:rFonts w:ascii="Arial" w:hAnsi="Arial" w:cs="Arial"/>
          <w:b/>
          <w:bCs/>
          <w:u w:val="single"/>
        </w:rPr>
      </w:pPr>
      <w:r w:rsidRPr="00E21A07">
        <w:rPr>
          <w:rFonts w:ascii="Arial" w:hAnsi="Arial" w:cs="Arial"/>
          <w:b/>
          <w:bCs/>
          <w:u w:val="single"/>
        </w:rPr>
        <w:t>Fairness, Language, ALN and Neurodiversity</w:t>
      </w:r>
    </w:p>
    <w:p w14:paraId="7D7A409F" w14:textId="77777777" w:rsidR="00292D49" w:rsidRPr="00E21A07" w:rsidRDefault="00292D49" w:rsidP="00292D49">
      <w:pPr>
        <w:spacing w:line="360" w:lineRule="auto"/>
        <w:rPr>
          <w:rFonts w:ascii="Arial" w:hAnsi="Arial" w:cs="Arial"/>
        </w:rPr>
      </w:pPr>
    </w:p>
    <w:p w14:paraId="70507711" w14:textId="7E96E273" w:rsidR="00292D49" w:rsidRPr="00E21A07" w:rsidRDefault="00292D49" w:rsidP="00292D49">
      <w:pPr>
        <w:spacing w:line="360" w:lineRule="auto"/>
        <w:rPr>
          <w:rFonts w:ascii="Arial" w:hAnsi="Arial" w:cs="Arial"/>
        </w:rPr>
      </w:pPr>
      <w:r w:rsidRPr="00E21A07">
        <w:rPr>
          <w:rFonts w:ascii="Arial" w:hAnsi="Arial" w:cs="Arial"/>
        </w:rPr>
        <w:t>Questions of fairness further complicate assessment of the Unique Child. Fairness does not necessarily mean requiring every child to demonstrate learning identically. Tierney (2013) argues that fairness in classroom assessment involves considering learners' opportunities to demonstrate what they know and how evidence is interpreted. This is particularly relevant in early childhood, where children may communicate understanding through different modes, relationships and contexts.</w:t>
      </w:r>
    </w:p>
    <w:p w14:paraId="75433AEC" w14:textId="77777777" w:rsidR="00292D49" w:rsidRPr="00E21A07" w:rsidRDefault="00292D49" w:rsidP="00292D49">
      <w:pPr>
        <w:spacing w:line="360" w:lineRule="auto"/>
        <w:rPr>
          <w:rFonts w:ascii="Arial" w:hAnsi="Arial" w:cs="Arial"/>
        </w:rPr>
      </w:pPr>
    </w:p>
    <w:p w14:paraId="59F4C787" w14:textId="69CBB8FE" w:rsidR="00292D49" w:rsidRPr="00E21A07" w:rsidRDefault="00292D49" w:rsidP="00292D49">
      <w:pPr>
        <w:spacing w:line="360" w:lineRule="auto"/>
        <w:rPr>
          <w:rFonts w:ascii="Arial" w:hAnsi="Arial" w:cs="Arial"/>
        </w:rPr>
      </w:pPr>
      <w:r w:rsidRPr="00E21A07">
        <w:rPr>
          <w:rFonts w:ascii="Arial" w:hAnsi="Arial" w:cs="Arial"/>
        </w:rPr>
        <w:t>Language provides a clear example. Welsh Government research found that language could influence Foundation Phase baseline outcomes, particularly where children entered Welsh-medium education from predominantly English-speaking homes (Welsh Government, 2022</w:t>
      </w:r>
      <w:r w:rsidR="00B70081" w:rsidRPr="00E21A07">
        <w:rPr>
          <w:rFonts w:ascii="Arial" w:hAnsi="Arial" w:cs="Arial"/>
        </w:rPr>
        <w:t>b</w:t>
      </w:r>
      <w:r w:rsidRPr="00E21A07">
        <w:rPr>
          <w:rFonts w:ascii="Arial" w:hAnsi="Arial" w:cs="Arial"/>
        </w:rPr>
        <w:t>). A lower initial outcome cannot automatically be interpreted as lower developmental capability because the language through which assessment occurs may influence what a child demonstrates. Assessment responsive to the Unique Child must therefore consider the context in which competence becomes visible rather than treating every observed difference as an individual deficit.</w:t>
      </w:r>
    </w:p>
    <w:p w14:paraId="58D39F2D" w14:textId="77777777" w:rsidR="00292D49" w:rsidRPr="00E21A07" w:rsidRDefault="00292D49" w:rsidP="00292D49">
      <w:pPr>
        <w:spacing w:line="360" w:lineRule="auto"/>
        <w:rPr>
          <w:rFonts w:ascii="Arial" w:hAnsi="Arial" w:cs="Arial"/>
        </w:rPr>
      </w:pPr>
    </w:p>
    <w:p w14:paraId="1E9765BB" w14:textId="77777777" w:rsidR="00292D49" w:rsidRPr="00E21A07" w:rsidRDefault="00292D49" w:rsidP="00292D49">
      <w:pPr>
        <w:spacing w:line="360" w:lineRule="auto"/>
        <w:rPr>
          <w:rFonts w:ascii="Arial" w:hAnsi="Arial" w:cs="Arial"/>
        </w:rPr>
      </w:pPr>
      <w:r w:rsidRPr="00E21A07">
        <w:rPr>
          <w:rFonts w:ascii="Arial" w:hAnsi="Arial" w:cs="Arial"/>
        </w:rPr>
        <w:t>Similar issues arise concerning ALN and neurodiversity. Development may be uneven, with children demonstrating significant strengths alongside areas requiring additional support. Parekh's (2017) critique of ‘ability’ challenges assumptions that ability is a straightforward, fixed characteristic residing entirely within an individual. Applied to early-years assessment, developmental differences should therefore not become labels defining practitioners' expectations of children.</w:t>
      </w:r>
    </w:p>
    <w:p w14:paraId="75E56B41" w14:textId="77777777" w:rsidR="00292D49" w:rsidRPr="00E21A07" w:rsidRDefault="00292D49" w:rsidP="00292D49">
      <w:pPr>
        <w:spacing w:line="360" w:lineRule="auto"/>
        <w:rPr>
          <w:rFonts w:ascii="Arial" w:hAnsi="Arial" w:cs="Arial"/>
        </w:rPr>
      </w:pPr>
    </w:p>
    <w:p w14:paraId="312668B0" w14:textId="77777777" w:rsidR="00292D49" w:rsidRPr="00E21A07" w:rsidRDefault="00292D49" w:rsidP="00292D49">
      <w:pPr>
        <w:spacing w:line="360" w:lineRule="auto"/>
        <w:rPr>
          <w:rFonts w:ascii="Arial" w:hAnsi="Arial" w:cs="Arial"/>
        </w:rPr>
      </w:pPr>
      <w:r w:rsidRPr="00E21A07">
        <w:rPr>
          <w:rFonts w:ascii="Arial" w:hAnsi="Arial" w:cs="Arial"/>
        </w:rPr>
        <w:t xml:space="preserve">Yet abandoning developmental expectations altogether could create problems. Assessment can help identify where additional support may be beneficial, while excessive individualisation could delay recognition of difficulties if practitioners avoid developmental comparisons. A more defensible position is that difference from an </w:t>
      </w:r>
      <w:r w:rsidRPr="00E21A07">
        <w:rPr>
          <w:rFonts w:ascii="Arial" w:hAnsi="Arial" w:cs="Arial"/>
        </w:rPr>
        <w:lastRenderedPageBreak/>
        <w:t>expected pathway should initiate professional enquiry rather than automatically produce a deficit judgement.</w:t>
      </w:r>
    </w:p>
    <w:p w14:paraId="148F1E70" w14:textId="77777777" w:rsidR="00292D49" w:rsidRPr="00E21A07" w:rsidRDefault="00292D49" w:rsidP="00292D49">
      <w:pPr>
        <w:spacing w:line="360" w:lineRule="auto"/>
        <w:rPr>
          <w:rFonts w:ascii="Arial" w:hAnsi="Arial" w:cs="Arial"/>
        </w:rPr>
      </w:pPr>
    </w:p>
    <w:p w14:paraId="298AF2CB" w14:textId="77777777" w:rsidR="00292D49" w:rsidRPr="00E21A07" w:rsidRDefault="00292D49" w:rsidP="00292D49">
      <w:pPr>
        <w:spacing w:line="360" w:lineRule="auto"/>
        <w:rPr>
          <w:rFonts w:ascii="Arial" w:hAnsi="Arial" w:cs="Arial"/>
        </w:rPr>
      </w:pPr>
      <w:r w:rsidRPr="00E21A07">
        <w:rPr>
          <w:rFonts w:ascii="Arial" w:hAnsi="Arial" w:cs="Arial"/>
        </w:rPr>
        <w:t>Assessment through play also requires consideration of whether the environment enables children to demonstrate their capabilities. Pyle et al. (2020) show that assessment practices are closely connected to the forms of play and learning opportunities provided. A child who does not demonstrate a capability in one task may demonstrate it differently during self-initiated play, interaction with a familiar adult or another meaningful context. Multiple forms of evidence are therefore important when constructing a holistic understanding of the Unique Child.</w:t>
      </w:r>
    </w:p>
    <w:p w14:paraId="05792E24" w14:textId="77777777" w:rsidR="00292D49" w:rsidRPr="00E21A07" w:rsidRDefault="00292D49" w:rsidP="00292D49">
      <w:pPr>
        <w:spacing w:line="360" w:lineRule="auto"/>
        <w:rPr>
          <w:rFonts w:ascii="Arial" w:hAnsi="Arial" w:cs="Arial"/>
        </w:rPr>
      </w:pPr>
    </w:p>
    <w:p w14:paraId="338E4436" w14:textId="77777777" w:rsidR="00292D49" w:rsidRPr="00E21A07" w:rsidRDefault="00292D49" w:rsidP="00292D49">
      <w:pPr>
        <w:spacing w:line="360" w:lineRule="auto"/>
        <w:rPr>
          <w:rFonts w:ascii="Arial" w:hAnsi="Arial" w:cs="Arial"/>
        </w:rPr>
      </w:pPr>
    </w:p>
    <w:p w14:paraId="52911AD4" w14:textId="14EBC26B" w:rsidR="00292D49" w:rsidRPr="00E21A07" w:rsidRDefault="00292D49" w:rsidP="00292D49">
      <w:pPr>
        <w:spacing w:line="360" w:lineRule="auto"/>
        <w:rPr>
          <w:rFonts w:ascii="Arial" w:hAnsi="Arial" w:cs="Arial"/>
          <w:b/>
          <w:bCs/>
          <w:u w:val="single"/>
        </w:rPr>
      </w:pPr>
      <w:r w:rsidRPr="00E21A07">
        <w:rPr>
          <w:rFonts w:ascii="Arial" w:hAnsi="Arial" w:cs="Arial"/>
          <w:b/>
          <w:bCs/>
          <w:u w:val="single"/>
        </w:rPr>
        <w:t>Critical Comparison</w:t>
      </w:r>
    </w:p>
    <w:p w14:paraId="48E67386" w14:textId="77777777" w:rsidR="00292D49" w:rsidRPr="00E21A07" w:rsidRDefault="00292D49" w:rsidP="00292D49">
      <w:pPr>
        <w:spacing w:line="360" w:lineRule="auto"/>
        <w:rPr>
          <w:rFonts w:ascii="Arial" w:hAnsi="Arial" w:cs="Arial"/>
        </w:rPr>
      </w:pPr>
    </w:p>
    <w:p w14:paraId="23BF22FD" w14:textId="4784E69A" w:rsidR="00292D49" w:rsidRPr="00E21A07" w:rsidRDefault="00292D49" w:rsidP="00292D49">
      <w:pPr>
        <w:spacing w:line="360" w:lineRule="auto"/>
        <w:rPr>
          <w:rFonts w:ascii="Arial" w:hAnsi="Arial" w:cs="Arial"/>
        </w:rPr>
      </w:pPr>
      <w:r w:rsidRPr="00E21A07">
        <w:rPr>
          <w:rFonts w:ascii="Arial" w:hAnsi="Arial" w:cs="Arial"/>
        </w:rPr>
        <w:t>Both approaches contain strengths and limitations. The Foundation Phase Profile provided shared developmental reference points and enabled considerable assessment through observation, yet practitioners sometimes constructed activities specifically to obtain required assessment evidence (Welsh Government, 2022</w:t>
      </w:r>
      <w:r w:rsidR="00B70081" w:rsidRPr="00E21A07">
        <w:rPr>
          <w:rFonts w:ascii="Arial" w:hAnsi="Arial" w:cs="Arial"/>
        </w:rPr>
        <w:t>b</w:t>
      </w:r>
      <w:r w:rsidRPr="00E21A07">
        <w:rPr>
          <w:rFonts w:ascii="Arial" w:hAnsi="Arial" w:cs="Arial"/>
        </w:rPr>
        <w:t>). This creates a risk that assessment requirements begin shaping pedagogy rather than remaining embedded within children's meaningful learning.</w:t>
      </w:r>
    </w:p>
    <w:p w14:paraId="092DDF5E" w14:textId="77777777" w:rsidR="00292D49" w:rsidRPr="00E21A07" w:rsidRDefault="00292D49" w:rsidP="00292D49">
      <w:pPr>
        <w:spacing w:line="360" w:lineRule="auto"/>
        <w:rPr>
          <w:rFonts w:ascii="Arial" w:hAnsi="Arial" w:cs="Arial"/>
        </w:rPr>
      </w:pPr>
    </w:p>
    <w:p w14:paraId="76AE13EE" w14:textId="77777777" w:rsidR="00292D49" w:rsidRPr="00E21A07" w:rsidRDefault="00292D49" w:rsidP="00292D49">
      <w:pPr>
        <w:spacing w:line="360" w:lineRule="auto"/>
        <w:rPr>
          <w:rFonts w:ascii="Arial" w:hAnsi="Arial" w:cs="Arial"/>
        </w:rPr>
      </w:pPr>
      <w:r w:rsidRPr="00E21A07">
        <w:rPr>
          <w:rFonts w:ascii="Arial" w:hAnsi="Arial" w:cs="Arial"/>
        </w:rPr>
        <w:t>The progression-focused approach associated with Curriculum for Wales arguably corresponds more closely with the Unique Child because it allows greater attention to individual trajectories and contextualised evidence. Nevertheless, flexibility transfers considerable responsibility to practitioner judgement, and play-based assessment research demonstrates that practitioners use different routes to connect play, learning intentions and assessment (Pyle et al., 2020). Greater individualisation should therefore not be confused with the absence of professional standards or shared expectations.</w:t>
      </w:r>
    </w:p>
    <w:p w14:paraId="61B323EA" w14:textId="77777777" w:rsidR="00292D49" w:rsidRPr="00E21A07" w:rsidRDefault="00292D49" w:rsidP="00292D49">
      <w:pPr>
        <w:spacing w:line="360" w:lineRule="auto"/>
        <w:rPr>
          <w:rFonts w:ascii="Arial" w:hAnsi="Arial" w:cs="Arial"/>
        </w:rPr>
      </w:pPr>
    </w:p>
    <w:p w14:paraId="0F3F915E" w14:textId="77777777" w:rsidR="00292D49" w:rsidRPr="00E21A07" w:rsidRDefault="00292D49" w:rsidP="00292D49">
      <w:pPr>
        <w:spacing w:line="360" w:lineRule="auto"/>
        <w:rPr>
          <w:rFonts w:ascii="Arial" w:hAnsi="Arial" w:cs="Arial"/>
        </w:rPr>
      </w:pPr>
      <w:r w:rsidRPr="00E21A07">
        <w:rPr>
          <w:rFonts w:ascii="Arial" w:hAnsi="Arial" w:cs="Arial"/>
        </w:rPr>
        <w:t xml:space="preserve">Rather than positioning the approaches as opposites, developmental knowledge can help practitioners recognise patterns and possible support needs, while observation can reveal how an individual child demonstrates learning within meaningful contexts (McLachlan, Fleer and Edwards, 2018; Montoya-Fernández et al., 2024). </w:t>
      </w:r>
      <w:r w:rsidRPr="00E21A07">
        <w:rPr>
          <w:rFonts w:ascii="Arial" w:hAnsi="Arial" w:cs="Arial"/>
        </w:rPr>
        <w:lastRenderedPageBreak/>
        <w:t>Assessment consequently becomes less concerned with placing children into categories and more concerned with understanding what children can currently do, how they learn and what may support progression.</w:t>
      </w:r>
    </w:p>
    <w:p w14:paraId="3035A0CF" w14:textId="77777777" w:rsidR="00292D49" w:rsidRPr="00E21A07" w:rsidRDefault="00292D49" w:rsidP="00292D49">
      <w:pPr>
        <w:spacing w:line="360" w:lineRule="auto"/>
        <w:rPr>
          <w:rFonts w:ascii="Arial" w:hAnsi="Arial" w:cs="Arial"/>
        </w:rPr>
      </w:pPr>
    </w:p>
    <w:p w14:paraId="14329A3A" w14:textId="77777777" w:rsidR="00292D49" w:rsidRPr="00E21A07" w:rsidRDefault="00292D49" w:rsidP="00292D49">
      <w:pPr>
        <w:spacing w:line="360" w:lineRule="auto"/>
        <w:rPr>
          <w:rFonts w:ascii="Arial" w:hAnsi="Arial" w:cs="Arial"/>
          <w:u w:val="single"/>
        </w:rPr>
      </w:pPr>
    </w:p>
    <w:p w14:paraId="14B87906" w14:textId="2A658882" w:rsidR="00292D49" w:rsidRPr="00E21A07" w:rsidRDefault="00292D49" w:rsidP="00292D49">
      <w:pPr>
        <w:spacing w:line="360" w:lineRule="auto"/>
        <w:rPr>
          <w:rFonts w:ascii="Arial" w:hAnsi="Arial" w:cs="Arial"/>
          <w:b/>
          <w:bCs/>
          <w:u w:val="single"/>
        </w:rPr>
      </w:pPr>
      <w:r w:rsidRPr="00E21A07">
        <w:rPr>
          <w:rFonts w:ascii="Arial" w:hAnsi="Arial" w:cs="Arial"/>
          <w:b/>
          <w:bCs/>
          <w:u w:val="single"/>
        </w:rPr>
        <w:t>Conclusion</w:t>
      </w:r>
    </w:p>
    <w:p w14:paraId="4DA0BC53" w14:textId="77777777" w:rsidR="00292D49" w:rsidRPr="00E21A07" w:rsidRDefault="00292D49" w:rsidP="00292D49">
      <w:pPr>
        <w:spacing w:line="360" w:lineRule="auto"/>
        <w:rPr>
          <w:rFonts w:ascii="Arial" w:hAnsi="Arial" w:cs="Arial"/>
          <w:u w:val="single"/>
        </w:rPr>
      </w:pPr>
    </w:p>
    <w:p w14:paraId="0407A5AA" w14:textId="508F853A" w:rsidR="00292D49" w:rsidRPr="00E21A07" w:rsidRDefault="00292D49" w:rsidP="00292D49">
      <w:pPr>
        <w:spacing w:line="360" w:lineRule="auto"/>
        <w:rPr>
          <w:rFonts w:ascii="Arial" w:hAnsi="Arial" w:cs="Arial"/>
        </w:rPr>
      </w:pPr>
      <w:r w:rsidRPr="00E21A07">
        <w:rPr>
          <w:rFonts w:ascii="Arial" w:hAnsi="Arial" w:cs="Arial"/>
        </w:rPr>
        <w:t>Assessment of the Unique Child requires a balance between recognising individual developmental trajectories and maintaining informed professional judgements about progression. The Foundation Phase Profile offered common developmental reference points and enabled observation within play, yet implementation evidence shows that prescribed assessment requirements could sometimes lead practitioners to create specific activities to demonstrate skills (Welsh Government, 2022</w:t>
      </w:r>
      <w:r w:rsidR="00B70081" w:rsidRPr="00E21A07">
        <w:rPr>
          <w:rFonts w:ascii="Arial" w:hAnsi="Arial" w:cs="Arial"/>
        </w:rPr>
        <w:t>b</w:t>
      </w:r>
      <w:r w:rsidRPr="00E21A07">
        <w:rPr>
          <w:rFonts w:ascii="Arial" w:hAnsi="Arial" w:cs="Arial"/>
        </w:rPr>
        <w:t>).</w:t>
      </w:r>
    </w:p>
    <w:p w14:paraId="3E093510" w14:textId="77777777" w:rsidR="00292D49" w:rsidRPr="00E21A07" w:rsidRDefault="00292D49" w:rsidP="00292D49">
      <w:pPr>
        <w:spacing w:line="360" w:lineRule="auto"/>
        <w:rPr>
          <w:rFonts w:ascii="Arial" w:hAnsi="Arial" w:cs="Arial"/>
        </w:rPr>
      </w:pPr>
    </w:p>
    <w:p w14:paraId="346B0D00" w14:textId="77777777" w:rsidR="00292D49" w:rsidRPr="00E21A07" w:rsidRDefault="00292D49" w:rsidP="00292D49">
      <w:pPr>
        <w:spacing w:line="360" w:lineRule="auto"/>
        <w:rPr>
          <w:rFonts w:ascii="Arial" w:hAnsi="Arial" w:cs="Arial"/>
        </w:rPr>
      </w:pPr>
      <w:r w:rsidRPr="00E21A07">
        <w:rPr>
          <w:rFonts w:ascii="Arial" w:hAnsi="Arial" w:cs="Arial"/>
        </w:rPr>
        <w:t>A progression- and observation-focused approach is potentially more responsive because children's learning can be understood across meaningful contexts rather than reduced to whether they meet an age-related category. However, observational assessment remains dependent upon practitioner interpretation and is therefore not automatically objective or equitable (Pyle et al., 2020; Montoya-Fernández et al., 2024). Overall, assessment appears most compatible with the Unique Child when developmental knowledge informs rather than determines judgement, evidence is gathered across contexts, and differences associated with language, ALN, neurodiversity and experience are understood as part of the child's individual learning trajectory rather than automatically interpreted as deficit.</w:t>
      </w:r>
    </w:p>
    <w:p w14:paraId="75601340" w14:textId="77777777" w:rsidR="00292D49" w:rsidRPr="00E21A07" w:rsidRDefault="00292D49" w:rsidP="00292D49">
      <w:pPr>
        <w:spacing w:line="360" w:lineRule="auto"/>
        <w:rPr>
          <w:rFonts w:ascii="Arial" w:hAnsi="Arial" w:cs="Arial"/>
        </w:rPr>
      </w:pPr>
    </w:p>
    <w:p w14:paraId="10021C2A" w14:textId="77777777" w:rsidR="00292D49" w:rsidRPr="00E21A07" w:rsidRDefault="00292D49" w:rsidP="00292D49">
      <w:pPr>
        <w:spacing w:line="360" w:lineRule="auto"/>
        <w:rPr>
          <w:rFonts w:ascii="Arial" w:hAnsi="Arial" w:cs="Arial"/>
        </w:rPr>
      </w:pPr>
    </w:p>
    <w:p w14:paraId="481CEB34" w14:textId="77777777" w:rsidR="00292D49" w:rsidRPr="00E21A07" w:rsidRDefault="00292D49" w:rsidP="00292D49">
      <w:pPr>
        <w:spacing w:line="360" w:lineRule="auto"/>
        <w:rPr>
          <w:rFonts w:ascii="Arial" w:hAnsi="Arial" w:cs="Arial"/>
        </w:rPr>
      </w:pPr>
    </w:p>
    <w:p w14:paraId="4F117028" w14:textId="77777777" w:rsidR="00292D49" w:rsidRPr="00E21A07" w:rsidRDefault="00292D49" w:rsidP="00292D49">
      <w:pPr>
        <w:spacing w:line="360" w:lineRule="auto"/>
        <w:rPr>
          <w:rFonts w:ascii="Arial" w:hAnsi="Arial" w:cs="Arial"/>
        </w:rPr>
      </w:pPr>
    </w:p>
    <w:p w14:paraId="42FCA3D2" w14:textId="77777777" w:rsidR="00292D49" w:rsidRPr="00E21A07" w:rsidRDefault="00292D49" w:rsidP="00292D49">
      <w:pPr>
        <w:spacing w:line="360" w:lineRule="auto"/>
        <w:rPr>
          <w:rFonts w:ascii="Arial" w:hAnsi="Arial" w:cs="Arial"/>
        </w:rPr>
      </w:pPr>
    </w:p>
    <w:p w14:paraId="46839A40" w14:textId="77777777" w:rsidR="00292D49" w:rsidRPr="00E21A07" w:rsidRDefault="00292D49" w:rsidP="00292D49">
      <w:pPr>
        <w:spacing w:line="360" w:lineRule="auto"/>
        <w:rPr>
          <w:rFonts w:ascii="Arial" w:hAnsi="Arial" w:cs="Arial"/>
        </w:rPr>
      </w:pPr>
    </w:p>
    <w:p w14:paraId="30B8D569" w14:textId="77777777" w:rsidR="00292D49" w:rsidRPr="00E21A07" w:rsidRDefault="00292D49" w:rsidP="00292D49">
      <w:pPr>
        <w:spacing w:line="360" w:lineRule="auto"/>
        <w:rPr>
          <w:rFonts w:ascii="Arial" w:hAnsi="Arial" w:cs="Arial"/>
        </w:rPr>
      </w:pPr>
    </w:p>
    <w:p w14:paraId="538339AF" w14:textId="77777777" w:rsidR="00292D49" w:rsidRPr="00E21A07" w:rsidRDefault="00292D49" w:rsidP="00292D49">
      <w:pPr>
        <w:spacing w:line="360" w:lineRule="auto"/>
        <w:rPr>
          <w:rFonts w:ascii="Arial" w:hAnsi="Arial" w:cs="Arial"/>
        </w:rPr>
      </w:pPr>
    </w:p>
    <w:p w14:paraId="414E4462" w14:textId="77777777" w:rsidR="00292D49" w:rsidRPr="00E21A07" w:rsidRDefault="00292D49" w:rsidP="00292D49">
      <w:pPr>
        <w:spacing w:line="360" w:lineRule="auto"/>
        <w:rPr>
          <w:rFonts w:ascii="Arial" w:hAnsi="Arial" w:cs="Arial"/>
        </w:rPr>
      </w:pPr>
    </w:p>
    <w:p w14:paraId="52E54B77" w14:textId="77777777" w:rsidR="00292D49" w:rsidRPr="00E21A07" w:rsidRDefault="00292D49" w:rsidP="00292D49">
      <w:pPr>
        <w:spacing w:line="360" w:lineRule="auto"/>
        <w:rPr>
          <w:rFonts w:ascii="Arial" w:hAnsi="Arial" w:cs="Arial"/>
        </w:rPr>
      </w:pPr>
    </w:p>
    <w:p w14:paraId="2CB84253" w14:textId="77777777" w:rsidR="00292D49" w:rsidRPr="00E21A07" w:rsidRDefault="00292D49" w:rsidP="00292D49">
      <w:pPr>
        <w:spacing w:line="360" w:lineRule="auto"/>
        <w:rPr>
          <w:rFonts w:ascii="Arial" w:hAnsi="Arial" w:cs="Arial"/>
          <w:b/>
          <w:bCs/>
          <w:u w:val="single"/>
        </w:rPr>
      </w:pPr>
    </w:p>
    <w:p w14:paraId="2106F38F" w14:textId="7F1D93B3" w:rsidR="00292D49" w:rsidRPr="00E21A07" w:rsidRDefault="00292D49" w:rsidP="00292D49">
      <w:pPr>
        <w:spacing w:line="360" w:lineRule="auto"/>
        <w:rPr>
          <w:rFonts w:ascii="Arial" w:hAnsi="Arial" w:cs="Arial"/>
          <w:b/>
          <w:bCs/>
          <w:u w:val="single"/>
        </w:rPr>
      </w:pPr>
      <w:r w:rsidRPr="00E21A07">
        <w:rPr>
          <w:rFonts w:ascii="Arial" w:hAnsi="Arial" w:cs="Arial"/>
          <w:b/>
          <w:bCs/>
          <w:u w:val="single"/>
        </w:rPr>
        <w:t>Section Three: Professional Blog</w:t>
      </w:r>
    </w:p>
    <w:p w14:paraId="6652F79A" w14:textId="77777777" w:rsidR="00292D49" w:rsidRPr="00E21A07" w:rsidRDefault="00292D49" w:rsidP="00292D49">
      <w:pPr>
        <w:spacing w:line="360" w:lineRule="auto"/>
        <w:rPr>
          <w:rFonts w:ascii="Arial" w:hAnsi="Arial" w:cs="Arial"/>
          <w:b/>
          <w:bCs/>
          <w:u w:val="single"/>
        </w:rPr>
      </w:pPr>
    </w:p>
    <w:p w14:paraId="6F223298" w14:textId="74304D1C" w:rsidR="00292D49" w:rsidRPr="00E21A07" w:rsidRDefault="00292D49" w:rsidP="00292D49">
      <w:pPr>
        <w:spacing w:line="360" w:lineRule="auto"/>
        <w:rPr>
          <w:rFonts w:ascii="Arial" w:hAnsi="Arial" w:cs="Arial"/>
          <w:b/>
          <w:bCs/>
          <w:u w:val="single"/>
        </w:rPr>
      </w:pPr>
      <w:r w:rsidRPr="00E21A07">
        <w:rPr>
          <w:rFonts w:ascii="Arial" w:hAnsi="Arial" w:cs="Arial"/>
          <w:b/>
          <w:bCs/>
          <w:u w:val="single"/>
        </w:rPr>
        <w:t>Beyond Four Walls: Why Outdoor Play Belongs at the Heart of Early Childhood Curriculum</w:t>
      </w:r>
    </w:p>
    <w:p w14:paraId="7881C3EA" w14:textId="13E57F1A" w:rsidR="00292D49" w:rsidRPr="00E21A07" w:rsidRDefault="00292D49" w:rsidP="00292D49">
      <w:pPr>
        <w:spacing w:line="360" w:lineRule="auto"/>
        <w:rPr>
          <w:rFonts w:ascii="Arial" w:hAnsi="Arial" w:cs="Arial"/>
          <w:b/>
          <w:bCs/>
          <w:u w:val="single"/>
        </w:rPr>
      </w:pPr>
    </w:p>
    <w:p w14:paraId="02A896DF" w14:textId="6649CE80" w:rsidR="00292D49" w:rsidRPr="00E21A07" w:rsidRDefault="00292D49" w:rsidP="00292D49">
      <w:pPr>
        <w:spacing w:line="360" w:lineRule="auto"/>
        <w:rPr>
          <w:rFonts w:ascii="Arial" w:hAnsi="Arial" w:cs="Arial"/>
          <w:b/>
          <w:bCs/>
          <w:u w:val="single"/>
        </w:rPr>
      </w:pPr>
      <w:r w:rsidRPr="00E21A07">
        <w:rPr>
          <w:noProof/>
        </w:rPr>
        <w:drawing>
          <wp:anchor distT="0" distB="0" distL="114300" distR="114300" simplePos="0" relativeHeight="251658240" behindDoc="1" locked="0" layoutInCell="1" allowOverlap="1" wp14:anchorId="446B0038" wp14:editId="383093A9">
            <wp:simplePos x="0" y="0"/>
            <wp:positionH relativeFrom="column">
              <wp:posOffset>-38100</wp:posOffset>
            </wp:positionH>
            <wp:positionV relativeFrom="paragraph">
              <wp:posOffset>86360</wp:posOffset>
            </wp:positionV>
            <wp:extent cx="5422900" cy="3124200"/>
            <wp:effectExtent l="0" t="0" r="0" b="0"/>
            <wp:wrapTight wrapText="bothSides">
              <wp:wrapPolygon edited="0">
                <wp:start x="0" y="0"/>
                <wp:lineTo x="0" y="21512"/>
                <wp:lineTo x="21549" y="21512"/>
                <wp:lineTo x="21549" y="0"/>
                <wp:lineTo x="0" y="0"/>
              </wp:wrapPolygon>
            </wp:wrapTight>
            <wp:docPr id="641149406" name="Picture 1" descr="Making the most of your outdoor environment | Community Playth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king the most of your outdoor environment | Community Plaything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22900" cy="3124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21A07">
        <w:fldChar w:fldCharType="begin"/>
      </w:r>
      <w:r w:rsidRPr="00E21A07">
        <w:instrText xml:space="preserve"> INCLUDEPICTURE "/Users/Sehrish/Library/Group Containers/UBF8T346G9.ms/WebArchiveCopyPasteTempFiles/com.microsoft.Word/three_children_playing_outdoors.ashx?rev=f2dd8527993a41578d6dc0609cadd88f&amp;sc_lang=en&amp;hash=0E90A21944461C9D3B4F08B861B597EC" \* MERGEFORMATINET </w:instrText>
      </w:r>
      <w:r w:rsidR="00000000" w:rsidRPr="00E21A07">
        <w:fldChar w:fldCharType="separate"/>
      </w:r>
      <w:r w:rsidRPr="00E21A07">
        <w:fldChar w:fldCharType="end"/>
      </w:r>
    </w:p>
    <w:p w14:paraId="194C7152" w14:textId="77777777" w:rsidR="00292D49" w:rsidRPr="00E21A07" w:rsidRDefault="00292D49" w:rsidP="00292D49">
      <w:pPr>
        <w:spacing w:line="360" w:lineRule="auto"/>
        <w:rPr>
          <w:rFonts w:ascii="Arial" w:hAnsi="Arial" w:cs="Arial"/>
          <w:b/>
          <w:bCs/>
          <w:u w:val="single"/>
        </w:rPr>
      </w:pPr>
    </w:p>
    <w:p w14:paraId="435BADB0" w14:textId="77777777" w:rsidR="00292D49" w:rsidRPr="00E21A07" w:rsidRDefault="00292D49" w:rsidP="00292D49">
      <w:pPr>
        <w:spacing w:line="360" w:lineRule="auto"/>
        <w:rPr>
          <w:rFonts w:ascii="Arial" w:hAnsi="Arial" w:cs="Arial"/>
          <w:b/>
          <w:bCs/>
          <w:u w:val="single"/>
        </w:rPr>
      </w:pPr>
    </w:p>
    <w:p w14:paraId="25B80CBD" w14:textId="77777777" w:rsidR="00292D49" w:rsidRPr="00E21A07" w:rsidRDefault="00292D49" w:rsidP="00292D49">
      <w:pPr>
        <w:spacing w:line="360" w:lineRule="auto"/>
        <w:rPr>
          <w:rFonts w:ascii="Arial" w:hAnsi="Arial" w:cs="Arial"/>
          <w:b/>
          <w:bCs/>
          <w:u w:val="single"/>
        </w:rPr>
      </w:pPr>
    </w:p>
    <w:p w14:paraId="07E36936" w14:textId="77777777" w:rsidR="00292D49" w:rsidRPr="00E21A07" w:rsidRDefault="00292D49" w:rsidP="00292D49">
      <w:pPr>
        <w:spacing w:line="360" w:lineRule="auto"/>
        <w:rPr>
          <w:rFonts w:ascii="Arial" w:hAnsi="Arial" w:cs="Arial"/>
          <w:b/>
          <w:bCs/>
          <w:u w:val="single"/>
        </w:rPr>
      </w:pPr>
    </w:p>
    <w:p w14:paraId="73F2647A" w14:textId="77777777" w:rsidR="00292D49" w:rsidRPr="00E21A07" w:rsidRDefault="00292D49" w:rsidP="00292D49">
      <w:pPr>
        <w:spacing w:line="360" w:lineRule="auto"/>
        <w:rPr>
          <w:rFonts w:ascii="Arial" w:hAnsi="Arial" w:cs="Arial"/>
          <w:b/>
          <w:bCs/>
          <w:u w:val="single"/>
        </w:rPr>
      </w:pPr>
    </w:p>
    <w:p w14:paraId="2FAF3C54" w14:textId="77777777" w:rsidR="00292D49" w:rsidRPr="00E21A07" w:rsidRDefault="00292D49" w:rsidP="00292D49">
      <w:pPr>
        <w:spacing w:line="360" w:lineRule="auto"/>
        <w:rPr>
          <w:rFonts w:ascii="Arial" w:hAnsi="Arial" w:cs="Arial"/>
          <w:b/>
          <w:bCs/>
          <w:u w:val="single"/>
        </w:rPr>
      </w:pPr>
    </w:p>
    <w:p w14:paraId="4DB4E269" w14:textId="77777777" w:rsidR="00292D49" w:rsidRPr="00E21A07" w:rsidRDefault="00292D49" w:rsidP="00292D49">
      <w:pPr>
        <w:spacing w:line="360" w:lineRule="auto"/>
        <w:rPr>
          <w:rFonts w:ascii="Arial" w:hAnsi="Arial" w:cs="Arial"/>
          <w:b/>
          <w:bCs/>
          <w:u w:val="single"/>
        </w:rPr>
      </w:pPr>
    </w:p>
    <w:p w14:paraId="60CB4E9C" w14:textId="77777777" w:rsidR="00292D49" w:rsidRPr="00E21A07" w:rsidRDefault="00292D49" w:rsidP="00292D49">
      <w:pPr>
        <w:spacing w:line="360" w:lineRule="auto"/>
        <w:rPr>
          <w:rFonts w:ascii="Arial" w:hAnsi="Arial" w:cs="Arial"/>
          <w:b/>
          <w:bCs/>
          <w:u w:val="single"/>
        </w:rPr>
      </w:pPr>
    </w:p>
    <w:p w14:paraId="3AC0EA0E" w14:textId="77777777" w:rsidR="00292D49" w:rsidRPr="00E21A07" w:rsidRDefault="00292D49" w:rsidP="00292D49">
      <w:pPr>
        <w:spacing w:line="360" w:lineRule="auto"/>
        <w:rPr>
          <w:rFonts w:ascii="Arial" w:hAnsi="Arial" w:cs="Arial"/>
          <w:b/>
          <w:bCs/>
          <w:u w:val="single"/>
        </w:rPr>
      </w:pPr>
    </w:p>
    <w:p w14:paraId="4C7351E1" w14:textId="77777777" w:rsidR="00292D49" w:rsidRPr="00E21A07" w:rsidRDefault="00292D49" w:rsidP="00292D49">
      <w:pPr>
        <w:spacing w:line="360" w:lineRule="auto"/>
        <w:rPr>
          <w:rFonts w:ascii="Arial" w:hAnsi="Arial" w:cs="Arial"/>
          <w:b/>
          <w:bCs/>
          <w:u w:val="single"/>
        </w:rPr>
      </w:pPr>
    </w:p>
    <w:p w14:paraId="7F6C4898" w14:textId="77777777" w:rsidR="00292D49" w:rsidRPr="00E21A07" w:rsidRDefault="00292D49" w:rsidP="00292D49">
      <w:pPr>
        <w:spacing w:line="360" w:lineRule="auto"/>
        <w:rPr>
          <w:rFonts w:ascii="Arial" w:hAnsi="Arial" w:cs="Arial"/>
        </w:rPr>
      </w:pPr>
    </w:p>
    <w:p w14:paraId="01B63633" w14:textId="0C99E6A1" w:rsidR="00292D49" w:rsidRPr="00E21A07" w:rsidRDefault="00292D49" w:rsidP="00292D49">
      <w:pPr>
        <w:spacing w:line="360" w:lineRule="auto"/>
        <w:rPr>
          <w:rFonts w:ascii="Arial" w:hAnsi="Arial" w:cs="Arial"/>
        </w:rPr>
      </w:pPr>
      <w:r w:rsidRPr="00E21A07">
        <w:rPr>
          <w:rFonts w:ascii="Arial" w:hAnsi="Arial" w:cs="Arial"/>
        </w:rPr>
        <w:t>Figure 1: Children exploring and learning within a natural outdoor environment.</w:t>
      </w:r>
    </w:p>
    <w:p w14:paraId="1ECE31C6" w14:textId="77777777" w:rsidR="00292D49" w:rsidRPr="00E21A07" w:rsidRDefault="00292D49" w:rsidP="00292D49">
      <w:pPr>
        <w:spacing w:line="360" w:lineRule="auto"/>
        <w:rPr>
          <w:rFonts w:ascii="Arial" w:hAnsi="Arial" w:cs="Arial"/>
          <w:b/>
          <w:bCs/>
          <w:u w:val="single"/>
        </w:rPr>
      </w:pPr>
    </w:p>
    <w:p w14:paraId="0F4B3297" w14:textId="77777777" w:rsidR="00292D49" w:rsidRPr="00E21A07" w:rsidRDefault="00292D49" w:rsidP="00292D49">
      <w:pPr>
        <w:spacing w:line="360" w:lineRule="auto"/>
        <w:rPr>
          <w:rFonts w:ascii="Arial" w:hAnsi="Arial" w:cs="Arial"/>
          <w:b/>
          <w:bCs/>
          <w:u w:val="single"/>
        </w:rPr>
      </w:pPr>
    </w:p>
    <w:p w14:paraId="0DFBED01" w14:textId="07317466" w:rsidR="00292D49" w:rsidRPr="00E21A07" w:rsidRDefault="00292D49" w:rsidP="00292D49">
      <w:pPr>
        <w:spacing w:line="360" w:lineRule="auto"/>
        <w:rPr>
          <w:rFonts w:ascii="Arial" w:hAnsi="Arial" w:cs="Arial"/>
          <w:b/>
          <w:bCs/>
          <w:u w:val="single"/>
        </w:rPr>
      </w:pPr>
      <w:r w:rsidRPr="00E21A07">
        <w:rPr>
          <w:rFonts w:ascii="Arial" w:hAnsi="Arial" w:cs="Arial"/>
          <w:b/>
          <w:bCs/>
          <w:u w:val="single"/>
        </w:rPr>
        <w:t>Why does outdoor play matter?</w:t>
      </w:r>
    </w:p>
    <w:p w14:paraId="134EADCD" w14:textId="77777777" w:rsidR="00292D49" w:rsidRPr="00E21A07" w:rsidRDefault="00292D49" w:rsidP="00292D49">
      <w:pPr>
        <w:spacing w:line="360" w:lineRule="auto"/>
        <w:rPr>
          <w:rFonts w:ascii="Arial" w:hAnsi="Arial" w:cs="Arial"/>
        </w:rPr>
      </w:pPr>
    </w:p>
    <w:p w14:paraId="14BFF58A" w14:textId="0DB5D23A" w:rsidR="00292D49" w:rsidRPr="00E21A07" w:rsidRDefault="00292D49" w:rsidP="00292D49">
      <w:pPr>
        <w:spacing w:line="360" w:lineRule="auto"/>
        <w:rPr>
          <w:rFonts w:ascii="Arial" w:hAnsi="Arial" w:cs="Arial"/>
        </w:rPr>
      </w:pPr>
      <w:r w:rsidRPr="00E21A07">
        <w:rPr>
          <w:rFonts w:ascii="Arial" w:hAnsi="Arial" w:cs="Arial"/>
        </w:rPr>
        <w:t>Think about some of the experiences that capture young children’s attention: jumping into a puddle, watching an insect move across the ground, collecting leaves, balancing on a log or wondering why the wind is moving the trees. These moments might look simply, but they can create rich opportunities for exploration, conversation, problem-solving and discovery. Outdoor play should therefore not be viewed as an occasional break from ‘real’ learning. It can be an important part of the curriculum itself.</w:t>
      </w:r>
    </w:p>
    <w:p w14:paraId="590D1D92" w14:textId="77777777" w:rsidR="00292D49" w:rsidRPr="00E21A07" w:rsidRDefault="00292D49" w:rsidP="00292D49">
      <w:pPr>
        <w:spacing w:line="360" w:lineRule="auto"/>
        <w:rPr>
          <w:rFonts w:ascii="Arial" w:hAnsi="Arial" w:cs="Arial"/>
        </w:rPr>
      </w:pPr>
    </w:p>
    <w:p w14:paraId="233B6F20" w14:textId="37D62C27" w:rsidR="00292D49" w:rsidRPr="00E21A07" w:rsidRDefault="00292D49" w:rsidP="00292D49">
      <w:pPr>
        <w:spacing w:line="360" w:lineRule="auto"/>
        <w:rPr>
          <w:rFonts w:ascii="Arial" w:hAnsi="Arial" w:cs="Arial"/>
        </w:rPr>
      </w:pPr>
      <w:r w:rsidRPr="00E21A07">
        <w:rPr>
          <w:rFonts w:ascii="Arial" w:hAnsi="Arial" w:cs="Arial"/>
        </w:rPr>
        <w:t xml:space="preserve">Within Wales, this argument is particularly relevant. Curriculum for Wales places importance on play and play-based learning, authentic experiences and </w:t>
      </w:r>
      <w:r w:rsidRPr="00E21A07">
        <w:rPr>
          <w:rFonts w:ascii="Arial" w:hAnsi="Arial" w:cs="Arial"/>
        </w:rPr>
        <w:lastRenderedPageBreak/>
        <w:t>opportunities for children to learn both indoors and outdoors (Welsh Government, 2022</w:t>
      </w:r>
      <w:r w:rsidR="00B70081" w:rsidRPr="00E21A07">
        <w:rPr>
          <w:rFonts w:ascii="Arial" w:hAnsi="Arial" w:cs="Arial"/>
        </w:rPr>
        <w:t>a</w:t>
      </w:r>
      <w:r w:rsidRPr="00E21A07">
        <w:rPr>
          <w:rFonts w:ascii="Arial" w:hAnsi="Arial" w:cs="Arial"/>
        </w:rPr>
        <w:t>). Current foundation-learning guidance also recognises that effective environments should provide meaningful opportunities for children to explore, investigate and follow their interests (Welsh Government, 2022</w:t>
      </w:r>
      <w:r w:rsidR="00B70081" w:rsidRPr="00E21A07">
        <w:rPr>
          <w:rFonts w:ascii="Arial" w:hAnsi="Arial" w:cs="Arial"/>
        </w:rPr>
        <w:t>a</w:t>
      </w:r>
      <w:r w:rsidRPr="00E21A07">
        <w:rPr>
          <w:rFonts w:ascii="Arial" w:hAnsi="Arial" w:cs="Arial"/>
        </w:rPr>
        <w:t>). Outdoor learning therefore complements a curriculum that aims to recognise children as active participants rather than passive recipients of adult-directed knowledge.</w:t>
      </w:r>
    </w:p>
    <w:p w14:paraId="5A53A976" w14:textId="77777777" w:rsidR="00292D49" w:rsidRPr="00E21A07" w:rsidRDefault="00292D49" w:rsidP="00292D49">
      <w:pPr>
        <w:spacing w:line="360" w:lineRule="auto"/>
        <w:rPr>
          <w:rFonts w:ascii="Arial" w:hAnsi="Arial" w:cs="Arial"/>
        </w:rPr>
      </w:pPr>
    </w:p>
    <w:p w14:paraId="3A22D6BF" w14:textId="77777777" w:rsidR="00292D49" w:rsidRPr="00E21A07" w:rsidRDefault="00292D49" w:rsidP="00292D49">
      <w:pPr>
        <w:spacing w:line="360" w:lineRule="auto"/>
        <w:rPr>
          <w:rFonts w:ascii="Arial" w:hAnsi="Arial" w:cs="Arial"/>
          <w:b/>
          <w:bCs/>
        </w:rPr>
      </w:pPr>
      <w:r w:rsidRPr="00E21A07">
        <w:rPr>
          <w:rFonts w:ascii="Arial" w:hAnsi="Arial" w:cs="Arial"/>
        </w:rPr>
        <w:t>Research supports this position, although the benefits of outdoor learning should not be taken for granted. Dankiw et al. (2020), in a systematic review of nature play, identified positive associations with aspects of children’s physical activity and health-related outcomes, while Johnstone et al. (2022) found evidence connecting nature-based early childhood education with a range of developmental outcomes. However, differences between studies mean it would be misleading to suggest that simply taking children outside automatically produces better learning. The quality of the experience still matters.</w:t>
      </w:r>
    </w:p>
    <w:p w14:paraId="46CF68CD" w14:textId="77777777" w:rsidR="00292D49" w:rsidRPr="00E21A07" w:rsidRDefault="00292D49" w:rsidP="00292D49">
      <w:pPr>
        <w:spacing w:line="360" w:lineRule="auto"/>
        <w:rPr>
          <w:rFonts w:ascii="Arial" w:hAnsi="Arial" w:cs="Arial"/>
        </w:rPr>
      </w:pPr>
    </w:p>
    <w:p w14:paraId="428FBCDB" w14:textId="77777777" w:rsidR="00292D49" w:rsidRPr="00E21A07" w:rsidRDefault="00292D49" w:rsidP="00292D49">
      <w:pPr>
        <w:spacing w:line="360" w:lineRule="auto"/>
        <w:rPr>
          <w:rFonts w:ascii="Arial" w:hAnsi="Arial" w:cs="Arial"/>
          <w:b/>
          <w:bCs/>
        </w:rPr>
      </w:pPr>
    </w:p>
    <w:p w14:paraId="39422843" w14:textId="2118CF0F" w:rsidR="00292D49" w:rsidRPr="00E21A07" w:rsidRDefault="00292D49" w:rsidP="00292D49">
      <w:pPr>
        <w:spacing w:line="360" w:lineRule="auto"/>
        <w:rPr>
          <w:rFonts w:ascii="Arial" w:hAnsi="Arial" w:cs="Arial"/>
          <w:b/>
          <w:bCs/>
          <w:u w:val="single"/>
        </w:rPr>
      </w:pPr>
    </w:p>
    <w:p w14:paraId="0C972F4F" w14:textId="5E650DC6" w:rsidR="00292D49" w:rsidRPr="00E21A07" w:rsidRDefault="00292D49" w:rsidP="00292D49">
      <w:pPr>
        <w:spacing w:line="360" w:lineRule="auto"/>
        <w:rPr>
          <w:rFonts w:ascii="Arial" w:hAnsi="Arial" w:cs="Arial"/>
          <w:b/>
          <w:bCs/>
          <w:u w:val="single"/>
        </w:rPr>
      </w:pPr>
      <w:r w:rsidRPr="00E21A07">
        <w:rPr>
          <w:rFonts w:ascii="Arial" w:hAnsi="Arial" w:cs="Arial"/>
          <w:b/>
          <w:bCs/>
          <w:u w:val="single"/>
        </w:rPr>
        <w:t>More than an outdoor classroom</w:t>
      </w:r>
    </w:p>
    <w:p w14:paraId="7E81EF5C" w14:textId="4FCC355C" w:rsidR="00292D49" w:rsidRPr="00E21A07" w:rsidRDefault="00292D49" w:rsidP="00292D49">
      <w:pPr>
        <w:spacing w:line="360" w:lineRule="auto"/>
        <w:rPr>
          <w:rFonts w:ascii="Arial" w:hAnsi="Arial" w:cs="Arial"/>
          <w:b/>
          <w:bCs/>
          <w:u w:val="single"/>
        </w:rPr>
      </w:pPr>
      <w:r w:rsidRPr="00E21A07">
        <w:rPr>
          <w:noProof/>
        </w:rPr>
        <w:drawing>
          <wp:anchor distT="0" distB="0" distL="114300" distR="114300" simplePos="0" relativeHeight="251659264" behindDoc="0" locked="0" layoutInCell="1" allowOverlap="1" wp14:anchorId="310E1368" wp14:editId="7820CB40">
            <wp:simplePos x="0" y="0"/>
            <wp:positionH relativeFrom="column">
              <wp:posOffset>0</wp:posOffset>
            </wp:positionH>
            <wp:positionV relativeFrom="paragraph">
              <wp:posOffset>200025</wp:posOffset>
            </wp:positionV>
            <wp:extent cx="3327400" cy="3429000"/>
            <wp:effectExtent l="0" t="0" r="0" b="0"/>
            <wp:wrapNone/>
            <wp:docPr id="1008691678" name="Picture 2" descr="Children aren't born with strong observation skills. They need to build them. Every time a child slows down to look closely at a leaf, notices an insect moving through the grass, 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T3OHapXSB9Kri-gPrO_92Ag_29" descr="Children aren't born with strong observation skills. They need to build them. Every time a child slows down to look closely at a leaf, notices an insect moving through the grass, o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27400" cy="3429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E59B2D" w14:textId="31F40DBA" w:rsidR="00292D49" w:rsidRPr="00E21A07" w:rsidRDefault="00292D49" w:rsidP="00292D49">
      <w:pPr>
        <w:spacing w:line="360" w:lineRule="auto"/>
        <w:rPr>
          <w:rFonts w:ascii="Arial" w:hAnsi="Arial" w:cs="Arial"/>
          <w:b/>
          <w:bCs/>
          <w:u w:val="single"/>
        </w:rPr>
      </w:pPr>
    </w:p>
    <w:p w14:paraId="736E4996" w14:textId="65ADB6F0" w:rsidR="00292D49" w:rsidRPr="00E21A07" w:rsidRDefault="00292D49" w:rsidP="00292D49">
      <w:pPr>
        <w:spacing w:line="360" w:lineRule="auto"/>
        <w:rPr>
          <w:rFonts w:ascii="Arial" w:hAnsi="Arial" w:cs="Arial"/>
          <w:b/>
          <w:bCs/>
          <w:u w:val="single"/>
        </w:rPr>
      </w:pPr>
      <w:r w:rsidRPr="00E21A07">
        <w:fldChar w:fldCharType="begin"/>
      </w:r>
      <w:r w:rsidRPr="00E21A07">
        <w:instrText xml:space="preserve"> INCLUDEPICTURE "/Users/Sehrish/Library/Group Containers/UBF8T346G9.ms/WebArchiveCopyPasteTempFiles/com.microsoft.Word/images?q=tbnANd9GcSTo5XS8ec3UkoHB3J_Lc0sJizzb1sLf1H5z4CnffbzMA&amp;s=10" \* MERGEFORMATINET </w:instrText>
      </w:r>
      <w:r w:rsidR="00000000" w:rsidRPr="00E21A07">
        <w:fldChar w:fldCharType="separate"/>
      </w:r>
      <w:r w:rsidRPr="00E21A07">
        <w:fldChar w:fldCharType="end"/>
      </w:r>
    </w:p>
    <w:p w14:paraId="3BAC6F23" w14:textId="6190BBE5" w:rsidR="00292D49" w:rsidRPr="00E21A07" w:rsidRDefault="00292D49" w:rsidP="00292D49">
      <w:pPr>
        <w:spacing w:line="360" w:lineRule="auto"/>
        <w:rPr>
          <w:rFonts w:ascii="Arial" w:hAnsi="Arial" w:cs="Arial"/>
          <w:b/>
          <w:bCs/>
          <w:u w:val="single"/>
        </w:rPr>
      </w:pPr>
    </w:p>
    <w:p w14:paraId="1B2A8649" w14:textId="37D2E198" w:rsidR="00292D49" w:rsidRPr="00E21A07" w:rsidRDefault="00292D49" w:rsidP="00292D49">
      <w:pPr>
        <w:spacing w:line="360" w:lineRule="auto"/>
        <w:rPr>
          <w:rFonts w:ascii="Arial" w:hAnsi="Arial" w:cs="Arial"/>
          <w:b/>
          <w:bCs/>
          <w:u w:val="single"/>
        </w:rPr>
      </w:pPr>
    </w:p>
    <w:p w14:paraId="289FD18F" w14:textId="162345E6" w:rsidR="00292D49" w:rsidRPr="00E21A07" w:rsidRDefault="00292D49" w:rsidP="00292D49">
      <w:pPr>
        <w:spacing w:line="360" w:lineRule="auto"/>
        <w:rPr>
          <w:rFonts w:ascii="Arial" w:hAnsi="Arial" w:cs="Arial"/>
          <w:b/>
          <w:bCs/>
          <w:u w:val="single"/>
        </w:rPr>
      </w:pPr>
    </w:p>
    <w:p w14:paraId="5E362376" w14:textId="02C5443F" w:rsidR="00292D49" w:rsidRPr="00E21A07" w:rsidRDefault="00292D49" w:rsidP="00292D49">
      <w:pPr>
        <w:spacing w:line="360" w:lineRule="auto"/>
        <w:rPr>
          <w:rFonts w:ascii="Arial" w:hAnsi="Arial" w:cs="Arial"/>
          <w:b/>
          <w:bCs/>
          <w:u w:val="single"/>
        </w:rPr>
      </w:pPr>
    </w:p>
    <w:p w14:paraId="0A9CB65F" w14:textId="6A880A50" w:rsidR="00292D49" w:rsidRPr="00E21A07" w:rsidRDefault="00292D49" w:rsidP="00292D49">
      <w:pPr>
        <w:spacing w:line="360" w:lineRule="auto"/>
        <w:rPr>
          <w:rFonts w:ascii="Arial" w:hAnsi="Arial" w:cs="Arial"/>
          <w:b/>
          <w:bCs/>
          <w:u w:val="single"/>
        </w:rPr>
      </w:pPr>
    </w:p>
    <w:p w14:paraId="42912F18" w14:textId="709EEE87" w:rsidR="00292D49" w:rsidRPr="00E21A07" w:rsidRDefault="00292D49" w:rsidP="00292D49">
      <w:pPr>
        <w:spacing w:line="360" w:lineRule="auto"/>
        <w:rPr>
          <w:rFonts w:ascii="Arial" w:hAnsi="Arial" w:cs="Arial"/>
          <w:b/>
          <w:bCs/>
          <w:u w:val="single"/>
        </w:rPr>
      </w:pPr>
    </w:p>
    <w:p w14:paraId="65C6EFF9" w14:textId="1929B02A" w:rsidR="00292D49" w:rsidRPr="00E21A07" w:rsidRDefault="00292D49" w:rsidP="00292D49">
      <w:pPr>
        <w:spacing w:line="360" w:lineRule="auto"/>
        <w:rPr>
          <w:rFonts w:ascii="Arial" w:hAnsi="Arial" w:cs="Arial"/>
          <w:b/>
          <w:bCs/>
          <w:u w:val="single"/>
        </w:rPr>
      </w:pPr>
    </w:p>
    <w:p w14:paraId="09CA2069" w14:textId="4362F341" w:rsidR="00292D49" w:rsidRPr="00E21A07" w:rsidRDefault="00292D49" w:rsidP="00292D49">
      <w:pPr>
        <w:spacing w:line="360" w:lineRule="auto"/>
        <w:rPr>
          <w:rFonts w:ascii="Arial" w:hAnsi="Arial" w:cs="Arial"/>
          <w:b/>
          <w:bCs/>
          <w:u w:val="single"/>
        </w:rPr>
      </w:pPr>
    </w:p>
    <w:p w14:paraId="6562E53E" w14:textId="60B9D4D6" w:rsidR="00292D49" w:rsidRPr="00E21A07" w:rsidRDefault="00292D49" w:rsidP="00292D49">
      <w:pPr>
        <w:spacing w:line="360" w:lineRule="auto"/>
        <w:rPr>
          <w:rFonts w:ascii="Arial" w:hAnsi="Arial" w:cs="Arial"/>
        </w:rPr>
      </w:pPr>
    </w:p>
    <w:p w14:paraId="6C497790" w14:textId="77777777" w:rsidR="00292D49" w:rsidRPr="00E21A07" w:rsidRDefault="00292D49" w:rsidP="00292D49">
      <w:pPr>
        <w:spacing w:line="360" w:lineRule="auto"/>
        <w:rPr>
          <w:rFonts w:ascii="Arial" w:hAnsi="Arial" w:cs="Arial"/>
        </w:rPr>
      </w:pPr>
    </w:p>
    <w:p w14:paraId="1E70957D" w14:textId="77777777" w:rsidR="00292D49" w:rsidRPr="00E21A07" w:rsidRDefault="00292D49" w:rsidP="00292D49">
      <w:pPr>
        <w:spacing w:line="360" w:lineRule="auto"/>
        <w:rPr>
          <w:rFonts w:ascii="Arial" w:hAnsi="Arial" w:cs="Arial"/>
        </w:rPr>
      </w:pPr>
    </w:p>
    <w:p w14:paraId="7168AB1F" w14:textId="4BC93C21" w:rsidR="00292D49" w:rsidRPr="00E21A07" w:rsidRDefault="00292D49" w:rsidP="00292D49">
      <w:pPr>
        <w:spacing w:line="360" w:lineRule="auto"/>
        <w:rPr>
          <w:rFonts w:ascii="Arial" w:hAnsi="Arial" w:cs="Arial"/>
        </w:rPr>
      </w:pPr>
      <w:r w:rsidRPr="00E21A07">
        <w:rPr>
          <w:rFonts w:ascii="Arial" w:hAnsi="Arial" w:cs="Arial"/>
        </w:rPr>
        <w:t>Figure 2: Child-led exploration can create opportunities for curiosity and discovery.</w:t>
      </w:r>
    </w:p>
    <w:p w14:paraId="49C5A1B5" w14:textId="77777777" w:rsidR="00292D49" w:rsidRPr="00E21A07" w:rsidRDefault="00292D49" w:rsidP="00292D49">
      <w:pPr>
        <w:spacing w:line="360" w:lineRule="auto"/>
        <w:rPr>
          <w:rFonts w:ascii="Arial" w:hAnsi="Arial" w:cs="Arial"/>
        </w:rPr>
      </w:pPr>
    </w:p>
    <w:p w14:paraId="28BC5A83" w14:textId="00E76DC0" w:rsidR="00292D49" w:rsidRPr="00E21A07" w:rsidRDefault="00292D49" w:rsidP="00292D49">
      <w:pPr>
        <w:spacing w:line="360" w:lineRule="auto"/>
        <w:rPr>
          <w:rFonts w:ascii="Arial" w:hAnsi="Arial" w:cs="Arial"/>
        </w:rPr>
      </w:pPr>
      <w:r w:rsidRPr="00E21A07">
        <w:rPr>
          <w:rFonts w:ascii="Arial" w:hAnsi="Arial" w:cs="Arial"/>
        </w:rPr>
        <w:t>One danger is treating outdoor provision as simply an indoor lesson moved outside. Outdoor environments offer different possibilities precisely because they can be less predictable and more responsive to children’s curiosity. Natural materials change, weather alters experiences and children can encounter living things that cannot be completely controlled or predetermined.</w:t>
      </w:r>
    </w:p>
    <w:p w14:paraId="14346043" w14:textId="379282A2" w:rsidR="00292D49" w:rsidRPr="00E21A07" w:rsidRDefault="00292D49" w:rsidP="00292D49">
      <w:pPr>
        <w:spacing w:line="360" w:lineRule="auto"/>
        <w:rPr>
          <w:rFonts w:ascii="Arial" w:hAnsi="Arial" w:cs="Arial"/>
        </w:rPr>
      </w:pPr>
    </w:p>
    <w:p w14:paraId="5CE912AE" w14:textId="59625324" w:rsidR="00292D49" w:rsidRPr="00E21A07" w:rsidRDefault="00292D49" w:rsidP="00292D49">
      <w:pPr>
        <w:spacing w:line="360" w:lineRule="auto"/>
        <w:rPr>
          <w:rFonts w:ascii="Arial" w:hAnsi="Arial" w:cs="Arial"/>
        </w:rPr>
      </w:pPr>
      <w:r w:rsidRPr="00E21A07">
        <w:rPr>
          <w:rFonts w:ascii="Arial" w:hAnsi="Arial" w:cs="Arial"/>
        </w:rPr>
        <w:t>Merewether (2015) found that young children valued outdoor spaces that provided opportunities to pretend, observe, move and socialise. Importantly, this research foregrounds children’s perspectives, rather than assuming adults already know what children value about outdoor environments. This matters for genuinely child-centred practice. If adults design every outdoor experience around predetermined outcome, children's own questions and discoveries can easily become secondary.</w:t>
      </w:r>
    </w:p>
    <w:p w14:paraId="32EEFBAC" w14:textId="77777777" w:rsidR="00292D49" w:rsidRPr="00E21A07" w:rsidRDefault="00292D49" w:rsidP="00292D49">
      <w:pPr>
        <w:spacing w:line="360" w:lineRule="auto"/>
        <w:rPr>
          <w:rFonts w:ascii="Arial" w:hAnsi="Arial" w:cs="Arial"/>
        </w:rPr>
      </w:pPr>
    </w:p>
    <w:p w14:paraId="747E74CD" w14:textId="2F8C42E4" w:rsidR="00292D49" w:rsidRPr="00E21A07" w:rsidRDefault="00292D49" w:rsidP="00292D49">
      <w:pPr>
        <w:spacing w:line="360" w:lineRule="auto"/>
        <w:rPr>
          <w:rFonts w:ascii="Arial" w:hAnsi="Arial" w:cs="Arial"/>
        </w:rPr>
      </w:pPr>
      <w:r w:rsidRPr="00E21A07">
        <w:rPr>
          <w:rFonts w:ascii="Arial" w:hAnsi="Arial" w:cs="Arial"/>
        </w:rPr>
        <w:t>Rooney (2018) takes this idea further by challenging educators to think about children's relationships with weather and the more-than-human world. From this perspective, rain, wind, mud or seasonal change are not merely inconveniences surrounding learning; they can become part of what children experience and investigate. Outdoor education can therefore create opportunities for children to develop relationships with place and nature rather than simply acquiring facts about the environment.</w:t>
      </w:r>
    </w:p>
    <w:p w14:paraId="63133482" w14:textId="77777777" w:rsidR="00292D49" w:rsidRPr="00E21A07" w:rsidRDefault="00292D49" w:rsidP="00292D49">
      <w:pPr>
        <w:spacing w:line="360" w:lineRule="auto"/>
        <w:rPr>
          <w:rFonts w:ascii="Arial" w:hAnsi="Arial" w:cs="Arial"/>
        </w:rPr>
      </w:pPr>
    </w:p>
    <w:p w14:paraId="2BB0B0A4" w14:textId="77777777" w:rsidR="00292D49" w:rsidRPr="00E21A07" w:rsidRDefault="00292D49" w:rsidP="00292D49">
      <w:pPr>
        <w:spacing w:line="360" w:lineRule="auto"/>
        <w:rPr>
          <w:rFonts w:ascii="Arial" w:hAnsi="Arial" w:cs="Arial"/>
          <w:b/>
          <w:bCs/>
        </w:rPr>
      </w:pPr>
    </w:p>
    <w:p w14:paraId="3253C347" w14:textId="3AE2D922" w:rsidR="00292D49" w:rsidRPr="00E21A07" w:rsidRDefault="00292D49" w:rsidP="00292D49">
      <w:pPr>
        <w:spacing w:line="360" w:lineRule="auto"/>
        <w:rPr>
          <w:rFonts w:ascii="Arial" w:hAnsi="Arial" w:cs="Arial"/>
          <w:b/>
          <w:bCs/>
          <w:u w:val="single"/>
        </w:rPr>
      </w:pPr>
      <w:r w:rsidRPr="00E21A07">
        <w:rPr>
          <w:rFonts w:ascii="Arial" w:hAnsi="Arial" w:cs="Arial"/>
          <w:b/>
          <w:bCs/>
          <w:u w:val="single"/>
        </w:rPr>
        <w:t>But being outside does not automatically make practice child-centred</w:t>
      </w:r>
    </w:p>
    <w:p w14:paraId="07A75E8C" w14:textId="77777777" w:rsidR="00292D49" w:rsidRPr="00E21A07" w:rsidRDefault="00292D49" w:rsidP="00292D49">
      <w:pPr>
        <w:spacing w:line="360" w:lineRule="auto"/>
        <w:rPr>
          <w:rFonts w:ascii="Arial" w:hAnsi="Arial" w:cs="Arial"/>
        </w:rPr>
      </w:pPr>
    </w:p>
    <w:p w14:paraId="5277365C" w14:textId="72D244D4" w:rsidR="00292D49" w:rsidRPr="00E21A07" w:rsidRDefault="00292D49" w:rsidP="00292D49">
      <w:pPr>
        <w:spacing w:line="360" w:lineRule="auto"/>
        <w:rPr>
          <w:rFonts w:ascii="Arial" w:hAnsi="Arial" w:cs="Arial"/>
        </w:rPr>
      </w:pPr>
      <w:r w:rsidRPr="00E21A07">
        <w:rPr>
          <w:rFonts w:ascii="Arial" w:hAnsi="Arial" w:cs="Arial"/>
        </w:rPr>
        <w:t>This is where practitioners need to be careful. Outdoor learning is often described positively, but location alone does not determine pedagogy.</w:t>
      </w:r>
    </w:p>
    <w:p w14:paraId="10749E43" w14:textId="77777777" w:rsidR="00292D49" w:rsidRPr="00E21A07" w:rsidRDefault="00292D49" w:rsidP="00292D49">
      <w:pPr>
        <w:spacing w:line="360" w:lineRule="auto"/>
        <w:rPr>
          <w:rFonts w:ascii="Arial" w:hAnsi="Arial" w:cs="Arial"/>
        </w:rPr>
      </w:pPr>
    </w:p>
    <w:p w14:paraId="426D50C5" w14:textId="77777777" w:rsidR="00292D49" w:rsidRPr="00E21A07" w:rsidRDefault="00292D49" w:rsidP="00292D49">
      <w:pPr>
        <w:spacing w:line="360" w:lineRule="auto"/>
        <w:rPr>
          <w:rFonts w:ascii="Arial" w:hAnsi="Arial" w:cs="Arial"/>
        </w:rPr>
      </w:pPr>
      <w:r w:rsidRPr="00E21A07">
        <w:rPr>
          <w:rFonts w:ascii="Arial" w:hAnsi="Arial" w:cs="Arial"/>
        </w:rPr>
        <w:t xml:space="preserve">Bilton and Waters (2017) examined the professed aims of early-years teachers in England and Wales for taking children outdoors. Their work highlights that practitioners may hold different understandings of why outdoor learning matters and what it is intended to achieve. This has practical consequences: an outdoor environment dominated by adult-designed tasks can offer children very different </w:t>
      </w:r>
      <w:r w:rsidRPr="00E21A07">
        <w:rPr>
          <w:rFonts w:ascii="Arial" w:hAnsi="Arial" w:cs="Arial"/>
        </w:rPr>
        <w:lastRenderedPageBreak/>
        <w:t>experiences from one where practitioners deliberately create space for exploration, choice and sustained play.</w:t>
      </w:r>
    </w:p>
    <w:p w14:paraId="374E6AA3" w14:textId="77777777" w:rsidR="00292D49" w:rsidRPr="00E21A07" w:rsidRDefault="00292D49" w:rsidP="00292D49">
      <w:pPr>
        <w:spacing w:line="360" w:lineRule="auto"/>
        <w:rPr>
          <w:rFonts w:ascii="Arial" w:hAnsi="Arial" w:cs="Arial"/>
        </w:rPr>
      </w:pPr>
    </w:p>
    <w:p w14:paraId="76C07E3D" w14:textId="62FD5D8A" w:rsidR="00292D49" w:rsidRPr="00E21A07" w:rsidRDefault="00292D49" w:rsidP="00292D49">
      <w:pPr>
        <w:spacing w:line="360" w:lineRule="auto"/>
        <w:rPr>
          <w:rFonts w:ascii="Arial" w:hAnsi="Arial" w:cs="Arial"/>
        </w:rPr>
      </w:pPr>
      <w:r w:rsidRPr="00E21A07">
        <w:rPr>
          <w:rFonts w:ascii="Arial" w:hAnsi="Arial" w:cs="Arial"/>
        </w:rPr>
        <w:t>Adult involvement therefore requires balance. Practitioners can enrich outdoor play through sensitive questions, new vocabulary, resources or shared investigation, but constant adult direction may restrict children's opportunities to develop their own ideas. Research on guided play more broadly suggests that adult guidance can support learning outcomes, but its effectiveness depends upon how guidance is provided and whether meaningful child agency is retained (Skene et al., 2022).</w:t>
      </w:r>
    </w:p>
    <w:p w14:paraId="1A183119" w14:textId="77777777" w:rsidR="00292D49" w:rsidRPr="00E21A07" w:rsidRDefault="00292D49" w:rsidP="00292D49">
      <w:pPr>
        <w:spacing w:line="360" w:lineRule="auto"/>
        <w:rPr>
          <w:rFonts w:ascii="Arial" w:hAnsi="Arial" w:cs="Arial"/>
        </w:rPr>
      </w:pPr>
    </w:p>
    <w:p w14:paraId="51B7E0D9" w14:textId="2CFA5193" w:rsidR="00292D49" w:rsidRPr="00E21A07" w:rsidRDefault="00292D49" w:rsidP="00292D49">
      <w:pPr>
        <w:spacing w:line="360" w:lineRule="auto"/>
        <w:rPr>
          <w:rFonts w:ascii="Arial" w:hAnsi="Arial" w:cs="Arial"/>
        </w:rPr>
      </w:pPr>
      <w:r w:rsidRPr="00E21A07">
        <w:rPr>
          <w:rFonts w:ascii="Arial" w:hAnsi="Arial" w:cs="Arial"/>
        </w:rPr>
        <w:t>The aim should not be for adults to disappear from outdoor play. Instead, practitioners need to know when to join, when to extend and when to observe.</w:t>
      </w:r>
    </w:p>
    <w:p w14:paraId="59FFDEC6" w14:textId="77777777" w:rsidR="00292D49" w:rsidRPr="00E21A07" w:rsidRDefault="00292D49" w:rsidP="00292D49">
      <w:pPr>
        <w:spacing w:line="360" w:lineRule="auto"/>
        <w:rPr>
          <w:rFonts w:ascii="Arial" w:hAnsi="Arial" w:cs="Arial"/>
        </w:rPr>
      </w:pPr>
    </w:p>
    <w:p w14:paraId="7F731037" w14:textId="2A5A3B39" w:rsidR="00292D49" w:rsidRPr="00E21A07" w:rsidRDefault="00292D49" w:rsidP="00292D49">
      <w:pPr>
        <w:spacing w:line="360" w:lineRule="auto"/>
        <w:rPr>
          <w:rFonts w:ascii="Arial" w:hAnsi="Arial" w:cs="Arial"/>
        </w:rPr>
      </w:pPr>
    </w:p>
    <w:p w14:paraId="1639B3E2" w14:textId="70546C47" w:rsidR="00292D49" w:rsidRPr="00E21A07" w:rsidRDefault="00292D49" w:rsidP="00292D49">
      <w:pPr>
        <w:spacing w:line="360" w:lineRule="auto"/>
        <w:rPr>
          <w:rFonts w:ascii="Arial" w:hAnsi="Arial" w:cs="Arial"/>
          <w:b/>
          <w:bCs/>
          <w:u w:val="single"/>
        </w:rPr>
      </w:pPr>
      <w:r w:rsidRPr="00E21A07">
        <w:rPr>
          <w:rFonts w:ascii="Arial" w:hAnsi="Arial" w:cs="Arial"/>
          <w:b/>
          <w:bCs/>
          <w:u w:val="single"/>
        </w:rPr>
        <w:t>What about risk?</w:t>
      </w:r>
    </w:p>
    <w:p w14:paraId="5E9A826E" w14:textId="058A012C" w:rsidR="00292D49" w:rsidRPr="00E21A07" w:rsidRDefault="00292D49" w:rsidP="00292D49">
      <w:pPr>
        <w:spacing w:line="360" w:lineRule="auto"/>
        <w:rPr>
          <w:rFonts w:ascii="Arial" w:hAnsi="Arial" w:cs="Arial"/>
          <w:b/>
          <w:bCs/>
          <w:u w:val="single"/>
        </w:rPr>
      </w:pPr>
    </w:p>
    <w:p w14:paraId="6E758AA1" w14:textId="1A5BAC5C" w:rsidR="00292D49" w:rsidRPr="00E21A07" w:rsidRDefault="00292D49" w:rsidP="00292D49">
      <w:pPr>
        <w:spacing w:line="360" w:lineRule="auto"/>
      </w:pPr>
      <w:r w:rsidRPr="00E21A07">
        <w:rPr>
          <w:noProof/>
        </w:rPr>
        <w:drawing>
          <wp:anchor distT="0" distB="0" distL="114300" distR="114300" simplePos="0" relativeHeight="251660288" behindDoc="0" locked="0" layoutInCell="1" allowOverlap="1" wp14:anchorId="6B13D0CC" wp14:editId="36C5FA80">
            <wp:simplePos x="0" y="0"/>
            <wp:positionH relativeFrom="column">
              <wp:posOffset>-12700</wp:posOffset>
            </wp:positionH>
            <wp:positionV relativeFrom="paragraph">
              <wp:posOffset>307340</wp:posOffset>
            </wp:positionV>
            <wp:extent cx="5727700" cy="3818255"/>
            <wp:effectExtent l="0" t="0" r="0" b="4445"/>
            <wp:wrapSquare wrapText="bothSides"/>
            <wp:docPr id="927279866" name="Picture 3" descr="Importance of Risky Play in Childhood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b3SHaurwO9vti-gPrZacmA0_41" descr="Importance of Risky Play in Childhood Developme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38182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CEEE33" w14:textId="5A7A9777" w:rsidR="00292D49" w:rsidRPr="00E21A07" w:rsidRDefault="00292D49" w:rsidP="00292D49">
      <w:pPr>
        <w:spacing w:line="360" w:lineRule="auto"/>
        <w:rPr>
          <w:rFonts w:ascii="Arial" w:hAnsi="Arial" w:cs="Arial"/>
          <w:b/>
          <w:bCs/>
          <w:u w:val="single"/>
        </w:rPr>
      </w:pPr>
      <w:r w:rsidRPr="00E21A07">
        <w:rPr>
          <w:rFonts w:ascii="Arial" w:hAnsi="Arial" w:cs="Arial"/>
        </w:rPr>
        <w:t>Figure 3: Appropriate challenges can form an important part of outdoor play.</w:t>
      </w:r>
      <w:r w:rsidRPr="00E21A07">
        <w:rPr>
          <w:rFonts w:ascii="Arial" w:hAnsi="Arial" w:cs="Arial"/>
        </w:rPr>
        <w:fldChar w:fldCharType="begin"/>
      </w:r>
      <w:r w:rsidRPr="00E21A07">
        <w:rPr>
          <w:rFonts w:ascii="Arial" w:hAnsi="Arial" w:cs="Arial"/>
        </w:rPr>
        <w:instrText xml:space="preserve"> INCLUDEPICTURE "/Users/Sehrish/Library/Group Containers/UBF8T346G9.ms/WebArchiveCopyPasteTempFiles/com.microsoft.Word/images?q=tbnANd9GcSyNUf8vtdSK8quv67aO0HOclG_AQ6EnoMXHGXGX3JRVw&amp;s=10" \* MERGEFORMATINET </w:instrText>
      </w:r>
      <w:r w:rsidR="00000000" w:rsidRPr="00E21A07">
        <w:rPr>
          <w:rFonts w:ascii="Arial" w:hAnsi="Arial" w:cs="Arial"/>
        </w:rPr>
        <w:fldChar w:fldCharType="separate"/>
      </w:r>
      <w:r w:rsidRPr="00E21A07">
        <w:rPr>
          <w:rFonts w:ascii="Arial" w:hAnsi="Arial" w:cs="Arial"/>
        </w:rPr>
        <w:fldChar w:fldCharType="end"/>
      </w:r>
    </w:p>
    <w:p w14:paraId="7066EC35" w14:textId="5CC4E1C2" w:rsidR="00292D49" w:rsidRPr="00E21A07" w:rsidRDefault="00292D49" w:rsidP="00292D49">
      <w:pPr>
        <w:spacing w:line="360" w:lineRule="auto"/>
        <w:rPr>
          <w:rFonts w:ascii="Arial" w:hAnsi="Arial" w:cs="Arial"/>
          <w:b/>
          <w:bCs/>
          <w:u w:val="single"/>
        </w:rPr>
      </w:pPr>
    </w:p>
    <w:p w14:paraId="5A9480FA" w14:textId="15B5D96B" w:rsidR="00292D49" w:rsidRPr="00E21A07" w:rsidRDefault="00292D49" w:rsidP="00292D49">
      <w:pPr>
        <w:spacing w:line="360" w:lineRule="auto"/>
        <w:rPr>
          <w:rFonts w:ascii="Arial" w:hAnsi="Arial" w:cs="Arial"/>
          <w:b/>
          <w:bCs/>
          <w:u w:val="single"/>
        </w:rPr>
      </w:pPr>
    </w:p>
    <w:p w14:paraId="36F54317" w14:textId="7AE972A0" w:rsidR="00292D49" w:rsidRPr="00E21A07" w:rsidRDefault="00292D49" w:rsidP="00292D49">
      <w:pPr>
        <w:spacing w:line="360" w:lineRule="auto"/>
        <w:rPr>
          <w:rFonts w:ascii="Arial" w:hAnsi="Arial" w:cs="Arial"/>
          <w:b/>
          <w:bCs/>
          <w:u w:val="single"/>
        </w:rPr>
      </w:pPr>
    </w:p>
    <w:p w14:paraId="11A3E317" w14:textId="2D36518C" w:rsidR="00292D49" w:rsidRPr="00E21A07" w:rsidRDefault="00292D49" w:rsidP="00292D49">
      <w:pPr>
        <w:spacing w:line="360" w:lineRule="auto"/>
        <w:rPr>
          <w:rFonts w:ascii="Arial" w:hAnsi="Arial" w:cs="Arial"/>
          <w:b/>
          <w:bCs/>
          <w:u w:val="single"/>
        </w:rPr>
      </w:pPr>
    </w:p>
    <w:p w14:paraId="0A147155" w14:textId="77777777" w:rsidR="00292D49" w:rsidRPr="00E21A07" w:rsidRDefault="00292D49" w:rsidP="00292D49">
      <w:pPr>
        <w:spacing w:line="360" w:lineRule="auto"/>
        <w:rPr>
          <w:rFonts w:ascii="Arial" w:hAnsi="Arial" w:cs="Arial"/>
          <w:b/>
          <w:bCs/>
          <w:u w:val="single"/>
        </w:rPr>
      </w:pPr>
    </w:p>
    <w:p w14:paraId="49F0DA16" w14:textId="77777777" w:rsidR="00292D49" w:rsidRPr="00E21A07" w:rsidRDefault="00292D49" w:rsidP="00292D49">
      <w:pPr>
        <w:spacing w:line="360" w:lineRule="auto"/>
        <w:rPr>
          <w:rFonts w:ascii="Arial" w:hAnsi="Arial" w:cs="Arial"/>
        </w:rPr>
      </w:pPr>
    </w:p>
    <w:p w14:paraId="3EB6B0C8" w14:textId="2D204481" w:rsidR="00292D49" w:rsidRPr="00E21A07" w:rsidRDefault="00292D49" w:rsidP="00292D49">
      <w:pPr>
        <w:spacing w:line="360" w:lineRule="auto"/>
        <w:rPr>
          <w:rFonts w:ascii="Arial" w:hAnsi="Arial" w:cs="Arial"/>
        </w:rPr>
      </w:pPr>
      <w:r w:rsidRPr="00E21A07">
        <w:rPr>
          <w:rFonts w:ascii="Arial" w:hAnsi="Arial" w:cs="Arial"/>
        </w:rPr>
        <w:t>Outdoor play can also involve uncertainty. Uneven ground, climbing, natural materials and changing weather may create concerns about safety. Protecting children from serious harm is clearly essential, but eliminating every possible challenge can also restrict opportunities for children to develop confidence and learn to judge situations for themselves.</w:t>
      </w:r>
    </w:p>
    <w:p w14:paraId="09BD1A24" w14:textId="77777777" w:rsidR="00292D49" w:rsidRPr="00E21A07" w:rsidRDefault="00292D49" w:rsidP="00292D49">
      <w:pPr>
        <w:spacing w:line="360" w:lineRule="auto"/>
        <w:rPr>
          <w:rFonts w:ascii="Arial" w:hAnsi="Arial" w:cs="Arial"/>
        </w:rPr>
      </w:pPr>
    </w:p>
    <w:p w14:paraId="01A8ADAB" w14:textId="2E319DAF" w:rsidR="00292D49" w:rsidRPr="00E21A07" w:rsidRDefault="00292D49" w:rsidP="00292D49">
      <w:pPr>
        <w:spacing w:line="360" w:lineRule="auto"/>
        <w:rPr>
          <w:rFonts w:ascii="Arial" w:hAnsi="Arial" w:cs="Arial"/>
        </w:rPr>
      </w:pPr>
      <w:r w:rsidRPr="00E21A07">
        <w:rPr>
          <w:rFonts w:ascii="Arial" w:hAnsi="Arial" w:cs="Arial"/>
        </w:rPr>
        <w:t>Brussoni et al. (2015) found overall positive effects associated with risky outdoor play, including indications relating to physical activity and social health, although the evidence base also had limitations. More recent systematic review evidence has continued to examine the relationship between adventurous play and children's physical and mental health, while highlighting the complexity of defining and measuring risk across different contexts (</w:t>
      </w:r>
      <w:r w:rsidR="00B70081" w:rsidRPr="00E21A07">
        <w:rPr>
          <w:rFonts w:ascii="Arial" w:hAnsi="Arial" w:cs="Arial"/>
        </w:rPr>
        <w:t>Oliver</w:t>
      </w:r>
      <w:r w:rsidRPr="00E21A07">
        <w:rPr>
          <w:rFonts w:ascii="Arial" w:hAnsi="Arial" w:cs="Arial"/>
        </w:rPr>
        <w:t xml:space="preserve"> et al., 2023). Risk-benefit thinking is therefore more useful than assuming either that all risk is beneficial or that all risk should be removed.</w:t>
      </w:r>
    </w:p>
    <w:p w14:paraId="46F346A3" w14:textId="77777777" w:rsidR="00292D49" w:rsidRPr="00E21A07" w:rsidRDefault="00292D49" w:rsidP="00292D49">
      <w:pPr>
        <w:spacing w:line="360" w:lineRule="auto"/>
        <w:rPr>
          <w:rFonts w:ascii="Arial" w:hAnsi="Arial" w:cs="Arial"/>
        </w:rPr>
      </w:pPr>
    </w:p>
    <w:p w14:paraId="3F1B37C3" w14:textId="77777777" w:rsidR="00292D49" w:rsidRPr="00E21A07" w:rsidRDefault="00292D49" w:rsidP="00292D49">
      <w:pPr>
        <w:spacing w:line="360" w:lineRule="auto"/>
        <w:rPr>
          <w:rFonts w:ascii="Arial" w:hAnsi="Arial" w:cs="Arial"/>
        </w:rPr>
      </w:pPr>
      <w:r w:rsidRPr="00E21A07">
        <w:rPr>
          <w:rFonts w:ascii="Arial" w:hAnsi="Arial" w:cs="Arial"/>
        </w:rPr>
        <w:t>For practitioners, this means considering the benefit of an experience alongside its potential hazards. A child balancing, climbing or negotiating an unfamiliar natural space is not simply encountering risk; they may also be developing judgement, coordination, confidence and awareness of their own capabilities.</w:t>
      </w:r>
    </w:p>
    <w:p w14:paraId="0C5D4E89" w14:textId="77777777" w:rsidR="00292D49" w:rsidRPr="00E21A07" w:rsidRDefault="00292D49" w:rsidP="00292D49">
      <w:pPr>
        <w:spacing w:line="360" w:lineRule="auto"/>
        <w:rPr>
          <w:rFonts w:ascii="Arial" w:hAnsi="Arial" w:cs="Arial"/>
          <w:b/>
          <w:bCs/>
        </w:rPr>
      </w:pPr>
    </w:p>
    <w:p w14:paraId="55AD15C4" w14:textId="00D9A896" w:rsidR="00292D49" w:rsidRPr="00E21A07" w:rsidRDefault="00292D49" w:rsidP="00292D49">
      <w:pPr>
        <w:spacing w:line="360" w:lineRule="auto"/>
        <w:rPr>
          <w:rFonts w:ascii="Arial" w:hAnsi="Arial" w:cs="Arial"/>
          <w:b/>
          <w:bCs/>
          <w:u w:val="single"/>
        </w:rPr>
      </w:pPr>
    </w:p>
    <w:p w14:paraId="1D947D98" w14:textId="77777777" w:rsidR="00292D49" w:rsidRPr="00E21A07" w:rsidRDefault="00292D49" w:rsidP="00292D49">
      <w:pPr>
        <w:spacing w:line="360" w:lineRule="auto"/>
        <w:rPr>
          <w:rFonts w:ascii="Arial" w:hAnsi="Arial" w:cs="Arial"/>
          <w:b/>
          <w:bCs/>
          <w:u w:val="single"/>
        </w:rPr>
      </w:pPr>
    </w:p>
    <w:p w14:paraId="123707FD" w14:textId="47C9A38F" w:rsidR="00292D49" w:rsidRPr="00E21A07" w:rsidRDefault="00292D49" w:rsidP="00292D49">
      <w:pPr>
        <w:spacing w:line="360" w:lineRule="auto"/>
        <w:rPr>
          <w:rFonts w:ascii="Arial" w:hAnsi="Arial" w:cs="Arial"/>
          <w:b/>
          <w:bCs/>
          <w:u w:val="single"/>
        </w:rPr>
      </w:pPr>
      <w:r w:rsidRPr="00E21A07">
        <w:rPr>
          <w:rFonts w:ascii="Arial" w:hAnsi="Arial" w:cs="Arial"/>
          <w:b/>
          <w:bCs/>
          <w:u w:val="single"/>
        </w:rPr>
        <w:t>Outdoor play should be for every child</w:t>
      </w:r>
    </w:p>
    <w:p w14:paraId="4403B1F7" w14:textId="03C56BEA" w:rsidR="00292D49" w:rsidRPr="00E21A07" w:rsidRDefault="00292D49" w:rsidP="00292D49">
      <w:pPr>
        <w:spacing w:line="360" w:lineRule="auto"/>
        <w:rPr>
          <w:rFonts w:ascii="Arial" w:hAnsi="Arial" w:cs="Arial"/>
          <w:b/>
          <w:bCs/>
          <w:u w:val="single"/>
        </w:rPr>
      </w:pPr>
      <w:r w:rsidRPr="00E21A07">
        <w:rPr>
          <w:noProof/>
        </w:rPr>
        <w:lastRenderedPageBreak/>
        <w:drawing>
          <wp:anchor distT="0" distB="0" distL="114300" distR="114300" simplePos="0" relativeHeight="251661312" behindDoc="0" locked="0" layoutInCell="1" allowOverlap="1" wp14:anchorId="30F61B69" wp14:editId="0FABF724">
            <wp:simplePos x="0" y="0"/>
            <wp:positionH relativeFrom="column">
              <wp:posOffset>-165100</wp:posOffset>
            </wp:positionH>
            <wp:positionV relativeFrom="paragraph">
              <wp:posOffset>219710</wp:posOffset>
            </wp:positionV>
            <wp:extent cx="5727700" cy="2863850"/>
            <wp:effectExtent l="0" t="0" r="0" b="6350"/>
            <wp:wrapSquare wrapText="bothSides"/>
            <wp:docPr id="554614362" name="Picture 4" descr="Outdoor activities for multiple children | Parent Cl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Outdoor activities for multiple children | Parent Club"/>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2863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3EE09F7" w14:textId="1F36833B" w:rsidR="00292D49" w:rsidRPr="00E21A07" w:rsidRDefault="00292D49" w:rsidP="00292D49">
      <w:pPr>
        <w:spacing w:line="360" w:lineRule="auto"/>
        <w:rPr>
          <w:rFonts w:ascii="Arial" w:hAnsi="Arial" w:cs="Arial"/>
          <w:b/>
          <w:bCs/>
          <w:u w:val="single"/>
        </w:rPr>
      </w:pPr>
      <w:r w:rsidRPr="00E21A07">
        <w:rPr>
          <w:rFonts w:ascii="Arial" w:hAnsi="Arial" w:cs="Arial"/>
        </w:rPr>
        <w:t>Figure 4: Outdoor provision should provide meaningful opportunities for all children.</w:t>
      </w:r>
      <w:r w:rsidRPr="00E21A07">
        <w:rPr>
          <w:rFonts w:ascii="Arial" w:hAnsi="Arial" w:cs="Arial"/>
        </w:rPr>
        <w:fldChar w:fldCharType="begin"/>
      </w:r>
      <w:r w:rsidRPr="00E21A07">
        <w:rPr>
          <w:rFonts w:ascii="Arial" w:hAnsi="Arial" w:cs="Arial"/>
        </w:rPr>
        <w:instrText xml:space="preserve"> INCLUDEPICTURE "/Users/Sehrish/Library/Group Containers/UBF8T346G9.ms/WebArchiveCopyPasteTempFiles/com.microsoft.Word/children-running-banner.jpg" \* MERGEFORMATINET </w:instrText>
      </w:r>
      <w:r w:rsidR="00000000" w:rsidRPr="00E21A07">
        <w:rPr>
          <w:rFonts w:ascii="Arial" w:hAnsi="Arial" w:cs="Arial"/>
        </w:rPr>
        <w:fldChar w:fldCharType="separate"/>
      </w:r>
      <w:r w:rsidRPr="00E21A07">
        <w:rPr>
          <w:rFonts w:ascii="Arial" w:hAnsi="Arial" w:cs="Arial"/>
        </w:rPr>
        <w:fldChar w:fldCharType="end"/>
      </w:r>
    </w:p>
    <w:p w14:paraId="55BDEDE1" w14:textId="74389109" w:rsidR="00292D49" w:rsidRPr="00E21A07" w:rsidRDefault="00292D49" w:rsidP="00292D49">
      <w:pPr>
        <w:spacing w:line="360" w:lineRule="auto"/>
        <w:rPr>
          <w:rFonts w:ascii="Arial" w:hAnsi="Arial" w:cs="Arial"/>
          <w:b/>
          <w:bCs/>
          <w:u w:val="single"/>
        </w:rPr>
      </w:pPr>
    </w:p>
    <w:p w14:paraId="39E8F960" w14:textId="77777777" w:rsidR="00292D49" w:rsidRPr="00E21A07" w:rsidRDefault="00292D49" w:rsidP="00292D49">
      <w:pPr>
        <w:spacing w:line="360" w:lineRule="auto"/>
        <w:rPr>
          <w:rFonts w:ascii="Arial" w:hAnsi="Arial" w:cs="Arial"/>
        </w:rPr>
      </w:pPr>
    </w:p>
    <w:p w14:paraId="643A332C" w14:textId="4D3D0B57" w:rsidR="00292D49" w:rsidRPr="00E21A07" w:rsidRDefault="00292D49" w:rsidP="00292D49">
      <w:pPr>
        <w:spacing w:line="360" w:lineRule="auto"/>
        <w:rPr>
          <w:rFonts w:ascii="Arial" w:hAnsi="Arial" w:cs="Arial"/>
        </w:rPr>
      </w:pPr>
      <w:r w:rsidRPr="00E21A07">
        <w:rPr>
          <w:rFonts w:ascii="Arial" w:hAnsi="Arial" w:cs="Arial"/>
        </w:rPr>
        <w:t>There is another question that cannot be ignored: who gets to participate?</w:t>
      </w:r>
    </w:p>
    <w:p w14:paraId="177FAB91" w14:textId="4CDF277D" w:rsidR="00292D49" w:rsidRPr="00E21A07" w:rsidRDefault="00292D49" w:rsidP="00292D49">
      <w:pPr>
        <w:spacing w:line="360" w:lineRule="auto"/>
        <w:rPr>
          <w:rFonts w:ascii="Arial" w:hAnsi="Arial" w:cs="Arial"/>
        </w:rPr>
      </w:pPr>
    </w:p>
    <w:p w14:paraId="27CA1D04" w14:textId="70D265D2" w:rsidR="00292D49" w:rsidRPr="00E21A07" w:rsidRDefault="00292D49" w:rsidP="00292D49">
      <w:pPr>
        <w:spacing w:line="360" w:lineRule="auto"/>
        <w:rPr>
          <w:rFonts w:ascii="Arial" w:hAnsi="Arial" w:cs="Arial"/>
        </w:rPr>
      </w:pPr>
      <w:r w:rsidRPr="00E21A07">
        <w:rPr>
          <w:rFonts w:ascii="Arial" w:hAnsi="Arial" w:cs="Arial"/>
        </w:rPr>
        <w:t>Making an outdoor area available does not automatically make it inclusive. Children have different mobility, sensory, communication and emotional needs, while cultural experiences and previous access to natural environments may also differ. Inclusive outdoor provision therefore requires practitioners to consider accessibility, appropriate resources, sensory experiences and the support individual children may need to participate meaningfully.</w:t>
      </w:r>
    </w:p>
    <w:p w14:paraId="78D6E2EC" w14:textId="5D5285B0" w:rsidR="00292D49" w:rsidRPr="00E21A07" w:rsidRDefault="00292D49" w:rsidP="00292D49">
      <w:pPr>
        <w:spacing w:line="360" w:lineRule="auto"/>
        <w:rPr>
          <w:rFonts w:ascii="Arial" w:hAnsi="Arial" w:cs="Arial"/>
        </w:rPr>
      </w:pPr>
    </w:p>
    <w:p w14:paraId="0FC7E9DD" w14:textId="72EB21EC" w:rsidR="00292D49" w:rsidRPr="00E21A07" w:rsidRDefault="00292D49" w:rsidP="00292D49">
      <w:pPr>
        <w:spacing w:line="360" w:lineRule="auto"/>
        <w:rPr>
          <w:rFonts w:ascii="Arial" w:hAnsi="Arial" w:cs="Arial"/>
        </w:rPr>
      </w:pPr>
      <w:r w:rsidRPr="00E21A07">
        <w:rPr>
          <w:rFonts w:ascii="Arial" w:hAnsi="Arial" w:cs="Arial"/>
        </w:rPr>
        <w:t>This connects closely with the idea of the Unique Child discussed earlier in this portfolio. Children's engagement should not be measured against one expectation of what outdoor play ought to look like. For one child, meaningful participation might involve energetic movement across a large space; another may spend considerable time closely observing insects, water, leaves or shadows. Both can represent purposeful engagement.</w:t>
      </w:r>
    </w:p>
    <w:p w14:paraId="4D6700D4" w14:textId="77777777" w:rsidR="00292D49" w:rsidRPr="00E21A07" w:rsidRDefault="00292D49" w:rsidP="00292D49">
      <w:pPr>
        <w:spacing w:line="360" w:lineRule="auto"/>
        <w:rPr>
          <w:rFonts w:ascii="Arial" w:hAnsi="Arial" w:cs="Arial"/>
        </w:rPr>
      </w:pPr>
    </w:p>
    <w:p w14:paraId="76125B50" w14:textId="77777777" w:rsidR="00292D49" w:rsidRPr="00E21A07" w:rsidRDefault="00292D49" w:rsidP="00292D49">
      <w:pPr>
        <w:spacing w:line="360" w:lineRule="auto"/>
        <w:rPr>
          <w:rFonts w:ascii="Arial" w:hAnsi="Arial" w:cs="Arial"/>
          <w:b/>
          <w:bCs/>
          <w:u w:val="single"/>
        </w:rPr>
      </w:pPr>
    </w:p>
    <w:p w14:paraId="03637ABC" w14:textId="69E44AB1" w:rsidR="00292D49" w:rsidRPr="00E21A07" w:rsidRDefault="00292D49" w:rsidP="00292D49">
      <w:pPr>
        <w:spacing w:line="360" w:lineRule="auto"/>
        <w:rPr>
          <w:rFonts w:ascii="Arial" w:hAnsi="Arial" w:cs="Arial"/>
          <w:b/>
          <w:bCs/>
          <w:u w:val="single"/>
        </w:rPr>
      </w:pPr>
      <w:r w:rsidRPr="00E21A07">
        <w:rPr>
          <w:rFonts w:ascii="Arial" w:hAnsi="Arial" w:cs="Arial"/>
          <w:b/>
          <w:bCs/>
          <w:u w:val="single"/>
        </w:rPr>
        <w:t>So, should we take learning outside?</w:t>
      </w:r>
    </w:p>
    <w:p w14:paraId="6E1D020B" w14:textId="77777777" w:rsidR="00292D49" w:rsidRPr="00E21A07" w:rsidRDefault="00292D49" w:rsidP="00292D49">
      <w:pPr>
        <w:spacing w:line="360" w:lineRule="auto"/>
        <w:rPr>
          <w:rFonts w:ascii="Arial" w:hAnsi="Arial" w:cs="Arial"/>
        </w:rPr>
      </w:pPr>
    </w:p>
    <w:p w14:paraId="1A6841A9" w14:textId="2E8D8045" w:rsidR="00292D49" w:rsidRPr="00E21A07" w:rsidRDefault="00292D49" w:rsidP="00292D49">
      <w:pPr>
        <w:spacing w:line="360" w:lineRule="auto"/>
        <w:rPr>
          <w:rFonts w:ascii="Arial" w:hAnsi="Arial" w:cs="Arial"/>
        </w:rPr>
      </w:pPr>
      <w:r w:rsidRPr="00E21A07">
        <w:rPr>
          <w:rFonts w:ascii="Arial" w:hAnsi="Arial" w:cs="Arial"/>
        </w:rPr>
        <w:lastRenderedPageBreak/>
        <w:t>Yes - but simply opening the door is not enough.</w:t>
      </w:r>
    </w:p>
    <w:p w14:paraId="653C29A5" w14:textId="77777777" w:rsidR="00292D49" w:rsidRPr="00E21A07" w:rsidRDefault="00292D49" w:rsidP="00292D49">
      <w:pPr>
        <w:spacing w:line="360" w:lineRule="auto"/>
        <w:rPr>
          <w:rFonts w:ascii="Arial" w:hAnsi="Arial" w:cs="Arial"/>
        </w:rPr>
      </w:pPr>
    </w:p>
    <w:p w14:paraId="2CABAF30" w14:textId="77777777" w:rsidR="00292D49" w:rsidRPr="00E21A07" w:rsidRDefault="00292D49" w:rsidP="00292D49">
      <w:pPr>
        <w:spacing w:line="360" w:lineRule="auto"/>
        <w:rPr>
          <w:rFonts w:ascii="Arial" w:hAnsi="Arial" w:cs="Arial"/>
        </w:rPr>
      </w:pPr>
      <w:r w:rsidRPr="00E21A07">
        <w:rPr>
          <w:rFonts w:ascii="Arial" w:hAnsi="Arial" w:cs="Arial"/>
        </w:rPr>
        <w:t>Outdoor play has considerable potential to support exploration, movement, relationships, curiosity and children's engagement with the natural world (Merewether, 2015; Dankiw et al., 2020; Johnstone et al., 2022). It can also provide experiences that are difficult to reproduce indoors and create opportunities for children to encounter nature as something they belong within rather than something they only learn about.</w:t>
      </w:r>
    </w:p>
    <w:p w14:paraId="0CCD782C" w14:textId="77777777" w:rsidR="00292D49" w:rsidRPr="00E21A07" w:rsidRDefault="00292D49" w:rsidP="00292D49">
      <w:pPr>
        <w:spacing w:line="360" w:lineRule="auto"/>
        <w:rPr>
          <w:rFonts w:ascii="Arial" w:hAnsi="Arial" w:cs="Arial"/>
        </w:rPr>
      </w:pPr>
    </w:p>
    <w:p w14:paraId="516C8028" w14:textId="77777777" w:rsidR="00292D49" w:rsidRPr="00E21A07" w:rsidRDefault="00292D49" w:rsidP="00292D49">
      <w:pPr>
        <w:spacing w:line="360" w:lineRule="auto"/>
        <w:rPr>
          <w:rFonts w:ascii="Arial" w:hAnsi="Arial" w:cs="Arial"/>
        </w:rPr>
      </w:pPr>
      <w:r w:rsidRPr="00E21A07">
        <w:rPr>
          <w:rFonts w:ascii="Arial" w:hAnsi="Arial" w:cs="Arial"/>
        </w:rPr>
        <w:t>However, high-quality outdoor learning depends upon thoughtful pedagogy, accessible environments and adults who value children's ideas. Bilton and Waters (2017) remind us that practitioners' purposes for outdoor learning matter, while Rooney (2018) encourages a broader understanding of children's relationships with natural environments.</w:t>
      </w:r>
    </w:p>
    <w:p w14:paraId="14FFF99C" w14:textId="77777777" w:rsidR="00292D49" w:rsidRPr="00E21A07" w:rsidRDefault="00292D49" w:rsidP="00292D49">
      <w:pPr>
        <w:spacing w:line="360" w:lineRule="auto"/>
        <w:rPr>
          <w:rFonts w:ascii="Arial" w:hAnsi="Arial" w:cs="Arial"/>
        </w:rPr>
      </w:pPr>
    </w:p>
    <w:p w14:paraId="4A7D4F74" w14:textId="77777777" w:rsidR="00292D49" w:rsidRPr="00E21A07" w:rsidRDefault="00292D49" w:rsidP="00292D49">
      <w:pPr>
        <w:spacing w:line="360" w:lineRule="auto"/>
        <w:rPr>
          <w:rFonts w:ascii="Arial" w:hAnsi="Arial" w:cs="Arial"/>
        </w:rPr>
      </w:pPr>
      <w:r w:rsidRPr="00E21A07">
        <w:rPr>
          <w:rFonts w:ascii="Arial" w:hAnsi="Arial" w:cs="Arial"/>
        </w:rPr>
        <w:t>Perhaps the most important question for early-years practitioners is therefore not simply “How often do we take children outside?” It is:</w:t>
      </w:r>
    </w:p>
    <w:p w14:paraId="1505D9AA" w14:textId="77777777" w:rsidR="00292D49" w:rsidRPr="00E21A07" w:rsidRDefault="00292D49" w:rsidP="00292D49">
      <w:pPr>
        <w:spacing w:line="360" w:lineRule="auto"/>
        <w:rPr>
          <w:rFonts w:ascii="Arial" w:hAnsi="Arial" w:cs="Arial"/>
        </w:rPr>
      </w:pPr>
    </w:p>
    <w:p w14:paraId="445DF593" w14:textId="3B17A446" w:rsidR="00292D49" w:rsidRPr="00E21A07" w:rsidRDefault="00292D49" w:rsidP="00292D49">
      <w:pPr>
        <w:spacing w:line="360" w:lineRule="auto"/>
        <w:rPr>
          <w:rFonts w:ascii="Arial" w:hAnsi="Arial" w:cs="Arial"/>
        </w:rPr>
      </w:pPr>
      <w:r w:rsidRPr="00E21A07">
        <w:rPr>
          <w:rFonts w:ascii="Arial" w:hAnsi="Arial" w:cs="Arial"/>
        </w:rPr>
        <w:t>“What opportunities do children have to explore, wonder, take appropriate risks and shape what happens when they get there?”</w:t>
      </w:r>
    </w:p>
    <w:p w14:paraId="5D0402BE" w14:textId="77777777" w:rsidR="00292D49" w:rsidRPr="00E21A07" w:rsidRDefault="00292D49" w:rsidP="00292D49">
      <w:pPr>
        <w:spacing w:line="360" w:lineRule="auto"/>
        <w:rPr>
          <w:rFonts w:ascii="Arial" w:hAnsi="Arial" w:cs="Arial"/>
        </w:rPr>
      </w:pPr>
    </w:p>
    <w:p w14:paraId="63A2D979" w14:textId="77777777" w:rsidR="00292D49" w:rsidRPr="00E21A07" w:rsidRDefault="00292D49" w:rsidP="00292D49">
      <w:pPr>
        <w:spacing w:line="360" w:lineRule="auto"/>
        <w:rPr>
          <w:rFonts w:ascii="Arial" w:hAnsi="Arial" w:cs="Arial"/>
        </w:rPr>
      </w:pPr>
      <w:r w:rsidRPr="00E21A07">
        <w:rPr>
          <w:rFonts w:ascii="Arial" w:hAnsi="Arial" w:cs="Arial"/>
        </w:rPr>
        <w:t>If outdoor play is genuinely valued as part of curriculum rather than treated as an optional extra, the world beyond the classroom can become one of early childhood education's richest learning environments.</w:t>
      </w:r>
    </w:p>
    <w:p w14:paraId="58CF209A" w14:textId="77777777" w:rsidR="00292D49" w:rsidRDefault="00292D49" w:rsidP="00292D49">
      <w:pPr>
        <w:spacing w:line="360" w:lineRule="auto"/>
        <w:rPr>
          <w:rFonts w:ascii="Arial" w:hAnsi="Arial" w:cs="Arial"/>
        </w:rPr>
      </w:pPr>
    </w:p>
    <w:p w14:paraId="55C7FA19" w14:textId="77777777" w:rsidR="00292D49" w:rsidRPr="00292D49" w:rsidRDefault="00292D49" w:rsidP="00292D49">
      <w:pPr>
        <w:spacing w:line="360" w:lineRule="auto"/>
        <w:rPr>
          <w:rFonts w:ascii="Arial" w:hAnsi="Arial" w:cs="Arial"/>
        </w:rPr>
      </w:pPr>
    </w:p>
    <w:p w14:paraId="271AA202" w14:textId="77777777" w:rsidR="00292D49" w:rsidRDefault="00292D49" w:rsidP="00292D49">
      <w:pPr>
        <w:spacing w:line="360" w:lineRule="auto"/>
        <w:rPr>
          <w:rFonts w:ascii="Arial" w:hAnsi="Arial" w:cs="Arial"/>
        </w:rPr>
      </w:pPr>
    </w:p>
    <w:p w14:paraId="654023B8" w14:textId="77777777" w:rsidR="00292D49" w:rsidRDefault="00292D49" w:rsidP="00292D49">
      <w:pPr>
        <w:spacing w:line="360" w:lineRule="auto"/>
        <w:rPr>
          <w:rFonts w:ascii="Arial" w:hAnsi="Arial" w:cs="Arial"/>
        </w:rPr>
      </w:pPr>
    </w:p>
    <w:p w14:paraId="624BF80C" w14:textId="77777777" w:rsidR="00292D49" w:rsidRDefault="00292D49" w:rsidP="00292D49">
      <w:pPr>
        <w:spacing w:line="360" w:lineRule="auto"/>
        <w:rPr>
          <w:rFonts w:ascii="Arial" w:hAnsi="Arial" w:cs="Arial"/>
        </w:rPr>
      </w:pPr>
    </w:p>
    <w:p w14:paraId="6C8E253C" w14:textId="77777777" w:rsidR="00292D49" w:rsidRDefault="00292D49" w:rsidP="00292D49">
      <w:pPr>
        <w:spacing w:line="360" w:lineRule="auto"/>
        <w:rPr>
          <w:rFonts w:ascii="Arial" w:hAnsi="Arial" w:cs="Arial"/>
        </w:rPr>
      </w:pPr>
    </w:p>
    <w:p w14:paraId="79D5F0EB" w14:textId="77777777" w:rsidR="00292D49" w:rsidRPr="00292D49" w:rsidRDefault="00292D49" w:rsidP="00292D49">
      <w:pPr>
        <w:spacing w:line="360" w:lineRule="auto"/>
        <w:rPr>
          <w:rFonts w:ascii="Arial" w:hAnsi="Arial" w:cs="Arial"/>
        </w:rPr>
      </w:pPr>
    </w:p>
    <w:p w14:paraId="5A886282" w14:textId="77777777" w:rsidR="00292D49" w:rsidRDefault="00292D49" w:rsidP="00292D49">
      <w:pPr>
        <w:spacing w:line="360" w:lineRule="auto"/>
        <w:rPr>
          <w:rFonts w:ascii="Arial" w:hAnsi="Arial" w:cs="Arial"/>
          <w:u w:val="single"/>
        </w:rPr>
      </w:pPr>
    </w:p>
    <w:p w14:paraId="728AC6A8" w14:textId="77777777" w:rsidR="00292D49" w:rsidRDefault="00292D49" w:rsidP="00292D49">
      <w:pPr>
        <w:spacing w:line="360" w:lineRule="auto"/>
        <w:rPr>
          <w:rFonts w:ascii="Arial" w:hAnsi="Arial" w:cs="Arial"/>
        </w:rPr>
      </w:pPr>
    </w:p>
    <w:p w14:paraId="453EC1B9" w14:textId="77777777" w:rsidR="00B70081" w:rsidRDefault="00B70081" w:rsidP="00292D49">
      <w:pPr>
        <w:spacing w:line="360" w:lineRule="auto"/>
        <w:rPr>
          <w:rFonts w:ascii="Arial" w:hAnsi="Arial" w:cs="Arial"/>
        </w:rPr>
      </w:pPr>
    </w:p>
    <w:p w14:paraId="2F7A9861" w14:textId="77777777" w:rsidR="00B70081" w:rsidRDefault="00B70081" w:rsidP="00292D49">
      <w:pPr>
        <w:spacing w:line="360" w:lineRule="auto"/>
        <w:rPr>
          <w:rFonts w:ascii="Arial" w:hAnsi="Arial" w:cs="Arial"/>
        </w:rPr>
      </w:pPr>
    </w:p>
    <w:p w14:paraId="40CA440E" w14:textId="0D348B0C" w:rsidR="00B70081" w:rsidRDefault="00B70081" w:rsidP="00292D49">
      <w:pPr>
        <w:spacing w:line="360" w:lineRule="auto"/>
        <w:rPr>
          <w:rFonts w:ascii="Arial" w:hAnsi="Arial" w:cs="Arial"/>
          <w:u w:val="single"/>
        </w:rPr>
      </w:pPr>
      <w:r>
        <w:rPr>
          <w:rFonts w:ascii="Arial" w:hAnsi="Arial" w:cs="Arial"/>
          <w:u w:val="single"/>
        </w:rPr>
        <w:t>Reference List</w:t>
      </w:r>
    </w:p>
    <w:p w14:paraId="310CD79A" w14:textId="77777777" w:rsidR="00B70081" w:rsidRDefault="00B70081" w:rsidP="00292D49">
      <w:pPr>
        <w:spacing w:line="360" w:lineRule="auto"/>
        <w:rPr>
          <w:rFonts w:ascii="Arial" w:hAnsi="Arial" w:cs="Arial"/>
          <w:u w:val="single"/>
        </w:rPr>
      </w:pPr>
    </w:p>
    <w:p w14:paraId="2F140849" w14:textId="77777777" w:rsidR="00B70081" w:rsidRDefault="00B70081" w:rsidP="00292D49">
      <w:pPr>
        <w:spacing w:line="360" w:lineRule="auto"/>
        <w:rPr>
          <w:rFonts w:ascii="Arial" w:hAnsi="Arial" w:cs="Arial"/>
          <w:u w:val="single"/>
        </w:rPr>
      </w:pPr>
    </w:p>
    <w:p w14:paraId="1E6B6E89" w14:textId="77777777" w:rsidR="00B70081" w:rsidRPr="00B70081" w:rsidRDefault="00B70081" w:rsidP="00B70081">
      <w:pPr>
        <w:spacing w:line="360" w:lineRule="auto"/>
        <w:rPr>
          <w:rFonts w:ascii="Arial" w:hAnsi="Arial" w:cs="Arial"/>
        </w:rPr>
      </w:pPr>
      <w:r w:rsidRPr="00B70081">
        <w:rPr>
          <w:rFonts w:ascii="Arial" w:hAnsi="Arial" w:cs="Arial"/>
        </w:rPr>
        <w:t>Bilton, H. and Waters, J. (2017) ‘Why take young children outside? A critical consideration of the professed aims for outdoor learning in the early years by teachers from England and Wales’, </w:t>
      </w:r>
      <w:r w:rsidRPr="00B70081">
        <w:rPr>
          <w:rFonts w:ascii="Arial" w:hAnsi="Arial" w:cs="Arial"/>
          <w:i/>
          <w:iCs/>
        </w:rPr>
        <w:t>Social Sciences</w:t>
      </w:r>
      <w:r w:rsidRPr="00B70081">
        <w:rPr>
          <w:rFonts w:ascii="Arial" w:hAnsi="Arial" w:cs="Arial"/>
        </w:rPr>
        <w:t>, 6(1), p. 1. doi: 10.3390/socsci6010001.</w:t>
      </w:r>
    </w:p>
    <w:p w14:paraId="4D71EB81" w14:textId="77777777" w:rsidR="00B70081" w:rsidRPr="00B70081" w:rsidRDefault="00B70081" w:rsidP="00B70081">
      <w:pPr>
        <w:spacing w:line="360" w:lineRule="auto"/>
        <w:rPr>
          <w:rFonts w:ascii="Arial" w:hAnsi="Arial" w:cs="Arial"/>
        </w:rPr>
      </w:pPr>
    </w:p>
    <w:p w14:paraId="1A7C446E" w14:textId="77777777" w:rsidR="00B70081" w:rsidRPr="00B70081" w:rsidRDefault="00B70081" w:rsidP="00B70081">
      <w:pPr>
        <w:spacing w:line="360" w:lineRule="auto"/>
        <w:rPr>
          <w:rFonts w:ascii="Arial" w:hAnsi="Arial" w:cs="Arial"/>
        </w:rPr>
      </w:pPr>
      <w:r w:rsidRPr="00B70081">
        <w:rPr>
          <w:rFonts w:ascii="Arial" w:hAnsi="Arial" w:cs="Arial"/>
        </w:rPr>
        <w:t>Bonetti, S. and Brown, K. (2018) </w:t>
      </w:r>
      <w:r w:rsidRPr="00B70081">
        <w:rPr>
          <w:rFonts w:ascii="Arial" w:hAnsi="Arial" w:cs="Arial"/>
          <w:i/>
          <w:iCs/>
        </w:rPr>
        <w:t>Structural elements of quality early years provision: A review of the evidence</w:t>
      </w:r>
      <w:r w:rsidRPr="00B70081">
        <w:rPr>
          <w:rFonts w:ascii="Arial" w:hAnsi="Arial" w:cs="Arial"/>
        </w:rPr>
        <w:t>. London: Education Policy Institute.</w:t>
      </w:r>
    </w:p>
    <w:p w14:paraId="7946F373" w14:textId="77777777" w:rsidR="00B70081" w:rsidRPr="00B70081" w:rsidRDefault="00B70081" w:rsidP="00B70081">
      <w:pPr>
        <w:spacing w:line="360" w:lineRule="auto"/>
        <w:rPr>
          <w:rFonts w:ascii="Arial" w:hAnsi="Arial" w:cs="Arial"/>
        </w:rPr>
      </w:pPr>
    </w:p>
    <w:p w14:paraId="2C59EE74" w14:textId="77777777" w:rsidR="00B70081" w:rsidRPr="00B70081" w:rsidRDefault="00B70081" w:rsidP="00B70081">
      <w:pPr>
        <w:spacing w:line="360" w:lineRule="auto"/>
        <w:rPr>
          <w:rFonts w:ascii="Arial" w:hAnsi="Arial" w:cs="Arial"/>
        </w:rPr>
      </w:pPr>
      <w:r w:rsidRPr="00B70081">
        <w:rPr>
          <w:rFonts w:ascii="Arial" w:hAnsi="Arial" w:cs="Arial"/>
        </w:rPr>
        <w:t>Brussoni, M., Gibbons, R., Gray, C., Ishikawa, T., Sandseter, E.B.H., Bienenstock, A., Chabot, G., Fuselli, P., Herrington, S., Janssen, I., Pickett, W., Power, M., Stanger, N., Sampson, M. and Tremblay, M.S. (2015) ‘What is the relationship between risky outdoor play and health in children? A systematic review’, </w:t>
      </w:r>
      <w:r w:rsidRPr="00B70081">
        <w:rPr>
          <w:rFonts w:ascii="Arial" w:hAnsi="Arial" w:cs="Arial"/>
          <w:i/>
          <w:iCs/>
        </w:rPr>
        <w:t>International Journal of Environmental Research and Public Health</w:t>
      </w:r>
      <w:r w:rsidRPr="00B70081">
        <w:rPr>
          <w:rFonts w:ascii="Arial" w:hAnsi="Arial" w:cs="Arial"/>
        </w:rPr>
        <w:t>, 12(6), pp. 6423–6454. doi: 10.3390/ijerph120606423.</w:t>
      </w:r>
    </w:p>
    <w:p w14:paraId="57BB5823" w14:textId="77777777" w:rsidR="00B70081" w:rsidRPr="00B70081" w:rsidRDefault="00B70081" w:rsidP="00B70081">
      <w:pPr>
        <w:spacing w:line="360" w:lineRule="auto"/>
        <w:rPr>
          <w:rFonts w:ascii="Arial" w:hAnsi="Arial" w:cs="Arial"/>
        </w:rPr>
      </w:pPr>
    </w:p>
    <w:p w14:paraId="111D9E5A" w14:textId="77777777" w:rsidR="00B70081" w:rsidRPr="00B70081" w:rsidRDefault="00B70081" w:rsidP="00B70081">
      <w:pPr>
        <w:spacing w:line="360" w:lineRule="auto"/>
        <w:rPr>
          <w:rFonts w:ascii="Arial" w:hAnsi="Arial" w:cs="Arial"/>
        </w:rPr>
      </w:pPr>
      <w:r w:rsidRPr="00B70081">
        <w:rPr>
          <w:rFonts w:ascii="Arial" w:hAnsi="Arial" w:cs="Arial"/>
        </w:rPr>
        <w:t>Dankiw, K.A., Tsiros, M.D., Baldock, K.L. and Kumar, S. (2020) ‘The impacts of unstructured nature play on health in early childhood development: A systematic review’, </w:t>
      </w:r>
      <w:r w:rsidRPr="00B70081">
        <w:rPr>
          <w:rFonts w:ascii="Arial" w:hAnsi="Arial" w:cs="Arial"/>
          <w:i/>
          <w:iCs/>
        </w:rPr>
        <w:t>PLoS ONE</w:t>
      </w:r>
      <w:r w:rsidRPr="00B70081">
        <w:rPr>
          <w:rFonts w:ascii="Arial" w:hAnsi="Arial" w:cs="Arial"/>
        </w:rPr>
        <w:t>, 15(2), e0229006. doi: 10.1371/journal.pone.0229006.</w:t>
      </w:r>
    </w:p>
    <w:p w14:paraId="51FE44E0" w14:textId="77777777" w:rsidR="00B70081" w:rsidRDefault="00B70081" w:rsidP="00B70081">
      <w:pPr>
        <w:spacing w:line="360" w:lineRule="auto"/>
        <w:rPr>
          <w:rFonts w:ascii="Arial" w:hAnsi="Arial" w:cs="Arial"/>
        </w:rPr>
      </w:pPr>
    </w:p>
    <w:p w14:paraId="38509DBD" w14:textId="72235EF1" w:rsidR="00B70081" w:rsidRPr="00B70081" w:rsidRDefault="00B70081" w:rsidP="00B70081">
      <w:pPr>
        <w:spacing w:line="360" w:lineRule="auto"/>
        <w:rPr>
          <w:rFonts w:ascii="Arial" w:hAnsi="Arial" w:cs="Arial"/>
        </w:rPr>
      </w:pPr>
      <w:r w:rsidRPr="00B70081">
        <w:rPr>
          <w:rFonts w:ascii="Arial" w:hAnsi="Arial" w:cs="Arial"/>
        </w:rPr>
        <w:t>Duggan, B., Jones, M., Morris, F. and Egan, D. (2026) </w:t>
      </w:r>
      <w:r w:rsidRPr="00B70081">
        <w:rPr>
          <w:rFonts w:ascii="Arial" w:hAnsi="Arial" w:cs="Arial"/>
          <w:i/>
          <w:iCs/>
        </w:rPr>
        <w:t>Foundation Learning in the Curriculum for Wales: A qualitative study</w:t>
      </w:r>
      <w:r w:rsidRPr="00B70081">
        <w:rPr>
          <w:rFonts w:ascii="Arial" w:hAnsi="Arial" w:cs="Arial"/>
        </w:rPr>
        <w:t>. Cardiff: Welsh Government, GSR Report 54/2026.</w:t>
      </w:r>
    </w:p>
    <w:p w14:paraId="79DF0E8F" w14:textId="77777777" w:rsidR="00B70081" w:rsidRPr="00B70081" w:rsidRDefault="00B70081" w:rsidP="00B70081">
      <w:pPr>
        <w:spacing w:line="360" w:lineRule="auto"/>
        <w:rPr>
          <w:rFonts w:ascii="Arial" w:hAnsi="Arial" w:cs="Arial"/>
        </w:rPr>
      </w:pPr>
    </w:p>
    <w:p w14:paraId="07C03A99" w14:textId="77777777" w:rsidR="00B70081" w:rsidRPr="00B70081" w:rsidRDefault="00B70081" w:rsidP="00B70081">
      <w:pPr>
        <w:spacing w:line="360" w:lineRule="auto"/>
        <w:rPr>
          <w:rFonts w:ascii="Arial" w:hAnsi="Arial" w:cs="Arial"/>
        </w:rPr>
      </w:pPr>
      <w:r w:rsidRPr="00B70081">
        <w:rPr>
          <w:rFonts w:ascii="Arial" w:hAnsi="Arial" w:cs="Arial"/>
        </w:rPr>
        <w:t>Johnstone, A., Martin, A., Cordovil, R., Fjørtoft, I., Iivonen, S., Jidovtseff, B., Lopes, F., Reilly, J.J., Thomson, H., Wells, V. and McCrorie, P. (2022) ‘Nature-based early childhood education and children’s social, emotional and cognitive development: A mixed-methods systematic review’, </w:t>
      </w:r>
      <w:r w:rsidRPr="00B70081">
        <w:rPr>
          <w:rFonts w:ascii="Arial" w:hAnsi="Arial" w:cs="Arial"/>
          <w:i/>
          <w:iCs/>
        </w:rPr>
        <w:t>International Journal of Environmental Research and Public Health</w:t>
      </w:r>
      <w:r w:rsidRPr="00B70081">
        <w:rPr>
          <w:rFonts w:ascii="Arial" w:hAnsi="Arial" w:cs="Arial"/>
        </w:rPr>
        <w:t>, 19(10), 5967. doi: 10.3390/ijerph19105967.</w:t>
      </w:r>
    </w:p>
    <w:p w14:paraId="5EE2A60F" w14:textId="77777777" w:rsidR="00B70081" w:rsidRPr="00B70081" w:rsidRDefault="00B70081" w:rsidP="00B70081">
      <w:pPr>
        <w:spacing w:line="360" w:lineRule="auto"/>
        <w:rPr>
          <w:rFonts w:ascii="Arial" w:hAnsi="Arial" w:cs="Arial"/>
        </w:rPr>
      </w:pPr>
    </w:p>
    <w:p w14:paraId="7494B860" w14:textId="77777777" w:rsidR="00B70081" w:rsidRPr="00B70081" w:rsidRDefault="00B70081" w:rsidP="00B70081">
      <w:pPr>
        <w:spacing w:line="360" w:lineRule="auto"/>
        <w:rPr>
          <w:rFonts w:ascii="Arial" w:hAnsi="Arial" w:cs="Arial"/>
        </w:rPr>
      </w:pPr>
      <w:r w:rsidRPr="00B70081">
        <w:rPr>
          <w:rFonts w:ascii="Arial" w:hAnsi="Arial" w:cs="Arial"/>
        </w:rPr>
        <w:lastRenderedPageBreak/>
        <w:t>Kingston, D. and Siraj, I. (2017) ‘Supporting the implementation of the Foundation Phase through effective professional development’, </w:t>
      </w:r>
      <w:r w:rsidRPr="00B70081">
        <w:rPr>
          <w:rFonts w:ascii="Arial" w:hAnsi="Arial" w:cs="Arial"/>
          <w:i/>
          <w:iCs/>
        </w:rPr>
        <w:t>Wales Journal of Education</w:t>
      </w:r>
      <w:r w:rsidRPr="00B70081">
        <w:rPr>
          <w:rFonts w:ascii="Arial" w:hAnsi="Arial" w:cs="Arial"/>
        </w:rPr>
        <w:t>, 19(1), pp. 39–68. doi: 10.16922/wje.19.1.3.</w:t>
      </w:r>
    </w:p>
    <w:p w14:paraId="5E16B92C" w14:textId="77777777" w:rsidR="00B70081" w:rsidRPr="00B70081" w:rsidRDefault="00B70081" w:rsidP="00B70081">
      <w:pPr>
        <w:spacing w:line="360" w:lineRule="auto"/>
        <w:rPr>
          <w:rFonts w:ascii="Arial" w:hAnsi="Arial" w:cs="Arial"/>
        </w:rPr>
      </w:pPr>
    </w:p>
    <w:p w14:paraId="08722EF1" w14:textId="77777777" w:rsidR="00B70081" w:rsidRPr="00B70081" w:rsidRDefault="00B70081" w:rsidP="00B70081">
      <w:pPr>
        <w:spacing w:line="360" w:lineRule="auto"/>
        <w:rPr>
          <w:rFonts w:ascii="Arial" w:hAnsi="Arial" w:cs="Arial"/>
        </w:rPr>
      </w:pPr>
      <w:r w:rsidRPr="00B70081">
        <w:rPr>
          <w:rFonts w:ascii="Arial" w:hAnsi="Arial" w:cs="Arial"/>
        </w:rPr>
        <w:t>McInnes, K., Howard, J., Miles, G. and Crowley, K. (2011) ‘Differences in practitioners’ understanding of play and how this influences pedagogy and children’s perceptions of play’, </w:t>
      </w:r>
      <w:r w:rsidRPr="00B70081">
        <w:rPr>
          <w:rFonts w:ascii="Arial" w:hAnsi="Arial" w:cs="Arial"/>
          <w:i/>
          <w:iCs/>
        </w:rPr>
        <w:t>Early Years</w:t>
      </w:r>
      <w:r w:rsidRPr="00B70081">
        <w:rPr>
          <w:rFonts w:ascii="Arial" w:hAnsi="Arial" w:cs="Arial"/>
        </w:rPr>
        <w:t>, 31(2), pp. 121–133. doi: 10.1080/09575146.2011.572870. </w:t>
      </w:r>
    </w:p>
    <w:p w14:paraId="01DBF96A" w14:textId="77777777" w:rsidR="00B70081" w:rsidRPr="00B70081" w:rsidRDefault="00B70081" w:rsidP="00B70081">
      <w:pPr>
        <w:spacing w:line="360" w:lineRule="auto"/>
        <w:rPr>
          <w:rFonts w:ascii="Arial" w:hAnsi="Arial" w:cs="Arial"/>
        </w:rPr>
      </w:pPr>
    </w:p>
    <w:p w14:paraId="1F7F94F7" w14:textId="77777777" w:rsidR="00B70081" w:rsidRPr="00B70081" w:rsidRDefault="00B70081" w:rsidP="00B70081">
      <w:pPr>
        <w:spacing w:line="360" w:lineRule="auto"/>
        <w:rPr>
          <w:rFonts w:ascii="Arial" w:hAnsi="Arial" w:cs="Arial"/>
        </w:rPr>
      </w:pPr>
      <w:r w:rsidRPr="00B70081">
        <w:rPr>
          <w:rFonts w:ascii="Arial" w:hAnsi="Arial" w:cs="Arial"/>
        </w:rPr>
        <w:t>McLachlan, C., Fleer, M. and Edwards, S. (2018) </w:t>
      </w:r>
      <w:r w:rsidRPr="00B70081">
        <w:rPr>
          <w:rFonts w:ascii="Arial" w:hAnsi="Arial" w:cs="Arial"/>
          <w:i/>
          <w:iCs/>
        </w:rPr>
        <w:t>Early Childhood Curriculum: Planning, Assessment and Implementation</w:t>
      </w:r>
      <w:r w:rsidRPr="00B70081">
        <w:rPr>
          <w:rFonts w:ascii="Arial" w:hAnsi="Arial" w:cs="Arial"/>
        </w:rPr>
        <w:t>. 3rd edn. Cambridge: Cambridge University Press. doi: 10.1017/9781108131810. </w:t>
      </w:r>
    </w:p>
    <w:p w14:paraId="55B43D6D" w14:textId="77777777" w:rsidR="00B70081" w:rsidRPr="00B70081" w:rsidRDefault="00B70081" w:rsidP="00B70081">
      <w:pPr>
        <w:spacing w:line="360" w:lineRule="auto"/>
        <w:rPr>
          <w:rFonts w:ascii="Arial" w:hAnsi="Arial" w:cs="Arial"/>
        </w:rPr>
      </w:pPr>
    </w:p>
    <w:p w14:paraId="7C829128" w14:textId="77777777" w:rsidR="00B70081" w:rsidRPr="00B70081" w:rsidRDefault="00B70081" w:rsidP="00B70081">
      <w:pPr>
        <w:spacing w:line="360" w:lineRule="auto"/>
        <w:rPr>
          <w:rFonts w:ascii="Arial" w:hAnsi="Arial" w:cs="Arial"/>
        </w:rPr>
      </w:pPr>
      <w:r w:rsidRPr="00B70081">
        <w:rPr>
          <w:rFonts w:ascii="Arial" w:hAnsi="Arial" w:cs="Arial"/>
        </w:rPr>
        <w:t>Merewether, J. (2015) ‘Young children’s perspectives of outdoor learning spaces: What matters?’, </w:t>
      </w:r>
      <w:r w:rsidRPr="00B70081">
        <w:rPr>
          <w:rFonts w:ascii="Arial" w:hAnsi="Arial" w:cs="Arial"/>
          <w:i/>
          <w:iCs/>
        </w:rPr>
        <w:t>Australasian Journal of Early Childhood</w:t>
      </w:r>
      <w:r w:rsidRPr="00B70081">
        <w:rPr>
          <w:rFonts w:ascii="Arial" w:hAnsi="Arial" w:cs="Arial"/>
        </w:rPr>
        <w:t>, 40(1), pp. 99–108. doi: 10.1177/183693911504000113.</w:t>
      </w:r>
    </w:p>
    <w:p w14:paraId="2C88A0F5" w14:textId="77777777" w:rsidR="00B70081" w:rsidRPr="00B70081" w:rsidRDefault="00B70081" w:rsidP="00B70081">
      <w:pPr>
        <w:spacing w:line="360" w:lineRule="auto"/>
        <w:rPr>
          <w:rFonts w:ascii="Arial" w:hAnsi="Arial" w:cs="Arial"/>
        </w:rPr>
      </w:pPr>
    </w:p>
    <w:p w14:paraId="3807AC09" w14:textId="77777777" w:rsidR="00B70081" w:rsidRPr="00B70081" w:rsidRDefault="00B70081" w:rsidP="00B70081">
      <w:pPr>
        <w:spacing w:line="360" w:lineRule="auto"/>
        <w:rPr>
          <w:rFonts w:ascii="Arial" w:hAnsi="Arial" w:cs="Arial"/>
        </w:rPr>
      </w:pPr>
      <w:r w:rsidRPr="00B70081">
        <w:rPr>
          <w:rFonts w:ascii="Arial" w:hAnsi="Arial" w:cs="Arial"/>
        </w:rPr>
        <w:t>Montoya-Fernández, C., Losada-Puente, L., Gómez-Barreto, I.M. and Gil-Madrona, P. (2024) ‘Developmental play-based assessment in early childhood education: A systematic review’, </w:t>
      </w:r>
      <w:r w:rsidRPr="00B70081">
        <w:rPr>
          <w:rFonts w:ascii="Arial" w:hAnsi="Arial" w:cs="Arial"/>
          <w:i/>
          <w:iCs/>
        </w:rPr>
        <w:t>European Early Childhood Education Research Journal</w:t>
      </w:r>
      <w:r w:rsidRPr="00B70081">
        <w:rPr>
          <w:rFonts w:ascii="Arial" w:hAnsi="Arial" w:cs="Arial"/>
        </w:rPr>
        <w:t>, 32(5), pp. 788–813. doi: 10.1080/1350293X.2024.2311100.</w:t>
      </w:r>
    </w:p>
    <w:p w14:paraId="0CAF233F" w14:textId="77777777" w:rsidR="00B70081" w:rsidRPr="00B70081" w:rsidRDefault="00B70081" w:rsidP="00B70081">
      <w:pPr>
        <w:spacing w:line="360" w:lineRule="auto"/>
        <w:rPr>
          <w:rFonts w:ascii="Arial" w:hAnsi="Arial" w:cs="Arial"/>
        </w:rPr>
      </w:pPr>
    </w:p>
    <w:p w14:paraId="195F9C87" w14:textId="77777777" w:rsidR="00B70081" w:rsidRPr="00B70081" w:rsidRDefault="00B70081" w:rsidP="00B70081">
      <w:pPr>
        <w:spacing w:line="360" w:lineRule="auto"/>
        <w:rPr>
          <w:rFonts w:ascii="Arial" w:hAnsi="Arial" w:cs="Arial"/>
        </w:rPr>
      </w:pPr>
      <w:r w:rsidRPr="00B70081">
        <w:rPr>
          <w:rFonts w:ascii="Arial" w:hAnsi="Arial" w:cs="Arial"/>
        </w:rPr>
        <w:t>Oliver, B.E., Nesbit, R.J., McCloy, R., Harvey, K. and Dodd, H.F. (2023) ‘Adventurous play for a healthy childhood: Facilitators and barriers identified by parents in Britain’, </w:t>
      </w:r>
      <w:r w:rsidRPr="00B70081">
        <w:rPr>
          <w:rFonts w:ascii="Arial" w:hAnsi="Arial" w:cs="Arial"/>
          <w:i/>
          <w:iCs/>
        </w:rPr>
        <w:t>Social Science &amp; Medicine</w:t>
      </w:r>
      <w:r w:rsidRPr="00B70081">
        <w:rPr>
          <w:rFonts w:ascii="Arial" w:hAnsi="Arial" w:cs="Arial"/>
        </w:rPr>
        <w:t>, 323, 115828. doi: 10.1016/j.socscimed.2023.115828.</w:t>
      </w:r>
    </w:p>
    <w:p w14:paraId="1E18EAF4" w14:textId="77777777" w:rsidR="00B70081" w:rsidRPr="00B70081" w:rsidRDefault="00B70081" w:rsidP="00B70081">
      <w:pPr>
        <w:spacing w:line="360" w:lineRule="auto"/>
        <w:rPr>
          <w:rFonts w:ascii="Arial" w:hAnsi="Arial" w:cs="Arial"/>
        </w:rPr>
      </w:pPr>
    </w:p>
    <w:p w14:paraId="0404B6EC" w14:textId="77777777" w:rsidR="00B70081" w:rsidRPr="00B70081" w:rsidRDefault="00B70081" w:rsidP="00B70081">
      <w:pPr>
        <w:spacing w:line="360" w:lineRule="auto"/>
        <w:rPr>
          <w:rFonts w:ascii="Arial" w:hAnsi="Arial" w:cs="Arial"/>
        </w:rPr>
      </w:pPr>
      <w:r w:rsidRPr="00B70081">
        <w:rPr>
          <w:rFonts w:ascii="Arial" w:hAnsi="Arial" w:cs="Arial"/>
        </w:rPr>
        <w:t>Parekh, G. (2017) ‘The tyranny of “ability”’, </w:t>
      </w:r>
      <w:r w:rsidRPr="00B70081">
        <w:rPr>
          <w:rFonts w:ascii="Arial" w:hAnsi="Arial" w:cs="Arial"/>
          <w:i/>
          <w:iCs/>
        </w:rPr>
        <w:t>Curriculum Inquiry</w:t>
      </w:r>
      <w:r w:rsidRPr="00B70081">
        <w:rPr>
          <w:rFonts w:ascii="Arial" w:hAnsi="Arial" w:cs="Arial"/>
        </w:rPr>
        <w:t>, 47(4), pp. 337–343. doi: 10.1080/03626784.2017.1383755.</w:t>
      </w:r>
    </w:p>
    <w:p w14:paraId="6D2F0737" w14:textId="77777777" w:rsidR="00B70081" w:rsidRPr="00B70081" w:rsidRDefault="00B70081" w:rsidP="00B70081">
      <w:pPr>
        <w:spacing w:line="360" w:lineRule="auto"/>
        <w:rPr>
          <w:rFonts w:ascii="Arial" w:hAnsi="Arial" w:cs="Arial"/>
        </w:rPr>
      </w:pPr>
    </w:p>
    <w:p w14:paraId="43EA20F9" w14:textId="77777777" w:rsidR="00B70081" w:rsidRPr="00B70081" w:rsidRDefault="00B70081" w:rsidP="00B70081">
      <w:pPr>
        <w:spacing w:line="360" w:lineRule="auto"/>
        <w:rPr>
          <w:rFonts w:ascii="Arial" w:hAnsi="Arial" w:cs="Arial"/>
        </w:rPr>
      </w:pPr>
      <w:r w:rsidRPr="00B70081">
        <w:rPr>
          <w:rFonts w:ascii="Arial" w:hAnsi="Arial" w:cs="Arial"/>
        </w:rPr>
        <w:t>Pyle, A., DeLuca, C. and Danniels, E. (2017) ‘A scoping review of research on play-based pedagogies in kindergarten education’, </w:t>
      </w:r>
      <w:r w:rsidRPr="00B70081">
        <w:rPr>
          <w:rFonts w:ascii="Arial" w:hAnsi="Arial" w:cs="Arial"/>
          <w:i/>
          <w:iCs/>
        </w:rPr>
        <w:t>Review of Education</w:t>
      </w:r>
      <w:r w:rsidRPr="00B70081">
        <w:rPr>
          <w:rFonts w:ascii="Arial" w:hAnsi="Arial" w:cs="Arial"/>
        </w:rPr>
        <w:t>, 5(3), pp. 311–351. doi: 10.1002/rev3.3097.</w:t>
      </w:r>
    </w:p>
    <w:p w14:paraId="07FFD4DD" w14:textId="77777777" w:rsidR="00B70081" w:rsidRPr="00B70081" w:rsidRDefault="00B70081" w:rsidP="00B70081">
      <w:pPr>
        <w:spacing w:line="360" w:lineRule="auto"/>
        <w:rPr>
          <w:rFonts w:ascii="Arial" w:hAnsi="Arial" w:cs="Arial"/>
        </w:rPr>
      </w:pPr>
      <w:r w:rsidRPr="00B70081">
        <w:rPr>
          <w:rFonts w:ascii="Arial" w:hAnsi="Arial" w:cs="Arial"/>
        </w:rPr>
        <w:lastRenderedPageBreak/>
        <w:t>Pyle, A., DeLuca, C., Danniels, E. and Wickstrom, H. (2020) ‘A model for assessment in play-based kindergarten education’, </w:t>
      </w:r>
      <w:r w:rsidRPr="00B70081">
        <w:rPr>
          <w:rFonts w:ascii="Arial" w:hAnsi="Arial" w:cs="Arial"/>
          <w:i/>
          <w:iCs/>
        </w:rPr>
        <w:t>American Educational Research Journal</w:t>
      </w:r>
      <w:r w:rsidRPr="00B70081">
        <w:rPr>
          <w:rFonts w:ascii="Arial" w:hAnsi="Arial" w:cs="Arial"/>
        </w:rPr>
        <w:t>, 57(6), pp. 2251–2292. doi: 10.3102/0002831220908800.</w:t>
      </w:r>
    </w:p>
    <w:p w14:paraId="4428210C" w14:textId="77777777" w:rsidR="00B70081" w:rsidRPr="00B70081" w:rsidRDefault="00B70081" w:rsidP="00B70081">
      <w:pPr>
        <w:spacing w:line="360" w:lineRule="auto"/>
        <w:rPr>
          <w:rFonts w:ascii="Arial" w:hAnsi="Arial" w:cs="Arial"/>
        </w:rPr>
      </w:pPr>
    </w:p>
    <w:p w14:paraId="7C95E50B" w14:textId="77777777" w:rsidR="00B70081" w:rsidRPr="00B70081" w:rsidRDefault="00B70081" w:rsidP="00B70081">
      <w:pPr>
        <w:spacing w:line="360" w:lineRule="auto"/>
        <w:rPr>
          <w:rFonts w:ascii="Arial" w:hAnsi="Arial" w:cs="Arial"/>
        </w:rPr>
      </w:pPr>
      <w:r w:rsidRPr="00B70081">
        <w:rPr>
          <w:rFonts w:ascii="Arial" w:hAnsi="Arial" w:cs="Arial"/>
        </w:rPr>
        <w:t>Rooney, T. (2018) ‘Weather worlding: Learning with the elements in early childhood’, </w:t>
      </w:r>
      <w:r w:rsidRPr="00B70081">
        <w:rPr>
          <w:rFonts w:ascii="Arial" w:hAnsi="Arial" w:cs="Arial"/>
          <w:i/>
          <w:iCs/>
        </w:rPr>
        <w:t>Environmental Education Research</w:t>
      </w:r>
      <w:r w:rsidRPr="00B70081">
        <w:rPr>
          <w:rFonts w:ascii="Arial" w:hAnsi="Arial" w:cs="Arial"/>
        </w:rPr>
        <w:t>, 24(1), pp. 1–12. doi: 10.1080/13504622.2016.1217398.</w:t>
      </w:r>
    </w:p>
    <w:p w14:paraId="5C2F2CA0" w14:textId="77777777" w:rsidR="00B70081" w:rsidRPr="00B70081" w:rsidRDefault="00B70081" w:rsidP="00B70081">
      <w:pPr>
        <w:spacing w:line="360" w:lineRule="auto"/>
        <w:rPr>
          <w:rFonts w:ascii="Arial" w:hAnsi="Arial" w:cs="Arial"/>
        </w:rPr>
      </w:pPr>
    </w:p>
    <w:p w14:paraId="1D80D122" w14:textId="77777777" w:rsidR="00B70081" w:rsidRPr="00B70081" w:rsidRDefault="00B70081" w:rsidP="00B70081">
      <w:pPr>
        <w:spacing w:line="360" w:lineRule="auto"/>
        <w:rPr>
          <w:rFonts w:ascii="Arial" w:hAnsi="Arial" w:cs="Arial"/>
        </w:rPr>
      </w:pPr>
      <w:r w:rsidRPr="00B70081">
        <w:rPr>
          <w:rFonts w:ascii="Arial" w:hAnsi="Arial" w:cs="Arial"/>
        </w:rPr>
        <w:t>Sim, M., Bélanger, J., Hocking, L., Dimova, S., Iakovidou, E., Janta, B. and Teager, W. (2018) </w:t>
      </w:r>
      <w:r w:rsidRPr="00B70081">
        <w:rPr>
          <w:rFonts w:ascii="Arial" w:hAnsi="Arial" w:cs="Arial"/>
          <w:i/>
          <w:iCs/>
        </w:rPr>
        <w:t>Teaching, Pedagogy and Practice in Early Years Childcare: An Evidence Review</w:t>
      </w:r>
      <w:r w:rsidRPr="00B70081">
        <w:rPr>
          <w:rFonts w:ascii="Arial" w:hAnsi="Arial" w:cs="Arial"/>
        </w:rPr>
        <w:t>. London: Early Intervention Foundation.</w:t>
      </w:r>
    </w:p>
    <w:p w14:paraId="77F12252" w14:textId="77777777" w:rsidR="00B70081" w:rsidRPr="00B70081" w:rsidRDefault="00B70081" w:rsidP="00B70081">
      <w:pPr>
        <w:spacing w:line="360" w:lineRule="auto"/>
        <w:rPr>
          <w:rFonts w:ascii="Arial" w:hAnsi="Arial" w:cs="Arial"/>
        </w:rPr>
      </w:pPr>
    </w:p>
    <w:p w14:paraId="71E3BBD2" w14:textId="77777777" w:rsidR="00B70081" w:rsidRPr="00B70081" w:rsidRDefault="00B70081" w:rsidP="00B70081">
      <w:pPr>
        <w:spacing w:line="360" w:lineRule="auto"/>
        <w:rPr>
          <w:rFonts w:ascii="Arial" w:hAnsi="Arial" w:cs="Arial"/>
        </w:rPr>
      </w:pPr>
      <w:r w:rsidRPr="00B70081">
        <w:rPr>
          <w:rFonts w:ascii="Arial" w:hAnsi="Arial" w:cs="Arial"/>
        </w:rPr>
        <w:t>Skene, K., O’Farrelly, C.M., Byrne, E.M., Kirby, N., Stevens, E.C. and Ramchandani, P.G. (2022) ‘Can guidance during play enhance children’s learning and development in educational contexts? A systematic review and meta-analysis’, </w:t>
      </w:r>
      <w:r w:rsidRPr="00B70081">
        <w:rPr>
          <w:rFonts w:ascii="Arial" w:hAnsi="Arial" w:cs="Arial"/>
          <w:i/>
          <w:iCs/>
        </w:rPr>
        <w:t>Child Development</w:t>
      </w:r>
      <w:r w:rsidRPr="00B70081">
        <w:rPr>
          <w:rFonts w:ascii="Arial" w:hAnsi="Arial" w:cs="Arial"/>
        </w:rPr>
        <w:t>, 93(4), pp. 1162–1180. doi: 10.1111/cdev.13730.</w:t>
      </w:r>
    </w:p>
    <w:p w14:paraId="444CFCF4" w14:textId="77777777" w:rsidR="00B70081" w:rsidRPr="00B70081" w:rsidRDefault="00B70081" w:rsidP="00B70081">
      <w:pPr>
        <w:spacing w:line="360" w:lineRule="auto"/>
        <w:rPr>
          <w:rFonts w:ascii="Arial" w:hAnsi="Arial" w:cs="Arial"/>
        </w:rPr>
      </w:pPr>
    </w:p>
    <w:p w14:paraId="48A96984" w14:textId="77777777" w:rsidR="00B70081" w:rsidRPr="00B70081" w:rsidRDefault="00B70081" w:rsidP="00B70081">
      <w:pPr>
        <w:spacing w:line="360" w:lineRule="auto"/>
        <w:rPr>
          <w:rFonts w:ascii="Arial" w:hAnsi="Arial" w:cs="Arial"/>
        </w:rPr>
      </w:pPr>
      <w:r w:rsidRPr="00B70081">
        <w:rPr>
          <w:rFonts w:ascii="Arial" w:hAnsi="Arial" w:cs="Arial"/>
        </w:rPr>
        <w:t>Taylor, C., Rhys, M. and Waldron, S. (2016) ‘Implementing curriculum reform in Wales: The case of the Foundation Phase’, </w:t>
      </w:r>
      <w:r w:rsidRPr="00B70081">
        <w:rPr>
          <w:rFonts w:ascii="Arial" w:hAnsi="Arial" w:cs="Arial"/>
          <w:i/>
          <w:iCs/>
        </w:rPr>
        <w:t>Oxford Review of Education</w:t>
      </w:r>
      <w:r w:rsidRPr="00B70081">
        <w:rPr>
          <w:rFonts w:ascii="Arial" w:hAnsi="Arial" w:cs="Arial"/>
        </w:rPr>
        <w:t>, 42(3), pp. 299–315. doi: 10.1080/03054985.2016.1184872.</w:t>
      </w:r>
    </w:p>
    <w:p w14:paraId="4E240925" w14:textId="77777777" w:rsidR="00B70081" w:rsidRPr="00B70081" w:rsidRDefault="00B70081" w:rsidP="00B70081">
      <w:pPr>
        <w:spacing w:line="360" w:lineRule="auto"/>
        <w:rPr>
          <w:rFonts w:ascii="Arial" w:hAnsi="Arial" w:cs="Arial"/>
        </w:rPr>
      </w:pPr>
    </w:p>
    <w:p w14:paraId="2641BB1B" w14:textId="77777777" w:rsidR="00B70081" w:rsidRPr="00B70081" w:rsidRDefault="00B70081" w:rsidP="00B70081">
      <w:pPr>
        <w:spacing w:line="360" w:lineRule="auto"/>
        <w:rPr>
          <w:rFonts w:ascii="Arial" w:hAnsi="Arial" w:cs="Arial"/>
        </w:rPr>
      </w:pPr>
      <w:r w:rsidRPr="00B70081">
        <w:rPr>
          <w:rFonts w:ascii="Arial" w:hAnsi="Arial" w:cs="Arial"/>
        </w:rPr>
        <w:t>Tierney, R.D. (2013) ‘Fairness in classroom assessment’, in McMillan, J.H. (ed.) </w:t>
      </w:r>
      <w:r w:rsidRPr="00B70081">
        <w:rPr>
          <w:rFonts w:ascii="Arial" w:hAnsi="Arial" w:cs="Arial"/>
          <w:i/>
          <w:iCs/>
        </w:rPr>
        <w:t>SAGE Handbook of Research on Classroom Assessment</w:t>
      </w:r>
      <w:r w:rsidRPr="00B70081">
        <w:rPr>
          <w:rFonts w:ascii="Arial" w:hAnsi="Arial" w:cs="Arial"/>
        </w:rPr>
        <w:t>. Thousand Oaks, CA: SAGE, pp. 125–144.</w:t>
      </w:r>
    </w:p>
    <w:p w14:paraId="59D68541" w14:textId="77777777" w:rsidR="00B70081" w:rsidRPr="00B70081" w:rsidRDefault="00B70081" w:rsidP="00B70081">
      <w:pPr>
        <w:spacing w:line="360" w:lineRule="auto"/>
        <w:rPr>
          <w:rFonts w:ascii="Arial" w:hAnsi="Arial" w:cs="Arial"/>
        </w:rPr>
      </w:pPr>
    </w:p>
    <w:p w14:paraId="42B3BF98" w14:textId="77777777" w:rsidR="00B70081" w:rsidRPr="00B70081" w:rsidRDefault="00B70081" w:rsidP="00B70081">
      <w:pPr>
        <w:spacing w:line="360" w:lineRule="auto"/>
        <w:rPr>
          <w:rFonts w:ascii="Arial" w:hAnsi="Arial" w:cs="Arial"/>
        </w:rPr>
      </w:pPr>
      <w:r w:rsidRPr="00B70081">
        <w:rPr>
          <w:rFonts w:ascii="Arial" w:hAnsi="Arial" w:cs="Arial"/>
        </w:rPr>
        <w:t>Trevarthen, C., Delafield-Butt, J. and Dunlop, A.-W. (eds.) (2018) </w:t>
      </w:r>
      <w:r w:rsidRPr="00B70081">
        <w:rPr>
          <w:rFonts w:ascii="Arial" w:hAnsi="Arial" w:cs="Arial"/>
          <w:i/>
          <w:iCs/>
        </w:rPr>
        <w:t>The Child’s Curriculum: Working with the Natural Voices of Young Children</w:t>
      </w:r>
      <w:r w:rsidRPr="00B70081">
        <w:rPr>
          <w:rFonts w:ascii="Arial" w:hAnsi="Arial" w:cs="Arial"/>
        </w:rPr>
        <w:t>. Oxford: Oxford University Press.</w:t>
      </w:r>
    </w:p>
    <w:p w14:paraId="74AF5587" w14:textId="77777777" w:rsidR="00B70081" w:rsidRPr="00B70081" w:rsidRDefault="00B70081" w:rsidP="00B70081">
      <w:pPr>
        <w:spacing w:line="360" w:lineRule="auto"/>
        <w:rPr>
          <w:rFonts w:ascii="Arial" w:hAnsi="Arial" w:cs="Arial"/>
        </w:rPr>
      </w:pPr>
    </w:p>
    <w:p w14:paraId="04C9FA52" w14:textId="77777777" w:rsidR="00B70081" w:rsidRPr="00B70081" w:rsidRDefault="00B70081" w:rsidP="00B70081">
      <w:pPr>
        <w:spacing w:line="360" w:lineRule="auto"/>
        <w:rPr>
          <w:rFonts w:ascii="Arial" w:hAnsi="Arial" w:cs="Arial"/>
        </w:rPr>
      </w:pPr>
      <w:r w:rsidRPr="00B70081">
        <w:rPr>
          <w:rFonts w:ascii="Arial" w:hAnsi="Arial" w:cs="Arial"/>
        </w:rPr>
        <w:t>Waldron, S., Rhys, M. and Taylor, C. (2014) </w:t>
      </w:r>
      <w:r w:rsidRPr="00B70081">
        <w:rPr>
          <w:rFonts w:ascii="Arial" w:hAnsi="Arial" w:cs="Arial"/>
          <w:i/>
          <w:iCs/>
        </w:rPr>
        <w:t>Evaluating the Foundation Phase: Key findings on pedagogy and understanding</w:t>
      </w:r>
      <w:r w:rsidRPr="00B70081">
        <w:rPr>
          <w:rFonts w:ascii="Arial" w:hAnsi="Arial" w:cs="Arial"/>
        </w:rPr>
        <w:t>. Cardiff: Welsh Government. </w:t>
      </w:r>
    </w:p>
    <w:p w14:paraId="606F21F5" w14:textId="77777777" w:rsidR="00B70081" w:rsidRPr="00B70081" w:rsidRDefault="00B70081" w:rsidP="00B70081">
      <w:pPr>
        <w:spacing w:line="360" w:lineRule="auto"/>
        <w:rPr>
          <w:rFonts w:ascii="Arial" w:hAnsi="Arial" w:cs="Arial"/>
        </w:rPr>
      </w:pPr>
    </w:p>
    <w:p w14:paraId="5394D5EF" w14:textId="133FD080" w:rsidR="00B70081" w:rsidRPr="00B70081" w:rsidRDefault="00B70081" w:rsidP="00B70081">
      <w:pPr>
        <w:spacing w:line="360" w:lineRule="auto"/>
        <w:rPr>
          <w:rFonts w:ascii="Arial" w:hAnsi="Arial" w:cs="Arial"/>
        </w:rPr>
      </w:pPr>
      <w:r w:rsidRPr="00B70081">
        <w:rPr>
          <w:rFonts w:ascii="Arial" w:hAnsi="Arial" w:cs="Arial"/>
        </w:rPr>
        <w:t>Welsh Government (2022a) </w:t>
      </w:r>
      <w:r w:rsidRPr="00B70081">
        <w:rPr>
          <w:rFonts w:ascii="Arial" w:hAnsi="Arial" w:cs="Arial"/>
          <w:i/>
          <w:iCs/>
        </w:rPr>
        <w:t>Enabling Learning</w:t>
      </w:r>
      <w:r w:rsidRPr="00B70081">
        <w:rPr>
          <w:rFonts w:ascii="Arial" w:hAnsi="Arial" w:cs="Arial"/>
        </w:rPr>
        <w:t>. Cardiff: Welsh Government.</w:t>
      </w:r>
      <w:r w:rsidRPr="00B70081">
        <w:rPr>
          <w:rFonts w:ascii="Arial" w:hAnsi="Arial" w:cs="Arial"/>
        </w:rPr>
        <w:br/>
      </w:r>
      <w:hyperlink r:id="rId11" w:tgtFrame="_blank" w:history="1">
        <w:r w:rsidRPr="00B70081">
          <w:rPr>
            <w:rStyle w:val="Hyperlink"/>
            <w:rFonts w:ascii="Arial" w:hAnsi="Arial" w:cs="Arial"/>
            <w:u w:val="none"/>
          </w:rPr>
          <w:t>Welsh Government/Hwb – Enabling Learning</w:t>
        </w:r>
      </w:hyperlink>
      <w:r w:rsidRPr="00B70081">
        <w:rPr>
          <w:rFonts w:ascii="Arial" w:hAnsi="Arial" w:cs="Arial"/>
        </w:rPr>
        <w:t> (Accessed: 2</w:t>
      </w:r>
      <w:r>
        <w:rPr>
          <w:rFonts w:ascii="Arial" w:hAnsi="Arial" w:cs="Arial"/>
        </w:rPr>
        <w:t>9 July</w:t>
      </w:r>
      <w:r w:rsidRPr="00B70081">
        <w:rPr>
          <w:rFonts w:ascii="Arial" w:hAnsi="Arial" w:cs="Arial"/>
        </w:rPr>
        <w:t xml:space="preserve"> 2026).</w:t>
      </w:r>
    </w:p>
    <w:p w14:paraId="0FE009DE" w14:textId="00ADB798" w:rsidR="00B70081" w:rsidRPr="00B70081" w:rsidRDefault="00B70081" w:rsidP="00B70081">
      <w:pPr>
        <w:spacing w:line="360" w:lineRule="auto"/>
        <w:rPr>
          <w:rFonts w:ascii="Arial" w:hAnsi="Arial" w:cs="Arial"/>
        </w:rPr>
      </w:pPr>
      <w:r w:rsidRPr="00B70081">
        <w:rPr>
          <w:rFonts w:ascii="Arial" w:hAnsi="Arial" w:cs="Arial"/>
        </w:rPr>
        <w:lastRenderedPageBreak/>
        <w:t>Welsh Government (2022b) </w:t>
      </w:r>
      <w:r w:rsidRPr="00B70081">
        <w:rPr>
          <w:rFonts w:ascii="Arial" w:hAnsi="Arial" w:cs="Arial"/>
          <w:i/>
          <w:iCs/>
        </w:rPr>
        <w:t>Research into Assessment Practices in the Foundation Phase: Final Report</w:t>
      </w:r>
      <w:r w:rsidRPr="00B70081">
        <w:rPr>
          <w:rFonts w:ascii="Arial" w:hAnsi="Arial" w:cs="Arial"/>
        </w:rPr>
        <w:t>. Cardiff: Welsh Government, GSR Report 49/2022.</w:t>
      </w:r>
      <w:r w:rsidRPr="00B70081">
        <w:rPr>
          <w:rFonts w:ascii="Arial" w:hAnsi="Arial" w:cs="Arial"/>
        </w:rPr>
        <w:br/>
      </w:r>
      <w:hyperlink r:id="rId12" w:tgtFrame="_blank" w:history="1">
        <w:r w:rsidRPr="00B70081">
          <w:rPr>
            <w:rStyle w:val="Hyperlink"/>
            <w:rFonts w:ascii="Arial" w:hAnsi="Arial" w:cs="Arial"/>
            <w:u w:val="none"/>
          </w:rPr>
          <w:t>Welsh Government – Foundation Phase assessment research</w:t>
        </w:r>
      </w:hyperlink>
      <w:r w:rsidRPr="00B70081">
        <w:rPr>
          <w:rFonts w:ascii="Arial" w:hAnsi="Arial" w:cs="Arial"/>
        </w:rPr>
        <w:t> (Accessed: 2</w:t>
      </w:r>
      <w:r>
        <w:rPr>
          <w:rFonts w:ascii="Arial" w:hAnsi="Arial" w:cs="Arial"/>
        </w:rPr>
        <w:t xml:space="preserve">9 July </w:t>
      </w:r>
      <w:r w:rsidRPr="00B70081">
        <w:rPr>
          <w:rFonts w:ascii="Arial" w:hAnsi="Arial" w:cs="Arial"/>
        </w:rPr>
        <w:t>2026).</w:t>
      </w:r>
    </w:p>
    <w:p w14:paraId="3CDE1E98" w14:textId="77777777" w:rsidR="00B70081" w:rsidRPr="00B70081" w:rsidRDefault="00B70081" w:rsidP="00B70081">
      <w:pPr>
        <w:spacing w:line="360" w:lineRule="auto"/>
        <w:rPr>
          <w:rFonts w:ascii="Arial" w:hAnsi="Arial" w:cs="Arial"/>
        </w:rPr>
      </w:pPr>
    </w:p>
    <w:p w14:paraId="20E74D89" w14:textId="043BBD03" w:rsidR="00B70081" w:rsidRPr="00B70081" w:rsidRDefault="00B70081" w:rsidP="00B70081">
      <w:pPr>
        <w:spacing w:line="360" w:lineRule="auto"/>
        <w:rPr>
          <w:rFonts w:ascii="Arial" w:hAnsi="Arial" w:cs="Arial"/>
        </w:rPr>
      </w:pPr>
      <w:r w:rsidRPr="00B70081">
        <w:rPr>
          <w:rFonts w:ascii="Arial" w:hAnsi="Arial" w:cs="Arial"/>
        </w:rPr>
        <w:t>Welsh Government (2022c) </w:t>
      </w:r>
      <w:r w:rsidRPr="00B70081">
        <w:rPr>
          <w:rFonts w:ascii="Arial" w:hAnsi="Arial" w:cs="Arial"/>
          <w:i/>
          <w:iCs/>
        </w:rPr>
        <w:t>Supporting Learner Progression: Assessment Guidance</w:t>
      </w:r>
      <w:r w:rsidRPr="00B70081">
        <w:rPr>
          <w:rFonts w:ascii="Arial" w:hAnsi="Arial" w:cs="Arial"/>
        </w:rPr>
        <w:t>. Cardiff: Welsh Government.</w:t>
      </w:r>
      <w:r w:rsidRPr="00B70081">
        <w:rPr>
          <w:rFonts w:ascii="Arial" w:hAnsi="Arial" w:cs="Arial"/>
        </w:rPr>
        <w:br/>
      </w:r>
      <w:hyperlink r:id="rId13" w:tgtFrame="_blank" w:history="1">
        <w:r w:rsidRPr="00B70081">
          <w:rPr>
            <w:rStyle w:val="Hyperlink"/>
            <w:rFonts w:ascii="Arial" w:hAnsi="Arial" w:cs="Arial"/>
            <w:u w:val="none"/>
          </w:rPr>
          <w:t>Welsh Government/Hwb – Supporting Learner Progression</w:t>
        </w:r>
      </w:hyperlink>
      <w:r w:rsidRPr="00B70081">
        <w:rPr>
          <w:rFonts w:ascii="Arial" w:hAnsi="Arial" w:cs="Arial"/>
        </w:rPr>
        <w:t> (Accessed: 2</w:t>
      </w:r>
      <w:r>
        <w:rPr>
          <w:rFonts w:ascii="Arial" w:hAnsi="Arial" w:cs="Arial"/>
        </w:rPr>
        <w:t>9</w:t>
      </w:r>
      <w:r w:rsidRPr="00B70081">
        <w:rPr>
          <w:rFonts w:ascii="Arial" w:hAnsi="Arial" w:cs="Arial"/>
        </w:rPr>
        <w:t xml:space="preserve"> </w:t>
      </w:r>
      <w:r>
        <w:rPr>
          <w:rFonts w:ascii="Arial" w:hAnsi="Arial" w:cs="Arial"/>
        </w:rPr>
        <w:t>July</w:t>
      </w:r>
      <w:r w:rsidRPr="00B70081">
        <w:rPr>
          <w:rFonts w:ascii="Arial" w:hAnsi="Arial" w:cs="Arial"/>
        </w:rPr>
        <w:t xml:space="preserve"> 2026).</w:t>
      </w:r>
    </w:p>
    <w:p w14:paraId="6769D387" w14:textId="77777777" w:rsidR="00B70081" w:rsidRPr="00B70081" w:rsidRDefault="00B70081" w:rsidP="00B70081">
      <w:pPr>
        <w:spacing w:line="360" w:lineRule="auto"/>
        <w:rPr>
          <w:rFonts w:ascii="Arial" w:hAnsi="Arial" w:cs="Arial"/>
        </w:rPr>
      </w:pPr>
    </w:p>
    <w:p w14:paraId="649649F9" w14:textId="77777777" w:rsidR="00B70081" w:rsidRPr="00B70081" w:rsidRDefault="00B70081" w:rsidP="00B70081">
      <w:pPr>
        <w:spacing w:line="360" w:lineRule="auto"/>
        <w:rPr>
          <w:rFonts w:ascii="Arial" w:hAnsi="Arial" w:cs="Arial"/>
        </w:rPr>
      </w:pPr>
      <w:r w:rsidRPr="00B70081">
        <w:rPr>
          <w:rFonts w:ascii="Arial" w:hAnsi="Arial" w:cs="Arial"/>
        </w:rPr>
        <w:t>Whitebread, D., Basilio, M., Kuvalja, M. and Verma, M. (2012) </w:t>
      </w:r>
      <w:r w:rsidRPr="00B70081">
        <w:rPr>
          <w:rFonts w:ascii="Arial" w:hAnsi="Arial" w:cs="Arial"/>
          <w:i/>
          <w:iCs/>
        </w:rPr>
        <w:t>The Importance of Play: A Report on the Value of Children’s Play with a Series of Policy Recommendations</w:t>
      </w:r>
      <w:r w:rsidRPr="00B70081">
        <w:rPr>
          <w:rFonts w:ascii="Arial" w:hAnsi="Arial" w:cs="Arial"/>
        </w:rPr>
        <w:t>. Brussels: Toy Industries of Europe.</w:t>
      </w:r>
    </w:p>
    <w:p w14:paraId="2183E232" w14:textId="77777777" w:rsidR="00B70081" w:rsidRPr="00B70081" w:rsidRDefault="00B70081" w:rsidP="00B70081">
      <w:pPr>
        <w:spacing w:line="360" w:lineRule="auto"/>
        <w:rPr>
          <w:rFonts w:ascii="Arial" w:hAnsi="Arial" w:cs="Arial"/>
        </w:rPr>
      </w:pPr>
    </w:p>
    <w:p w14:paraId="74A0C10D" w14:textId="77777777" w:rsidR="00B70081" w:rsidRPr="00B70081" w:rsidRDefault="00B70081" w:rsidP="00B70081">
      <w:pPr>
        <w:spacing w:line="360" w:lineRule="auto"/>
        <w:rPr>
          <w:rFonts w:ascii="Arial" w:hAnsi="Arial" w:cs="Arial"/>
        </w:rPr>
      </w:pPr>
      <w:r w:rsidRPr="00B70081">
        <w:rPr>
          <w:rFonts w:ascii="Arial" w:hAnsi="Arial" w:cs="Arial"/>
        </w:rPr>
        <w:t>Zosh, J.M., Hopkins, E.J., Jensen, H., Liu, C., Neale, D., Hirsh-Pasek, K., Solis, S.L. and Whitebread, D. (2017) </w:t>
      </w:r>
      <w:r w:rsidRPr="00B70081">
        <w:rPr>
          <w:rFonts w:ascii="Arial" w:hAnsi="Arial" w:cs="Arial"/>
          <w:i/>
          <w:iCs/>
        </w:rPr>
        <w:t>Learning Through Play: A Review of the Evidence</w:t>
      </w:r>
      <w:r w:rsidRPr="00B70081">
        <w:rPr>
          <w:rFonts w:ascii="Arial" w:hAnsi="Arial" w:cs="Arial"/>
        </w:rPr>
        <w:t>. Billund: The LEGO Foundation.</w:t>
      </w:r>
    </w:p>
    <w:p w14:paraId="46B65931" w14:textId="77777777" w:rsidR="00B70081" w:rsidRDefault="00B70081" w:rsidP="00292D49">
      <w:pPr>
        <w:spacing w:line="360" w:lineRule="auto"/>
        <w:rPr>
          <w:rFonts w:ascii="Arial" w:hAnsi="Arial" w:cs="Arial"/>
          <w:u w:val="single"/>
        </w:rPr>
      </w:pPr>
    </w:p>
    <w:p w14:paraId="13EA2814" w14:textId="77777777" w:rsidR="00B70081" w:rsidRDefault="00B70081" w:rsidP="00292D49">
      <w:pPr>
        <w:spacing w:line="360" w:lineRule="auto"/>
        <w:rPr>
          <w:rFonts w:ascii="Arial" w:hAnsi="Arial" w:cs="Arial"/>
          <w:u w:val="single"/>
        </w:rPr>
      </w:pPr>
    </w:p>
    <w:p w14:paraId="1F0C184D" w14:textId="77777777" w:rsidR="00B70081" w:rsidRDefault="00B70081" w:rsidP="00292D49">
      <w:pPr>
        <w:spacing w:line="360" w:lineRule="auto"/>
        <w:rPr>
          <w:rFonts w:ascii="Arial" w:hAnsi="Arial" w:cs="Arial"/>
          <w:u w:val="single"/>
        </w:rPr>
      </w:pPr>
    </w:p>
    <w:p w14:paraId="441F7835" w14:textId="77777777" w:rsidR="00B70081" w:rsidRPr="00292D49" w:rsidRDefault="00B70081" w:rsidP="00292D49">
      <w:pPr>
        <w:spacing w:line="360" w:lineRule="auto"/>
        <w:rPr>
          <w:rFonts w:ascii="Arial" w:hAnsi="Arial" w:cs="Arial"/>
          <w:u w:val="single"/>
        </w:rPr>
      </w:pPr>
    </w:p>
    <w:sectPr w:rsidR="00B70081" w:rsidRPr="00292D49" w:rsidSect="00DB22C8">
      <w:headerReference w:type="default" r:id="rId14"/>
      <w:footerReference w:type="even" r:id="rId15"/>
      <w:foot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E74CDE" w14:textId="77777777" w:rsidR="00FA08F4" w:rsidRDefault="00FA08F4" w:rsidP="00292D49">
      <w:r>
        <w:separator/>
      </w:r>
    </w:p>
  </w:endnote>
  <w:endnote w:type="continuationSeparator" w:id="0">
    <w:p w14:paraId="409D0A72" w14:textId="77777777" w:rsidR="00FA08F4" w:rsidRDefault="00FA08F4" w:rsidP="00292D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526703330"/>
      <w:docPartObj>
        <w:docPartGallery w:val="Page Numbers (Bottom of Page)"/>
        <w:docPartUnique/>
      </w:docPartObj>
    </w:sdtPr>
    <w:sdtContent>
      <w:p w14:paraId="29C32B57" w14:textId="3CDF02F1" w:rsidR="00292D49" w:rsidRDefault="00292D49" w:rsidP="00AE559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8AC563" w14:textId="77777777" w:rsidR="00292D49" w:rsidRDefault="00292D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886224146"/>
      <w:docPartObj>
        <w:docPartGallery w:val="Page Numbers (Bottom of Page)"/>
        <w:docPartUnique/>
      </w:docPartObj>
    </w:sdtPr>
    <w:sdtContent>
      <w:p w14:paraId="2F397599" w14:textId="5707FDB1" w:rsidR="00292D49" w:rsidRDefault="00292D49" w:rsidP="00AE559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A7ED836" w14:textId="77777777" w:rsidR="00292D49" w:rsidRDefault="00292D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3B171C" w14:textId="77777777" w:rsidR="00FA08F4" w:rsidRDefault="00FA08F4" w:rsidP="00292D49">
      <w:r>
        <w:separator/>
      </w:r>
    </w:p>
  </w:footnote>
  <w:footnote w:type="continuationSeparator" w:id="0">
    <w:p w14:paraId="1D33749F" w14:textId="77777777" w:rsidR="00FA08F4" w:rsidRDefault="00FA08F4" w:rsidP="00292D4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4FD76C" w14:textId="61AD1073" w:rsidR="00292D49" w:rsidRDefault="00292D49">
    <w:pPr>
      <w:pStyle w:val="Header"/>
    </w:pPr>
    <w:r>
      <w:t>ECEY6010</w:t>
    </w:r>
    <w:r>
      <w:ptab w:relativeTo="margin" w:alignment="center" w:leader="none"/>
    </w:r>
    <w:r>
      <w:t>1802789</w:t>
    </w:r>
    <w:r>
      <w:ptab w:relativeTo="margin" w:alignment="right" w:leader="none"/>
    </w:r>
    <w:r w:rsidR="00B70081">
      <w:t xml:space="preserve">4176 </w:t>
    </w:r>
    <w:r>
      <w:t>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BAD1BE9"/>
    <w:multiLevelType w:val="hybridMultilevel"/>
    <w:tmpl w:val="CC3EFE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225C6C"/>
    <w:multiLevelType w:val="hybridMultilevel"/>
    <w:tmpl w:val="CC50D6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1A25BC"/>
    <w:multiLevelType w:val="hybridMultilevel"/>
    <w:tmpl w:val="CF5C9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018644">
    <w:abstractNumId w:val="1"/>
  </w:num>
  <w:num w:numId="2" w16cid:durableId="465927382">
    <w:abstractNumId w:val="2"/>
  </w:num>
  <w:num w:numId="3" w16cid:durableId="6098186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D49"/>
    <w:rsid w:val="00124B68"/>
    <w:rsid w:val="00292D49"/>
    <w:rsid w:val="0058406F"/>
    <w:rsid w:val="00796595"/>
    <w:rsid w:val="009C41B7"/>
    <w:rsid w:val="00A27D51"/>
    <w:rsid w:val="00A55224"/>
    <w:rsid w:val="00B70081"/>
    <w:rsid w:val="00DB22C8"/>
    <w:rsid w:val="00E21A07"/>
    <w:rsid w:val="00F1503C"/>
    <w:rsid w:val="00FA08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0EE4B"/>
  <w15:chartTrackingRefBased/>
  <w15:docId w15:val="{5562B1A6-6746-1D44-BC2C-B5DF084A5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2D4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92D4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92D4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92D4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92D4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92D4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2D4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2D4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2D4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2D4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92D4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92D4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92D4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92D4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92D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2D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2D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2D49"/>
    <w:rPr>
      <w:rFonts w:eastAsiaTheme="majorEastAsia" w:cstheme="majorBidi"/>
      <w:color w:val="272727" w:themeColor="text1" w:themeTint="D8"/>
    </w:rPr>
  </w:style>
  <w:style w:type="paragraph" w:styleId="Title">
    <w:name w:val="Title"/>
    <w:basedOn w:val="Normal"/>
    <w:next w:val="Normal"/>
    <w:link w:val="TitleChar"/>
    <w:uiPriority w:val="10"/>
    <w:qFormat/>
    <w:rsid w:val="00292D4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2D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2D4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2D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2D4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92D49"/>
    <w:rPr>
      <w:i/>
      <w:iCs/>
      <w:color w:val="404040" w:themeColor="text1" w:themeTint="BF"/>
    </w:rPr>
  </w:style>
  <w:style w:type="paragraph" w:styleId="ListParagraph">
    <w:name w:val="List Paragraph"/>
    <w:basedOn w:val="Normal"/>
    <w:uiPriority w:val="34"/>
    <w:qFormat/>
    <w:rsid w:val="00292D49"/>
    <w:pPr>
      <w:ind w:left="720"/>
      <w:contextualSpacing/>
    </w:pPr>
  </w:style>
  <w:style w:type="character" w:styleId="IntenseEmphasis">
    <w:name w:val="Intense Emphasis"/>
    <w:basedOn w:val="DefaultParagraphFont"/>
    <w:uiPriority w:val="21"/>
    <w:qFormat/>
    <w:rsid w:val="00292D49"/>
    <w:rPr>
      <w:i/>
      <w:iCs/>
      <w:color w:val="2F5496" w:themeColor="accent1" w:themeShade="BF"/>
    </w:rPr>
  </w:style>
  <w:style w:type="paragraph" w:styleId="IntenseQuote">
    <w:name w:val="Intense Quote"/>
    <w:basedOn w:val="Normal"/>
    <w:next w:val="Normal"/>
    <w:link w:val="IntenseQuoteChar"/>
    <w:uiPriority w:val="30"/>
    <w:qFormat/>
    <w:rsid w:val="00292D4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92D49"/>
    <w:rPr>
      <w:i/>
      <w:iCs/>
      <w:color w:val="2F5496" w:themeColor="accent1" w:themeShade="BF"/>
    </w:rPr>
  </w:style>
  <w:style w:type="character" w:styleId="IntenseReference">
    <w:name w:val="Intense Reference"/>
    <w:basedOn w:val="DefaultParagraphFont"/>
    <w:uiPriority w:val="32"/>
    <w:qFormat/>
    <w:rsid w:val="00292D49"/>
    <w:rPr>
      <w:b/>
      <w:bCs/>
      <w:smallCaps/>
      <w:color w:val="2F5496" w:themeColor="accent1" w:themeShade="BF"/>
      <w:spacing w:val="5"/>
    </w:rPr>
  </w:style>
  <w:style w:type="paragraph" w:styleId="Header">
    <w:name w:val="header"/>
    <w:basedOn w:val="Normal"/>
    <w:link w:val="HeaderChar"/>
    <w:uiPriority w:val="99"/>
    <w:unhideWhenUsed/>
    <w:rsid w:val="00292D49"/>
    <w:pPr>
      <w:tabs>
        <w:tab w:val="center" w:pos="4513"/>
        <w:tab w:val="right" w:pos="9026"/>
      </w:tabs>
    </w:pPr>
  </w:style>
  <w:style w:type="character" w:customStyle="1" w:styleId="HeaderChar">
    <w:name w:val="Header Char"/>
    <w:basedOn w:val="DefaultParagraphFont"/>
    <w:link w:val="Header"/>
    <w:uiPriority w:val="99"/>
    <w:rsid w:val="00292D49"/>
  </w:style>
  <w:style w:type="paragraph" w:styleId="Footer">
    <w:name w:val="footer"/>
    <w:basedOn w:val="Normal"/>
    <w:link w:val="FooterChar"/>
    <w:uiPriority w:val="99"/>
    <w:unhideWhenUsed/>
    <w:rsid w:val="00292D49"/>
    <w:pPr>
      <w:tabs>
        <w:tab w:val="center" w:pos="4513"/>
        <w:tab w:val="right" w:pos="9026"/>
      </w:tabs>
    </w:pPr>
  </w:style>
  <w:style w:type="character" w:customStyle="1" w:styleId="FooterChar">
    <w:name w:val="Footer Char"/>
    <w:basedOn w:val="DefaultParagraphFont"/>
    <w:link w:val="Footer"/>
    <w:uiPriority w:val="99"/>
    <w:rsid w:val="00292D49"/>
  </w:style>
  <w:style w:type="character" w:styleId="PageNumber">
    <w:name w:val="page number"/>
    <w:basedOn w:val="DefaultParagraphFont"/>
    <w:uiPriority w:val="99"/>
    <w:semiHidden/>
    <w:unhideWhenUsed/>
    <w:rsid w:val="00292D49"/>
  </w:style>
  <w:style w:type="character" w:styleId="Hyperlink">
    <w:name w:val="Hyperlink"/>
    <w:basedOn w:val="DefaultParagraphFont"/>
    <w:uiPriority w:val="99"/>
    <w:unhideWhenUsed/>
    <w:rsid w:val="00B70081"/>
    <w:rPr>
      <w:color w:val="0563C1" w:themeColor="hyperlink"/>
      <w:u w:val="single"/>
    </w:rPr>
  </w:style>
  <w:style w:type="character" w:styleId="UnresolvedMention">
    <w:name w:val="Unresolved Mention"/>
    <w:basedOn w:val="DefaultParagraphFont"/>
    <w:uiPriority w:val="99"/>
    <w:semiHidden/>
    <w:unhideWhenUsed/>
    <w:rsid w:val="00B700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1330938">
      <w:bodyDiv w:val="1"/>
      <w:marLeft w:val="0"/>
      <w:marRight w:val="0"/>
      <w:marTop w:val="0"/>
      <w:marBottom w:val="0"/>
      <w:divBdr>
        <w:top w:val="none" w:sz="0" w:space="0" w:color="auto"/>
        <w:left w:val="none" w:sz="0" w:space="0" w:color="auto"/>
        <w:bottom w:val="none" w:sz="0" w:space="0" w:color="auto"/>
        <w:right w:val="none" w:sz="0" w:space="0" w:color="auto"/>
      </w:divBdr>
    </w:div>
    <w:div w:id="406996728">
      <w:bodyDiv w:val="1"/>
      <w:marLeft w:val="0"/>
      <w:marRight w:val="0"/>
      <w:marTop w:val="0"/>
      <w:marBottom w:val="0"/>
      <w:divBdr>
        <w:top w:val="none" w:sz="0" w:space="0" w:color="auto"/>
        <w:left w:val="none" w:sz="0" w:space="0" w:color="auto"/>
        <w:bottom w:val="none" w:sz="0" w:space="0" w:color="auto"/>
        <w:right w:val="none" w:sz="0" w:space="0" w:color="auto"/>
      </w:divBdr>
    </w:div>
    <w:div w:id="612441332">
      <w:bodyDiv w:val="1"/>
      <w:marLeft w:val="0"/>
      <w:marRight w:val="0"/>
      <w:marTop w:val="0"/>
      <w:marBottom w:val="0"/>
      <w:divBdr>
        <w:top w:val="none" w:sz="0" w:space="0" w:color="auto"/>
        <w:left w:val="none" w:sz="0" w:space="0" w:color="auto"/>
        <w:bottom w:val="none" w:sz="0" w:space="0" w:color="auto"/>
        <w:right w:val="none" w:sz="0" w:space="0" w:color="auto"/>
      </w:divBdr>
    </w:div>
    <w:div w:id="869418152">
      <w:bodyDiv w:val="1"/>
      <w:marLeft w:val="0"/>
      <w:marRight w:val="0"/>
      <w:marTop w:val="0"/>
      <w:marBottom w:val="0"/>
      <w:divBdr>
        <w:top w:val="none" w:sz="0" w:space="0" w:color="auto"/>
        <w:left w:val="none" w:sz="0" w:space="0" w:color="auto"/>
        <w:bottom w:val="none" w:sz="0" w:space="0" w:color="auto"/>
        <w:right w:val="none" w:sz="0" w:space="0" w:color="auto"/>
      </w:divBdr>
    </w:div>
    <w:div w:id="916402914">
      <w:bodyDiv w:val="1"/>
      <w:marLeft w:val="0"/>
      <w:marRight w:val="0"/>
      <w:marTop w:val="0"/>
      <w:marBottom w:val="0"/>
      <w:divBdr>
        <w:top w:val="none" w:sz="0" w:space="0" w:color="auto"/>
        <w:left w:val="none" w:sz="0" w:space="0" w:color="auto"/>
        <w:bottom w:val="none" w:sz="0" w:space="0" w:color="auto"/>
        <w:right w:val="none" w:sz="0" w:space="0" w:color="auto"/>
      </w:divBdr>
    </w:div>
    <w:div w:id="1298805015">
      <w:bodyDiv w:val="1"/>
      <w:marLeft w:val="0"/>
      <w:marRight w:val="0"/>
      <w:marTop w:val="0"/>
      <w:marBottom w:val="0"/>
      <w:divBdr>
        <w:top w:val="none" w:sz="0" w:space="0" w:color="auto"/>
        <w:left w:val="none" w:sz="0" w:space="0" w:color="auto"/>
        <w:bottom w:val="none" w:sz="0" w:space="0" w:color="auto"/>
        <w:right w:val="none" w:sz="0" w:space="0" w:color="auto"/>
      </w:divBdr>
    </w:div>
    <w:div w:id="1313603672">
      <w:bodyDiv w:val="1"/>
      <w:marLeft w:val="0"/>
      <w:marRight w:val="0"/>
      <w:marTop w:val="0"/>
      <w:marBottom w:val="0"/>
      <w:divBdr>
        <w:top w:val="none" w:sz="0" w:space="0" w:color="auto"/>
        <w:left w:val="none" w:sz="0" w:space="0" w:color="auto"/>
        <w:bottom w:val="none" w:sz="0" w:space="0" w:color="auto"/>
        <w:right w:val="none" w:sz="0" w:space="0" w:color="auto"/>
      </w:divBdr>
    </w:div>
    <w:div w:id="1492982128">
      <w:bodyDiv w:val="1"/>
      <w:marLeft w:val="0"/>
      <w:marRight w:val="0"/>
      <w:marTop w:val="0"/>
      <w:marBottom w:val="0"/>
      <w:divBdr>
        <w:top w:val="none" w:sz="0" w:space="0" w:color="auto"/>
        <w:left w:val="none" w:sz="0" w:space="0" w:color="auto"/>
        <w:bottom w:val="none" w:sz="0" w:space="0" w:color="auto"/>
        <w:right w:val="none" w:sz="0" w:space="0" w:color="auto"/>
      </w:divBdr>
    </w:div>
    <w:div w:id="1835222153">
      <w:bodyDiv w:val="1"/>
      <w:marLeft w:val="0"/>
      <w:marRight w:val="0"/>
      <w:marTop w:val="0"/>
      <w:marBottom w:val="0"/>
      <w:divBdr>
        <w:top w:val="none" w:sz="0" w:space="0" w:color="auto"/>
        <w:left w:val="none" w:sz="0" w:space="0" w:color="auto"/>
        <w:bottom w:val="none" w:sz="0" w:space="0" w:color="auto"/>
        <w:right w:val="none" w:sz="0" w:space="0" w:color="auto"/>
      </w:divBdr>
    </w:div>
    <w:div w:id="1949696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hwb.gov.wales/curriculum-for-wales/assessment-arrangements/supporting-learner-progression-assessment-guidance/?utm_source=chatgpt.co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gov.wales/research-assessment-practices-foundation-phase?utm_source=chatgpt.co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curriculum-for-wales/designing-your-curriculum/enabling-learning/?utm_source=chatgpt.com"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368</TotalTime>
  <Pages>25</Pages>
  <Words>5986</Words>
  <Characters>34122</Characters>
  <Application>Microsoft Office Word</Application>
  <DocSecurity>0</DocSecurity>
  <Lines>284</Lines>
  <Paragraphs>80</Paragraphs>
  <ScaleCrop>false</ScaleCrop>
  <Company/>
  <LinksUpToDate>false</LinksUpToDate>
  <CharactersWithSpaces>40028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Sehrish Chaudhry (1802789)</dc:creator>
  <cp:keywords/>
  <dc:description/>
  <cp:lastModifiedBy>Sehrish Chaudhry (1802789)</cp:lastModifiedBy>
  <cp:revision>3</cp:revision>
  <dcterms:created xsi:type="dcterms:W3CDTF">2026-08-20T14:41:00Z</dcterms:created>
  <dcterms:modified xsi:type="dcterms:W3CDTF">2026-08-25T11:04:00Z</dcterms:modified>
</cp:coreProperties>
</file>