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456DE9" w14:textId="45960A6F" w:rsidR="00E611D9" w:rsidRDefault="00E611D9" w:rsidP="00E611D9">
      <w:pPr>
        <w:pStyle w:val="AssignBody"/>
      </w:pPr>
    </w:p>
    <w:tbl>
      <w:tblPr>
        <w:tblStyle w:val="TableGrid"/>
        <w:tblW w:w="0" w:type="auto"/>
        <w:tblLook w:val="04A0" w:firstRow="1" w:lastRow="0" w:firstColumn="1" w:lastColumn="0" w:noHBand="0" w:noVBand="1"/>
      </w:tblPr>
      <w:tblGrid>
        <w:gridCol w:w="1838"/>
        <w:gridCol w:w="3589"/>
        <w:gridCol w:w="3589"/>
      </w:tblGrid>
      <w:tr w:rsidR="00105D46" w14:paraId="2AFD8B78" w14:textId="77777777" w:rsidTr="006A551C">
        <w:tc>
          <w:tcPr>
            <w:tcW w:w="1838" w:type="dxa"/>
          </w:tcPr>
          <w:p w14:paraId="3FCB60DD" w14:textId="5B2CF489" w:rsidR="00105D46" w:rsidRPr="00105D46" w:rsidRDefault="00105D46" w:rsidP="00AE1A4C">
            <w:pPr>
              <w:pStyle w:val="AssignBody"/>
              <w:rPr>
                <w:b/>
                <w:bCs/>
                <w:sz w:val="20"/>
                <w:szCs w:val="20"/>
              </w:rPr>
            </w:pPr>
            <w:proofErr w:type="spellStart"/>
            <w:r w:rsidRPr="00105D46">
              <w:rPr>
                <w:b/>
                <w:bCs/>
                <w:sz w:val="20"/>
                <w:szCs w:val="20"/>
              </w:rPr>
              <w:t>Targedau</w:t>
            </w:r>
            <w:proofErr w:type="spellEnd"/>
            <w:r w:rsidRPr="00105D46">
              <w:rPr>
                <w:b/>
                <w:bCs/>
                <w:sz w:val="20"/>
                <w:szCs w:val="20"/>
              </w:rPr>
              <w:t xml:space="preserve"> / Targets</w:t>
            </w:r>
          </w:p>
        </w:tc>
        <w:tc>
          <w:tcPr>
            <w:tcW w:w="3589" w:type="dxa"/>
          </w:tcPr>
          <w:p w14:paraId="00A78B62" w14:textId="6CD15404" w:rsidR="00105D46" w:rsidRPr="00105D46" w:rsidRDefault="00105D46" w:rsidP="00AE1A4C">
            <w:pPr>
              <w:pStyle w:val="AssignBody"/>
              <w:rPr>
                <w:b/>
                <w:bCs/>
                <w:sz w:val="20"/>
                <w:szCs w:val="20"/>
              </w:rPr>
            </w:pPr>
            <w:r w:rsidRPr="00105D46">
              <w:rPr>
                <w:b/>
                <w:bCs/>
                <w:sz w:val="20"/>
                <w:szCs w:val="20"/>
              </w:rPr>
              <w:t xml:space="preserve">Sut </w:t>
            </w:r>
            <w:proofErr w:type="spellStart"/>
            <w:r w:rsidRPr="00105D46">
              <w:rPr>
                <w:b/>
                <w:bCs/>
                <w:sz w:val="20"/>
                <w:szCs w:val="20"/>
              </w:rPr>
              <w:t>rydych</w:t>
            </w:r>
            <w:proofErr w:type="spellEnd"/>
            <w:r w:rsidRPr="00105D46">
              <w:rPr>
                <w:b/>
                <w:bCs/>
                <w:sz w:val="20"/>
                <w:szCs w:val="20"/>
              </w:rPr>
              <w:t xml:space="preserve"> </w:t>
            </w:r>
            <w:proofErr w:type="spellStart"/>
            <w:r w:rsidRPr="00105D46">
              <w:rPr>
                <w:b/>
                <w:bCs/>
                <w:sz w:val="20"/>
                <w:szCs w:val="20"/>
              </w:rPr>
              <w:t>wedi</w:t>
            </w:r>
            <w:proofErr w:type="spellEnd"/>
            <w:r w:rsidRPr="00105D46">
              <w:rPr>
                <w:b/>
                <w:bCs/>
                <w:sz w:val="20"/>
                <w:szCs w:val="20"/>
              </w:rPr>
              <w:t xml:space="preserve"> </w:t>
            </w:r>
            <w:proofErr w:type="spellStart"/>
            <w:r w:rsidRPr="00105D46">
              <w:rPr>
                <w:b/>
                <w:bCs/>
                <w:sz w:val="20"/>
                <w:szCs w:val="20"/>
              </w:rPr>
              <w:t>gweithio</w:t>
            </w:r>
            <w:proofErr w:type="spellEnd"/>
            <w:r w:rsidRPr="00105D46">
              <w:rPr>
                <w:b/>
                <w:bCs/>
                <w:sz w:val="20"/>
                <w:szCs w:val="20"/>
              </w:rPr>
              <w:t xml:space="preserve"> </w:t>
            </w:r>
            <w:proofErr w:type="spellStart"/>
            <w:r w:rsidRPr="00105D46">
              <w:rPr>
                <w:b/>
                <w:bCs/>
                <w:sz w:val="20"/>
                <w:szCs w:val="20"/>
              </w:rPr>
              <w:t>ar</w:t>
            </w:r>
            <w:proofErr w:type="spellEnd"/>
            <w:r w:rsidRPr="00105D46">
              <w:rPr>
                <w:b/>
                <w:bCs/>
                <w:sz w:val="20"/>
                <w:szCs w:val="20"/>
              </w:rPr>
              <w:t xml:space="preserve"> </w:t>
            </w:r>
            <w:proofErr w:type="spellStart"/>
            <w:r w:rsidRPr="00105D46">
              <w:rPr>
                <w:b/>
                <w:bCs/>
                <w:sz w:val="20"/>
                <w:szCs w:val="20"/>
              </w:rPr>
              <w:t>hwn</w:t>
            </w:r>
            <w:proofErr w:type="spellEnd"/>
            <w:r w:rsidRPr="00105D46">
              <w:rPr>
                <w:b/>
                <w:bCs/>
                <w:sz w:val="20"/>
                <w:szCs w:val="20"/>
              </w:rPr>
              <w:t xml:space="preserve"> /</w:t>
            </w:r>
          </w:p>
          <w:p w14:paraId="68ABAA2D" w14:textId="73BA7593" w:rsidR="00105D46" w:rsidRPr="00105D46" w:rsidRDefault="00105D46" w:rsidP="00AE1A4C">
            <w:pPr>
              <w:pStyle w:val="AssignBody"/>
              <w:rPr>
                <w:b/>
                <w:bCs/>
                <w:sz w:val="20"/>
                <w:szCs w:val="20"/>
              </w:rPr>
            </w:pPr>
            <w:r w:rsidRPr="00105D46">
              <w:rPr>
                <w:b/>
                <w:bCs/>
                <w:sz w:val="20"/>
                <w:szCs w:val="20"/>
              </w:rPr>
              <w:t>How you have worked on this</w:t>
            </w:r>
          </w:p>
        </w:tc>
        <w:tc>
          <w:tcPr>
            <w:tcW w:w="3589" w:type="dxa"/>
          </w:tcPr>
          <w:p w14:paraId="5B76864F" w14:textId="21D918EA" w:rsidR="00105D46" w:rsidRPr="00105D46" w:rsidRDefault="00105D46" w:rsidP="00AE1A4C">
            <w:pPr>
              <w:pStyle w:val="AssignBody"/>
              <w:rPr>
                <w:b/>
                <w:bCs/>
                <w:sz w:val="20"/>
                <w:szCs w:val="20"/>
              </w:rPr>
            </w:pPr>
            <w:proofErr w:type="spellStart"/>
            <w:r w:rsidRPr="00105D46">
              <w:rPr>
                <w:b/>
                <w:bCs/>
                <w:sz w:val="20"/>
                <w:szCs w:val="20"/>
              </w:rPr>
              <w:t>Ceir</w:t>
            </w:r>
            <w:proofErr w:type="spellEnd"/>
            <w:r w:rsidRPr="00105D46">
              <w:rPr>
                <w:b/>
                <w:bCs/>
                <w:sz w:val="20"/>
                <w:szCs w:val="20"/>
              </w:rPr>
              <w:t xml:space="preserve"> </w:t>
            </w:r>
            <w:proofErr w:type="spellStart"/>
            <w:r w:rsidRPr="00105D46">
              <w:rPr>
                <w:b/>
                <w:bCs/>
                <w:sz w:val="20"/>
                <w:szCs w:val="20"/>
              </w:rPr>
              <w:t>enghraifft</w:t>
            </w:r>
            <w:proofErr w:type="spellEnd"/>
            <w:r w:rsidRPr="00105D46">
              <w:rPr>
                <w:b/>
                <w:bCs/>
                <w:sz w:val="20"/>
                <w:szCs w:val="20"/>
              </w:rPr>
              <w:t xml:space="preserve"> </w:t>
            </w:r>
            <w:proofErr w:type="spellStart"/>
            <w:r w:rsidRPr="00105D46">
              <w:rPr>
                <w:b/>
                <w:bCs/>
                <w:sz w:val="20"/>
                <w:szCs w:val="20"/>
              </w:rPr>
              <w:t>ar</w:t>
            </w:r>
            <w:proofErr w:type="spellEnd"/>
            <w:r w:rsidRPr="00105D46">
              <w:rPr>
                <w:b/>
                <w:bCs/>
                <w:sz w:val="20"/>
                <w:szCs w:val="20"/>
              </w:rPr>
              <w:t xml:space="preserve"> /</w:t>
            </w:r>
          </w:p>
          <w:p w14:paraId="784FDDD1" w14:textId="6442DA38" w:rsidR="00105D46" w:rsidRPr="00105D46" w:rsidRDefault="00105D46" w:rsidP="00AE1A4C">
            <w:pPr>
              <w:pStyle w:val="AssignBody"/>
              <w:rPr>
                <w:b/>
                <w:bCs/>
                <w:sz w:val="20"/>
                <w:szCs w:val="20"/>
              </w:rPr>
            </w:pPr>
            <w:r w:rsidRPr="00105D46">
              <w:rPr>
                <w:b/>
                <w:bCs/>
                <w:sz w:val="20"/>
                <w:szCs w:val="20"/>
              </w:rPr>
              <w:t>An example can be found on</w:t>
            </w:r>
          </w:p>
        </w:tc>
      </w:tr>
      <w:tr w:rsidR="00105D46" w14:paraId="4072E411" w14:textId="77777777" w:rsidTr="006A551C">
        <w:tc>
          <w:tcPr>
            <w:tcW w:w="1838" w:type="dxa"/>
          </w:tcPr>
          <w:p w14:paraId="3BDD7132" w14:textId="77777777" w:rsidR="00105D46" w:rsidRPr="003B5B54" w:rsidRDefault="00105D46" w:rsidP="00AE1A4C">
            <w:pPr>
              <w:pStyle w:val="AssignBody"/>
              <w:rPr>
                <w:b/>
                <w:bCs/>
                <w:sz w:val="20"/>
                <w:szCs w:val="20"/>
              </w:rPr>
            </w:pPr>
            <w:proofErr w:type="spellStart"/>
            <w:r w:rsidRPr="003B5B54">
              <w:rPr>
                <w:b/>
                <w:bCs/>
                <w:sz w:val="20"/>
                <w:szCs w:val="20"/>
              </w:rPr>
              <w:t>T</w:t>
            </w:r>
            <w:bookmarkStart w:id="0" w:name="cysill"/>
            <w:bookmarkEnd w:id="0"/>
            <w:r w:rsidRPr="003B5B54">
              <w:rPr>
                <w:b/>
                <w:bCs/>
                <w:sz w:val="20"/>
                <w:szCs w:val="20"/>
              </w:rPr>
              <w:t>arged</w:t>
            </w:r>
            <w:proofErr w:type="spellEnd"/>
            <w:r w:rsidRPr="003B5B54">
              <w:rPr>
                <w:b/>
                <w:bCs/>
                <w:sz w:val="20"/>
                <w:szCs w:val="20"/>
              </w:rPr>
              <w:t>/Target 1</w:t>
            </w:r>
          </w:p>
        </w:tc>
        <w:tc>
          <w:tcPr>
            <w:tcW w:w="3589" w:type="dxa"/>
          </w:tcPr>
          <w:p w14:paraId="03E7BB34" w14:textId="301F745F" w:rsidR="002F3FA0" w:rsidRPr="003B5B54" w:rsidRDefault="002F3FA0" w:rsidP="002F3FA0">
            <w:pPr>
              <w:pStyle w:val="NormalWeb"/>
              <w:shd w:val="clear" w:color="auto" w:fill="FFFFFF"/>
              <w:spacing w:before="0" w:beforeAutospacing="0" w:after="0" w:afterAutospacing="0"/>
              <w:rPr>
                <w:rFonts w:ascii="Roboto" w:hAnsi="Roboto"/>
                <w:sz w:val="21"/>
                <w:szCs w:val="21"/>
              </w:rPr>
            </w:pPr>
            <w:r w:rsidRPr="003B5B54">
              <w:rPr>
                <w:rFonts w:ascii="Roboto" w:hAnsi="Roboto"/>
                <w:sz w:val="21"/>
                <w:szCs w:val="21"/>
              </w:rPr>
              <w:t>When you present a view from Lit., aim to make your own critical comment or link to another Lit. idea you've come across.</w:t>
            </w:r>
          </w:p>
          <w:p w14:paraId="5072E6C7" w14:textId="77777777" w:rsidR="00105D46" w:rsidRPr="003B5B54" w:rsidRDefault="00105D46" w:rsidP="002F3FA0">
            <w:pPr>
              <w:pStyle w:val="NormalWeb"/>
              <w:shd w:val="clear" w:color="auto" w:fill="FFFFFF"/>
              <w:spacing w:before="0" w:beforeAutospacing="0" w:after="0" w:afterAutospacing="0"/>
            </w:pPr>
          </w:p>
        </w:tc>
        <w:tc>
          <w:tcPr>
            <w:tcW w:w="3589" w:type="dxa"/>
          </w:tcPr>
          <w:p w14:paraId="394C5558" w14:textId="549C4491" w:rsidR="00105D46" w:rsidRPr="00FE4B55" w:rsidRDefault="00FE4B55" w:rsidP="00AE1A4C">
            <w:pPr>
              <w:pStyle w:val="AssignBody"/>
              <w:rPr>
                <w:b/>
                <w:bCs/>
              </w:rPr>
            </w:pPr>
            <w:r>
              <w:t>Page 2/3 regarding Rodgers. et al. (2016).</w:t>
            </w:r>
          </w:p>
        </w:tc>
      </w:tr>
      <w:tr w:rsidR="00105D46" w14:paraId="73A65764" w14:textId="77777777" w:rsidTr="006A551C">
        <w:tc>
          <w:tcPr>
            <w:tcW w:w="1838" w:type="dxa"/>
          </w:tcPr>
          <w:p w14:paraId="12A42483" w14:textId="77777777" w:rsidR="00105D46" w:rsidRPr="003B5B54" w:rsidRDefault="00105D46" w:rsidP="00AE1A4C">
            <w:pPr>
              <w:pStyle w:val="AssignBody"/>
              <w:rPr>
                <w:b/>
                <w:bCs/>
                <w:sz w:val="20"/>
                <w:szCs w:val="20"/>
              </w:rPr>
            </w:pPr>
            <w:proofErr w:type="spellStart"/>
            <w:r w:rsidRPr="003B5B54">
              <w:rPr>
                <w:b/>
                <w:bCs/>
                <w:sz w:val="20"/>
                <w:szCs w:val="20"/>
              </w:rPr>
              <w:t>Targed</w:t>
            </w:r>
            <w:proofErr w:type="spellEnd"/>
            <w:r w:rsidRPr="003B5B54">
              <w:rPr>
                <w:b/>
                <w:bCs/>
                <w:sz w:val="20"/>
                <w:szCs w:val="20"/>
              </w:rPr>
              <w:t>/Target 2</w:t>
            </w:r>
          </w:p>
        </w:tc>
        <w:tc>
          <w:tcPr>
            <w:tcW w:w="3589" w:type="dxa"/>
          </w:tcPr>
          <w:p w14:paraId="614EF0D3" w14:textId="055AAE14" w:rsidR="002F3FA0" w:rsidRPr="003B5B54" w:rsidRDefault="002F3FA0" w:rsidP="002F3FA0">
            <w:pPr>
              <w:pStyle w:val="NormalWeb"/>
              <w:shd w:val="clear" w:color="auto" w:fill="FFFFFF"/>
              <w:spacing w:before="0" w:beforeAutospacing="0" w:after="0" w:afterAutospacing="0"/>
              <w:rPr>
                <w:rFonts w:ascii="Roboto" w:hAnsi="Roboto"/>
                <w:sz w:val="21"/>
                <w:szCs w:val="21"/>
              </w:rPr>
            </w:pPr>
            <w:r w:rsidRPr="003B5B54">
              <w:rPr>
                <w:rFonts w:ascii="Roboto" w:hAnsi="Roboto"/>
                <w:sz w:val="21"/>
                <w:szCs w:val="21"/>
              </w:rPr>
              <w:t>Revise referencing conventions with care.</w:t>
            </w:r>
          </w:p>
          <w:p w14:paraId="0C205A83" w14:textId="77777777" w:rsidR="00105D46" w:rsidRPr="003B5B54" w:rsidRDefault="00105D46" w:rsidP="002F3FA0">
            <w:pPr>
              <w:pStyle w:val="NormalWeb"/>
              <w:shd w:val="clear" w:color="auto" w:fill="FFFFFF"/>
              <w:spacing w:before="0" w:beforeAutospacing="0" w:after="0" w:afterAutospacing="0"/>
            </w:pPr>
          </w:p>
        </w:tc>
        <w:tc>
          <w:tcPr>
            <w:tcW w:w="3589" w:type="dxa"/>
          </w:tcPr>
          <w:p w14:paraId="3E19823E" w14:textId="3C2C5E78" w:rsidR="00105D46" w:rsidRDefault="00FE4B55" w:rsidP="00AE1A4C">
            <w:pPr>
              <w:pStyle w:val="AssignBody"/>
            </w:pPr>
            <w:r>
              <w:t>Reference List</w:t>
            </w:r>
          </w:p>
        </w:tc>
      </w:tr>
      <w:tr w:rsidR="00105D46" w14:paraId="0216786F" w14:textId="77777777" w:rsidTr="006A551C">
        <w:tc>
          <w:tcPr>
            <w:tcW w:w="1838" w:type="dxa"/>
          </w:tcPr>
          <w:p w14:paraId="4F73937C" w14:textId="77777777" w:rsidR="00105D46" w:rsidRPr="003B5B54" w:rsidRDefault="00105D46" w:rsidP="00AE1A4C">
            <w:pPr>
              <w:pStyle w:val="AssignBody"/>
              <w:rPr>
                <w:b/>
                <w:bCs/>
                <w:sz w:val="20"/>
                <w:szCs w:val="20"/>
              </w:rPr>
            </w:pPr>
            <w:proofErr w:type="spellStart"/>
            <w:r w:rsidRPr="003B5B54">
              <w:rPr>
                <w:b/>
                <w:bCs/>
                <w:sz w:val="20"/>
                <w:szCs w:val="20"/>
              </w:rPr>
              <w:t>Targed</w:t>
            </w:r>
            <w:proofErr w:type="spellEnd"/>
            <w:r w:rsidRPr="003B5B54">
              <w:rPr>
                <w:b/>
                <w:bCs/>
                <w:sz w:val="20"/>
                <w:szCs w:val="20"/>
              </w:rPr>
              <w:t>/Target 3</w:t>
            </w:r>
          </w:p>
        </w:tc>
        <w:tc>
          <w:tcPr>
            <w:tcW w:w="3589" w:type="dxa"/>
          </w:tcPr>
          <w:p w14:paraId="34E2A01A" w14:textId="3F1979DD" w:rsidR="002F3FA0" w:rsidRPr="003B5B54" w:rsidRDefault="002F3FA0" w:rsidP="002F3FA0">
            <w:pPr>
              <w:pStyle w:val="NormalWeb"/>
              <w:shd w:val="clear" w:color="auto" w:fill="FFFFFF"/>
              <w:spacing w:before="0" w:beforeAutospacing="0" w:after="0" w:afterAutospacing="0"/>
              <w:rPr>
                <w:rFonts w:ascii="Roboto" w:hAnsi="Roboto"/>
                <w:sz w:val="21"/>
                <w:szCs w:val="21"/>
              </w:rPr>
            </w:pPr>
            <w:r w:rsidRPr="003B5B54">
              <w:rPr>
                <w:rFonts w:ascii="Roboto" w:hAnsi="Roboto"/>
                <w:sz w:val="21"/>
                <w:szCs w:val="21"/>
              </w:rPr>
              <w:t>Proof-read your work carefully before submitting to improve clarity of expression.</w:t>
            </w:r>
          </w:p>
          <w:p w14:paraId="2659078D" w14:textId="77777777" w:rsidR="00105D46" w:rsidRPr="003B5B54" w:rsidRDefault="00105D46" w:rsidP="00AE1A4C">
            <w:pPr>
              <w:pStyle w:val="AssignBody"/>
            </w:pPr>
          </w:p>
        </w:tc>
        <w:tc>
          <w:tcPr>
            <w:tcW w:w="3589" w:type="dxa"/>
          </w:tcPr>
          <w:p w14:paraId="1FEDD524" w14:textId="587D72EB" w:rsidR="00105D46" w:rsidRDefault="00FE4B55" w:rsidP="00AE1A4C">
            <w:pPr>
              <w:pStyle w:val="AssignBody"/>
            </w:pPr>
            <w:r>
              <w:t>Can be seen throughout.</w:t>
            </w:r>
          </w:p>
        </w:tc>
      </w:tr>
    </w:tbl>
    <w:p w14:paraId="45E34BBD" w14:textId="77777777" w:rsidR="002229F0" w:rsidRDefault="002229F0" w:rsidP="00E611D9">
      <w:pPr>
        <w:pStyle w:val="AssignBody"/>
      </w:pPr>
    </w:p>
    <w:p w14:paraId="4EB529A2" w14:textId="77777777" w:rsidR="00751E44" w:rsidRDefault="00751E44" w:rsidP="00E611D9">
      <w:pPr>
        <w:pStyle w:val="AssignBody"/>
      </w:pPr>
    </w:p>
    <w:p w14:paraId="792A0883" w14:textId="77BF26DD" w:rsidR="005E38D6" w:rsidRDefault="005E38D6" w:rsidP="00C3247A">
      <w:pPr>
        <w:pStyle w:val="AssignBody"/>
        <w:rPr>
          <w:b/>
          <w:bCs/>
          <w:sz w:val="28"/>
          <w:szCs w:val="28"/>
          <w:u w:val="single"/>
        </w:rPr>
      </w:pPr>
    </w:p>
    <w:p w14:paraId="52601E9B" w14:textId="5CCBC3D2" w:rsidR="00C3247A" w:rsidRDefault="00C3247A" w:rsidP="00C3247A">
      <w:pPr>
        <w:pStyle w:val="AssignBody"/>
        <w:rPr>
          <w:b/>
          <w:bCs/>
          <w:sz w:val="28"/>
          <w:szCs w:val="28"/>
        </w:rPr>
      </w:pPr>
      <w:r>
        <w:rPr>
          <w:b/>
          <w:bCs/>
          <w:sz w:val="28"/>
          <w:szCs w:val="28"/>
          <w:u w:val="single"/>
        </w:rPr>
        <w:t>Name:</w:t>
      </w:r>
      <w:r>
        <w:rPr>
          <w:b/>
          <w:bCs/>
          <w:sz w:val="28"/>
          <w:szCs w:val="28"/>
        </w:rPr>
        <w:t xml:space="preserve"> </w:t>
      </w:r>
      <w:r w:rsidRPr="00C3247A">
        <w:rPr>
          <w:b/>
          <w:bCs/>
          <w:sz w:val="28"/>
          <w:szCs w:val="28"/>
        </w:rPr>
        <w:t>Amelia Harwood</w:t>
      </w:r>
    </w:p>
    <w:p w14:paraId="499DBCF4" w14:textId="4434AAB0" w:rsidR="001E686E" w:rsidRPr="001E686E" w:rsidRDefault="001E686E" w:rsidP="00C3247A">
      <w:pPr>
        <w:pStyle w:val="AssignBody"/>
        <w:rPr>
          <w:b/>
          <w:bCs/>
          <w:sz w:val="28"/>
          <w:szCs w:val="28"/>
          <w:u w:val="single"/>
        </w:rPr>
      </w:pPr>
      <w:r>
        <w:rPr>
          <w:b/>
          <w:bCs/>
          <w:sz w:val="28"/>
          <w:szCs w:val="28"/>
          <w:u w:val="single"/>
        </w:rPr>
        <w:t>Student ID:</w:t>
      </w:r>
      <w:r w:rsidRPr="00C3247A">
        <w:rPr>
          <w:b/>
          <w:bCs/>
          <w:sz w:val="28"/>
          <w:szCs w:val="28"/>
        </w:rPr>
        <w:t xml:space="preserve"> 1900806</w:t>
      </w:r>
    </w:p>
    <w:p w14:paraId="2324D803" w14:textId="7B42F28E" w:rsidR="00FE4420" w:rsidRDefault="00FE4420" w:rsidP="00C3247A">
      <w:pPr>
        <w:pStyle w:val="AssignBody"/>
        <w:rPr>
          <w:rStyle w:val="cf01"/>
          <w:rFonts w:ascii="Arial" w:hAnsi="Arial" w:cs="Arial"/>
          <w:b/>
          <w:bCs/>
          <w:sz w:val="28"/>
          <w:szCs w:val="28"/>
        </w:rPr>
      </w:pPr>
      <w:r>
        <w:rPr>
          <w:b/>
          <w:bCs/>
          <w:sz w:val="28"/>
          <w:szCs w:val="28"/>
          <w:u w:val="single"/>
        </w:rPr>
        <w:t>Research Question</w:t>
      </w:r>
      <w:r w:rsidR="00C3247A">
        <w:rPr>
          <w:b/>
          <w:bCs/>
          <w:sz w:val="28"/>
          <w:szCs w:val="28"/>
          <w:u w:val="single"/>
        </w:rPr>
        <w:t>:</w:t>
      </w:r>
      <w:r w:rsidR="00C3247A" w:rsidRPr="00C3247A">
        <w:rPr>
          <w:b/>
          <w:bCs/>
          <w:sz w:val="28"/>
          <w:szCs w:val="28"/>
        </w:rPr>
        <w:t xml:space="preserve"> </w:t>
      </w:r>
      <w:r w:rsidR="00C3247A" w:rsidRPr="00C3247A">
        <w:rPr>
          <w:rStyle w:val="cf01"/>
          <w:rFonts w:ascii="Arial" w:hAnsi="Arial" w:cs="Arial"/>
          <w:b/>
          <w:bCs/>
          <w:sz w:val="28"/>
          <w:szCs w:val="28"/>
        </w:rPr>
        <w:t>What is the relationship between scaffolding and student confidence to complete independent learning tasks?</w:t>
      </w:r>
    </w:p>
    <w:p w14:paraId="3AAD0BC7" w14:textId="07AD9E3A" w:rsidR="0034790D" w:rsidRDefault="0034790D" w:rsidP="00C3247A">
      <w:pPr>
        <w:pStyle w:val="AssignBody"/>
        <w:rPr>
          <w:b/>
          <w:bCs/>
          <w:sz w:val="28"/>
          <w:szCs w:val="28"/>
          <w:u w:val="single"/>
        </w:rPr>
      </w:pPr>
      <w:r w:rsidRPr="00981E8C">
        <w:rPr>
          <w:rStyle w:val="cf01"/>
          <w:rFonts w:ascii="Arial" w:hAnsi="Arial" w:cs="Arial"/>
          <w:b/>
          <w:bCs/>
          <w:sz w:val="28"/>
          <w:szCs w:val="28"/>
          <w:u w:val="single"/>
        </w:rPr>
        <w:t>Word Count:</w:t>
      </w:r>
      <w:r>
        <w:rPr>
          <w:rStyle w:val="cf01"/>
          <w:rFonts w:ascii="Arial" w:hAnsi="Arial" w:cs="Arial"/>
          <w:b/>
          <w:bCs/>
          <w:sz w:val="28"/>
          <w:szCs w:val="28"/>
        </w:rPr>
        <w:t xml:space="preserve"> </w:t>
      </w:r>
      <w:r w:rsidR="00981E8C">
        <w:rPr>
          <w:rStyle w:val="cf01"/>
          <w:rFonts w:ascii="Arial" w:hAnsi="Arial" w:cs="Arial"/>
          <w:b/>
          <w:bCs/>
          <w:sz w:val="28"/>
          <w:szCs w:val="28"/>
        </w:rPr>
        <w:t>4892</w:t>
      </w:r>
    </w:p>
    <w:p w14:paraId="6EFDD32B" w14:textId="2CF18F59" w:rsidR="005E38D6" w:rsidRDefault="00FE4420" w:rsidP="00FE4420">
      <w:pPr>
        <w:pStyle w:val="AssignBody"/>
        <w:tabs>
          <w:tab w:val="left" w:pos="5114"/>
        </w:tabs>
      </w:pPr>
      <w:r>
        <w:tab/>
      </w:r>
    </w:p>
    <w:p w14:paraId="77E84AAC" w14:textId="77777777" w:rsidR="00CF147B" w:rsidRDefault="00CF147B" w:rsidP="00E611D9">
      <w:pPr>
        <w:pStyle w:val="AssignBody"/>
      </w:pPr>
    </w:p>
    <w:p w14:paraId="5E2C9098" w14:textId="609995D2" w:rsidR="007237E0" w:rsidRDefault="001931B6" w:rsidP="002B63A1">
      <w:pPr>
        <w:pStyle w:val="AssignHeader"/>
      </w:pPr>
      <w:r>
        <w:t xml:space="preserve">ECAD6010 </w:t>
      </w:r>
      <w:r w:rsidR="007237E0">
        <w:t>Cycle</w:t>
      </w:r>
      <w:r w:rsidR="00064348">
        <w:t xml:space="preserve"> </w:t>
      </w:r>
      <w:r w:rsidR="007237E0">
        <w:t>3: Professional and Pedagogic Studies Learning: Researching the Learning: what, how, and why am I teaching?</w:t>
      </w:r>
    </w:p>
    <w:p w14:paraId="337B77DA" w14:textId="4687AE0A" w:rsidR="002B63A1" w:rsidRPr="007237E0" w:rsidRDefault="002B63A1" w:rsidP="002B63A1">
      <w:pPr>
        <w:pStyle w:val="AssignHeader"/>
        <w:rPr>
          <w:rStyle w:val="AssignSubHeaderChar"/>
          <w:b/>
          <w:bCs/>
          <w:u w:val="none"/>
        </w:rPr>
      </w:pPr>
      <w:r w:rsidRPr="007237E0">
        <w:rPr>
          <w:rStyle w:val="AssignSubHeaderChar"/>
          <w:b/>
          <w:bCs/>
          <w:u w:val="none"/>
        </w:rPr>
        <w:t>An exploratory case study arising from practice (noticing) and investigated further through identified research tools. The assignment concludes with the identification of an intervention which can be piloted throughout Professional Teaching Experience and evidenced through reflection in the Professional Learning Standards (professional learning standards).</w:t>
      </w:r>
    </w:p>
    <w:p w14:paraId="7D95DADE" w14:textId="77777777" w:rsidR="00691938" w:rsidRDefault="00691938" w:rsidP="00CD1240">
      <w:pPr>
        <w:pStyle w:val="AssignBody"/>
      </w:pPr>
    </w:p>
    <w:p w14:paraId="389E986C" w14:textId="77777777" w:rsidR="00792903" w:rsidRDefault="00792903" w:rsidP="00717604">
      <w:pPr>
        <w:pStyle w:val="AssignBody"/>
        <w:rPr>
          <w:b/>
          <w:bCs/>
        </w:rPr>
      </w:pPr>
    </w:p>
    <w:p w14:paraId="29B7D2E2" w14:textId="1A731B31" w:rsidR="00E0328D" w:rsidRPr="00E0328D" w:rsidRDefault="00E0328D" w:rsidP="00717604">
      <w:pPr>
        <w:pStyle w:val="AssignBody"/>
        <w:rPr>
          <w:b/>
          <w:bCs/>
          <w:sz w:val="24"/>
          <w:szCs w:val="24"/>
          <w:u w:val="single"/>
        </w:rPr>
      </w:pPr>
      <w:r>
        <w:rPr>
          <w:b/>
          <w:bCs/>
          <w:sz w:val="24"/>
          <w:szCs w:val="24"/>
          <w:u w:val="single"/>
        </w:rPr>
        <w:t>Introduction</w:t>
      </w:r>
    </w:p>
    <w:p w14:paraId="27B4BCEE" w14:textId="66A1010A" w:rsidR="005D7DA3" w:rsidRPr="009C2990" w:rsidRDefault="00792903" w:rsidP="009C2990">
      <w:pPr>
        <w:pStyle w:val="AssignBody"/>
      </w:pPr>
      <w:r w:rsidRPr="009C2990">
        <w:t xml:space="preserve">The aim of this essay is to </w:t>
      </w:r>
      <w:r w:rsidR="00E626BD" w:rsidRPr="009C2990">
        <w:t>explore the findings of a close</w:t>
      </w:r>
      <w:r w:rsidR="003E625C" w:rsidRPr="009C2990">
        <w:t>-</w:t>
      </w:r>
      <w:r w:rsidR="00E626BD" w:rsidRPr="009C2990">
        <w:t>to</w:t>
      </w:r>
      <w:r w:rsidR="003E625C" w:rsidRPr="009C2990">
        <w:t>-</w:t>
      </w:r>
      <w:r w:rsidR="00E626BD" w:rsidRPr="009C2990">
        <w:t>practice research project</w:t>
      </w:r>
      <w:r w:rsidR="003E625C" w:rsidRPr="009C2990">
        <w:t xml:space="preserve"> that hopes to uncover the </w:t>
      </w:r>
      <w:r w:rsidR="00765C10" w:rsidRPr="009C2990">
        <w:t>effects</w:t>
      </w:r>
      <w:r w:rsidR="003E625C" w:rsidRPr="009C2990">
        <w:t xml:space="preserve"> of scaffolding</w:t>
      </w:r>
      <w:r w:rsidR="00E626BD" w:rsidRPr="009C2990">
        <w:t xml:space="preserve"> </w:t>
      </w:r>
      <w:r w:rsidR="00765C10" w:rsidRPr="009C2990">
        <w:t>on pupil confidence when completing independent learning activities. On arrival to my placement class, it was immediately apparent that the pupils</w:t>
      </w:r>
      <w:r w:rsidR="007E0434" w:rsidRPr="009C2990">
        <w:t xml:space="preserve"> </w:t>
      </w:r>
      <w:r w:rsidR="00EB0F69" w:rsidRPr="009C2990">
        <w:t xml:space="preserve">were struggling to engage with activities that had been set up within the independent learning area. </w:t>
      </w:r>
      <w:r w:rsidR="00866DAD" w:rsidRPr="009C2990">
        <w:t xml:space="preserve">After some discussions with my class mentors, it was clear that student engagement and confidence with independent learning had been an ongoing issue within the class and </w:t>
      </w:r>
      <w:r w:rsidR="00B567A8" w:rsidRPr="009C2990">
        <w:t>was raising concerns for the teachers.</w:t>
      </w:r>
      <w:r w:rsidR="00BC71CD" w:rsidRPr="009C2990">
        <w:t xml:space="preserve"> In addition to this, </w:t>
      </w:r>
      <w:r w:rsidR="00CA0B20" w:rsidRPr="009C2990">
        <w:t xml:space="preserve">Welsh Government (2015) discusses Professor Donaldson’s view that </w:t>
      </w:r>
      <w:r w:rsidR="0018674B" w:rsidRPr="009C2990">
        <w:t xml:space="preserve">practitioners should be encouraging children to take responsibility for their own learning. </w:t>
      </w:r>
      <w:r w:rsidR="00813FF6" w:rsidRPr="009C2990">
        <w:t>Providing pupils with opportunities for foster their own initiative and work indepen</w:t>
      </w:r>
      <w:r w:rsidR="00C96EC0" w:rsidRPr="009C2990">
        <w:t xml:space="preserve">dently </w:t>
      </w:r>
      <w:r w:rsidR="006E294D" w:rsidRPr="009C2990">
        <w:t>encourages</w:t>
      </w:r>
      <w:r w:rsidR="00C96EC0" w:rsidRPr="009C2990">
        <w:t xml:space="preserve"> learners to take responsibility for their learnin</w:t>
      </w:r>
      <w:r w:rsidR="00BB7E56" w:rsidRPr="009C2990">
        <w:t>g (Ludlow, 2014</w:t>
      </w:r>
      <w:r w:rsidR="002F02EA" w:rsidRPr="009C2990">
        <w:t>). Therefore</w:t>
      </w:r>
      <w:r w:rsidR="00BC71CD" w:rsidRPr="009C2990">
        <w:t>,</w:t>
      </w:r>
      <w:r w:rsidR="00866DAD" w:rsidRPr="009C2990">
        <w:t xml:space="preserve"> </w:t>
      </w:r>
      <w:r w:rsidR="009A220F" w:rsidRPr="009C2990">
        <w:t>to successfu</w:t>
      </w:r>
      <w:r w:rsidR="00BC226D" w:rsidRPr="009C2990">
        <w:t>l</w:t>
      </w:r>
      <w:r w:rsidR="00030BBC" w:rsidRPr="009C2990">
        <w:t>ly scaffol</w:t>
      </w:r>
      <w:r w:rsidR="006E59D9" w:rsidRPr="009C2990">
        <w:t>d</w:t>
      </w:r>
      <w:r w:rsidR="00BC226D" w:rsidRPr="009C2990">
        <w:t xml:space="preserve"> </w:t>
      </w:r>
      <w:r w:rsidR="006E59D9" w:rsidRPr="009C2990">
        <w:t>these</w:t>
      </w:r>
      <w:r w:rsidR="009A220F" w:rsidRPr="009C2990">
        <w:t xml:space="preserve"> independent learning</w:t>
      </w:r>
      <w:r w:rsidR="001866CB" w:rsidRPr="009C2990">
        <w:t xml:space="preserve"> activities, it became a priority of mine to undertake research and find pathways to improve these </w:t>
      </w:r>
      <w:r w:rsidR="00B17297" w:rsidRPr="009C2990">
        <w:t>learners’</w:t>
      </w:r>
      <w:r w:rsidR="001866CB" w:rsidRPr="009C2990">
        <w:t xml:space="preserve"> experiences. </w:t>
      </w:r>
    </w:p>
    <w:p w14:paraId="6B4958EA" w14:textId="5D325C29" w:rsidR="00B17297" w:rsidRPr="00AD70A3" w:rsidRDefault="005D7DA3" w:rsidP="00AD70A3">
      <w:pPr>
        <w:pStyle w:val="AssignBody"/>
      </w:pPr>
      <w:r w:rsidRPr="00AD70A3">
        <w:t xml:space="preserve">My research question is “What is the relationship between scaffolding and student confidence to complete independent learning tasks?”. </w:t>
      </w:r>
      <w:r w:rsidR="0048601A" w:rsidRPr="00AD70A3">
        <w:t>This research topic links well with the QTS Standard of</w:t>
      </w:r>
      <w:r w:rsidR="001108D2" w:rsidRPr="00AD70A3">
        <w:t xml:space="preserve"> </w:t>
      </w:r>
      <w:r w:rsidR="00FE4B55">
        <w:t>‘</w:t>
      </w:r>
      <w:r w:rsidR="001108D2" w:rsidRPr="00AD70A3">
        <w:t xml:space="preserve">sustained effort and resilience in </w:t>
      </w:r>
      <w:proofErr w:type="gramStart"/>
      <w:r w:rsidR="002016F6" w:rsidRPr="00AD70A3">
        <w:t>learners</w:t>
      </w:r>
      <w:r w:rsidR="002016F6">
        <w:t>’</w:t>
      </w:r>
      <w:proofErr w:type="gramEnd"/>
      <w:r w:rsidR="002016F6">
        <w:t>. T</w:t>
      </w:r>
      <w:r w:rsidR="00D61F91" w:rsidRPr="00AD70A3">
        <w:t>his</w:t>
      </w:r>
      <w:r w:rsidR="00182B68" w:rsidRPr="00AD70A3">
        <w:t xml:space="preserve"> research aims to develop </w:t>
      </w:r>
      <w:r w:rsidR="002016F6">
        <w:t>an</w:t>
      </w:r>
      <w:r w:rsidR="00BA1869" w:rsidRPr="00AD70A3">
        <w:t xml:space="preserve"> understanding of how scaffolding techniques can improve </w:t>
      </w:r>
      <w:r w:rsidR="00AD70A3" w:rsidRPr="00AD70A3">
        <w:t>students’</w:t>
      </w:r>
      <w:r w:rsidR="00BA1869" w:rsidRPr="00AD70A3">
        <w:t xml:space="preserve"> confidence to engage with </w:t>
      </w:r>
      <w:r w:rsidR="00FE4B55" w:rsidRPr="00AD70A3">
        <w:t>activities</w:t>
      </w:r>
      <w:r w:rsidR="00BA1869" w:rsidRPr="00AD70A3">
        <w:t xml:space="preserve">. Therefore, </w:t>
      </w:r>
      <w:r w:rsidR="00B17390" w:rsidRPr="00AD70A3">
        <w:t>it</w:t>
      </w:r>
      <w:r w:rsidR="00D916C6" w:rsidRPr="00AD70A3">
        <w:t xml:space="preserve"> is a necessity</w:t>
      </w:r>
      <w:r w:rsidR="00535E34" w:rsidRPr="00AD70A3">
        <w:t xml:space="preserve"> and beneficial</w:t>
      </w:r>
      <w:r w:rsidR="00D916C6" w:rsidRPr="00AD70A3">
        <w:t xml:space="preserve"> to support learners to develop </w:t>
      </w:r>
      <w:r w:rsidR="00535E34" w:rsidRPr="00AD70A3">
        <w:t xml:space="preserve">their </w:t>
      </w:r>
      <w:r w:rsidR="00D916C6" w:rsidRPr="00AD70A3">
        <w:t>self-motivation and self-direction skills</w:t>
      </w:r>
      <w:r w:rsidR="00D61F91" w:rsidRPr="00AD70A3">
        <w:t>.</w:t>
      </w:r>
    </w:p>
    <w:p w14:paraId="361CAE2C" w14:textId="2C1EEF36" w:rsidR="00792903" w:rsidRDefault="001866CB" w:rsidP="00AD70A3">
      <w:pPr>
        <w:pStyle w:val="AssignBody"/>
      </w:pPr>
      <w:r w:rsidRPr="00AD70A3">
        <w:t xml:space="preserve">For context purposes, </w:t>
      </w:r>
      <w:r w:rsidR="00E44FBA" w:rsidRPr="00AD70A3">
        <w:t>the school in question</w:t>
      </w:r>
      <w:r w:rsidR="00FB328E" w:rsidRPr="00AD70A3">
        <w:t xml:space="preserve"> has around 497 pupils who currently attend the school</w:t>
      </w:r>
      <w:r w:rsidR="00EA09A2" w:rsidRPr="00AD70A3">
        <w:t>, these pupils are split across either 2 or 3 classes for each year group</w:t>
      </w:r>
      <w:r w:rsidR="00ED3F31" w:rsidRPr="00AD70A3">
        <w:t xml:space="preserve"> (My Local School, 2022).</w:t>
      </w:r>
      <w:r w:rsidR="00FA4D57" w:rsidRPr="00AD70A3">
        <w:t xml:space="preserve"> </w:t>
      </w:r>
      <w:r w:rsidR="00226422" w:rsidRPr="00AD70A3">
        <w:t xml:space="preserve">Additionally, </w:t>
      </w:r>
      <w:r w:rsidR="00FA4D57" w:rsidRPr="00AD70A3">
        <w:t>7.4% of these pupils are acknowledged as eligible for free school meals which is significantly lower than the national average of</w:t>
      </w:r>
      <w:r w:rsidR="00D319E0" w:rsidRPr="00AD70A3">
        <w:t xml:space="preserve"> 23%</w:t>
      </w:r>
      <w:r w:rsidR="00B701A8" w:rsidRPr="00AD70A3">
        <w:t xml:space="preserve"> (My Local School, 2022).</w:t>
      </w:r>
      <w:r w:rsidR="00B17297" w:rsidRPr="00AD70A3">
        <w:t xml:space="preserve"> </w:t>
      </w:r>
      <w:r w:rsidR="00D929AA" w:rsidRPr="00AD70A3">
        <w:t xml:space="preserve">The class engages in a </w:t>
      </w:r>
      <w:r w:rsidR="005658B5" w:rsidRPr="00AD70A3">
        <w:t>four-way</w:t>
      </w:r>
      <w:r w:rsidR="00D929AA" w:rsidRPr="00AD70A3">
        <w:t xml:space="preserve"> rotation system which incorporates two adult supported </w:t>
      </w:r>
      <w:r w:rsidR="002E5392" w:rsidRPr="00AD70A3">
        <w:t xml:space="preserve">focus groups and two </w:t>
      </w:r>
      <w:r w:rsidR="00A36A11" w:rsidRPr="00AD70A3">
        <w:t>groups who work independently developing skills based on prior learning. These groups are rotated fairly throughout the week so that each child accesses equal opp</w:t>
      </w:r>
      <w:r w:rsidR="00F77C6B" w:rsidRPr="00AD70A3">
        <w:t>ortunities to learn independently and with the support of a teacher or LSA.</w:t>
      </w:r>
    </w:p>
    <w:p w14:paraId="5E6D1CA8" w14:textId="25B1B9BD" w:rsidR="00AD70A3" w:rsidRDefault="00AD70A3" w:rsidP="00AD70A3">
      <w:pPr>
        <w:pStyle w:val="AssignBody"/>
      </w:pPr>
    </w:p>
    <w:p w14:paraId="122BC36F" w14:textId="4B78941A" w:rsidR="00AD70A3" w:rsidRPr="00AD70A3" w:rsidRDefault="00AD70A3" w:rsidP="00AD70A3">
      <w:pPr>
        <w:pStyle w:val="AssignSubHeader"/>
        <w:rPr>
          <w:sz w:val="24"/>
          <w:szCs w:val="20"/>
          <w:u w:val="single"/>
        </w:rPr>
      </w:pPr>
      <w:r w:rsidRPr="00AD70A3">
        <w:rPr>
          <w:sz w:val="24"/>
          <w:szCs w:val="20"/>
          <w:u w:val="single"/>
        </w:rPr>
        <w:t>Literature Review</w:t>
      </w:r>
    </w:p>
    <w:p w14:paraId="1BE0CED7" w14:textId="2524F637" w:rsidR="00300831" w:rsidRDefault="00300831" w:rsidP="004648AC">
      <w:pPr>
        <w:pStyle w:val="AssignBody"/>
      </w:pPr>
      <w:r>
        <w:t xml:space="preserve">Firstly, it feels important to </w:t>
      </w:r>
      <w:r w:rsidR="000D238C">
        <w:t xml:space="preserve">point </w:t>
      </w:r>
      <w:r>
        <w:t>out the key topics within my research</w:t>
      </w:r>
      <w:r w:rsidR="000D238C">
        <w:t xml:space="preserve">, </w:t>
      </w:r>
      <w:proofErr w:type="gramStart"/>
      <w:r w:rsidR="00FE4B55">
        <w:t>namely</w:t>
      </w:r>
      <w:r w:rsidR="00C96FEC">
        <w:t>;</w:t>
      </w:r>
      <w:proofErr w:type="gramEnd"/>
      <w:r w:rsidR="000D238C">
        <w:t xml:space="preserve"> scaffolding, pupil confidence and independent learning.</w:t>
      </w:r>
      <w:r w:rsidR="002C2C57">
        <w:t xml:space="preserve"> Scaffolding</w:t>
      </w:r>
      <w:r w:rsidR="00150032">
        <w:t xml:space="preserve"> young children can be described as supporting</w:t>
      </w:r>
      <w:r w:rsidR="00CE33CE">
        <w:t xml:space="preserve"> learners and building steps into their learning to</w:t>
      </w:r>
      <w:r w:rsidR="00685DF2">
        <w:t xml:space="preserve"> guide their actions. Scaffolding also involves </w:t>
      </w:r>
      <w:r w:rsidR="00CA3C6B">
        <w:t xml:space="preserve">monitoring and minimising barriers which </w:t>
      </w:r>
      <w:r w:rsidR="00E44EE3">
        <w:t>may</w:t>
      </w:r>
      <w:r w:rsidR="00CA3C6B">
        <w:t xml:space="preserve"> interfere with a child’s </w:t>
      </w:r>
      <w:r w:rsidR="001828DE">
        <w:lastRenderedPageBreak/>
        <w:t>progression</w:t>
      </w:r>
      <w:r w:rsidR="00E44EE3" w:rsidRPr="00E44EE3">
        <w:t xml:space="preserve"> </w:t>
      </w:r>
      <w:r w:rsidR="00E44EE3">
        <w:t>(</w:t>
      </w:r>
      <w:r w:rsidR="00E44EE3" w:rsidRPr="001828DE">
        <w:t>Peralta. et al</w:t>
      </w:r>
      <w:r w:rsidR="00E44EE3">
        <w:t>,</w:t>
      </w:r>
      <w:r w:rsidR="00E44EE3" w:rsidRPr="001828DE">
        <w:t> 2013)</w:t>
      </w:r>
      <w:r w:rsidR="001828DE">
        <w:t>.</w:t>
      </w:r>
      <w:r w:rsidR="000F3734">
        <w:t xml:space="preserve"> Rodgers</w:t>
      </w:r>
      <w:r w:rsidR="00BA5C68">
        <w:t>.</w:t>
      </w:r>
      <w:r w:rsidR="000F3734">
        <w:t xml:space="preserve"> et al. (2016)</w:t>
      </w:r>
      <w:r w:rsidR="00BA5C68">
        <w:t xml:space="preserve"> discusses the view that, for scaffolding to be effective, the teacher must be competent in </w:t>
      </w:r>
      <w:r w:rsidR="000A4ABD">
        <w:t>understanding how to succeed within the task whilst also having a good understanding</w:t>
      </w:r>
      <w:r w:rsidR="007C36C1">
        <w:t xml:space="preserve"> idea of what the learner is already capable of. This explains that the efficacy of scaffolding could be subject to the confidence</w:t>
      </w:r>
      <w:r w:rsidR="002E314B">
        <w:t xml:space="preserve"> of the teacher</w:t>
      </w:r>
      <w:r w:rsidR="007C36C1">
        <w:t xml:space="preserve"> and </w:t>
      </w:r>
      <w:r w:rsidR="002E314B">
        <w:t xml:space="preserve">familiarity of the learners with the teacher. </w:t>
      </w:r>
      <w:r w:rsidR="003D59FD">
        <w:t xml:space="preserve">However, this viewpoint is </w:t>
      </w:r>
      <w:r w:rsidR="003A78E4">
        <w:t>broad</w:t>
      </w:r>
      <w:r w:rsidR="003D59FD">
        <w:t xml:space="preserve"> and assumes that all pupils will perform in the same way with effective scaffolding. </w:t>
      </w:r>
      <w:r w:rsidR="00B570B5">
        <w:t>Another view</w:t>
      </w:r>
      <w:r w:rsidR="00A74F45">
        <w:t xml:space="preserve"> discusses that contemporary research acknowledges that the context of the learn</w:t>
      </w:r>
      <w:r w:rsidR="00B53A03">
        <w:t xml:space="preserve">ing has an impact on the necessary scaffolding. Oshiro. et al. (2019) accepts that </w:t>
      </w:r>
      <w:r w:rsidR="007E1100">
        <w:t xml:space="preserve">although </w:t>
      </w:r>
      <w:r w:rsidR="00FD31F0">
        <w:t>scaffolding should</w:t>
      </w:r>
      <w:r w:rsidR="007E1100">
        <w:t xml:space="preserve"> be catering to the demands of a particular learning sit</w:t>
      </w:r>
      <w:r w:rsidR="005A556E">
        <w:t xml:space="preserve">uation, </w:t>
      </w:r>
      <w:r w:rsidR="00842796">
        <w:t>there is importance in</w:t>
      </w:r>
      <w:r w:rsidR="00DE12CE">
        <w:t xml:space="preserve"> </w:t>
      </w:r>
      <w:r w:rsidR="001B1C42">
        <w:t>understand</w:t>
      </w:r>
      <w:r w:rsidR="00457946">
        <w:t>ing</w:t>
      </w:r>
      <w:r w:rsidR="001B1C42">
        <w:t xml:space="preserve"> </w:t>
      </w:r>
      <w:r w:rsidR="00DE12CE">
        <w:t xml:space="preserve">the key principle of the metaphoric “scaffolding”. </w:t>
      </w:r>
      <w:r w:rsidR="000866BA">
        <w:t>The metaphor of scaffolding describes</w:t>
      </w:r>
      <w:r w:rsidR="001B1C42">
        <w:t xml:space="preserve"> breaking down or chan</w:t>
      </w:r>
      <w:r w:rsidR="00372623">
        <w:t>ging the division of the learning to support the needs of the learning</w:t>
      </w:r>
      <w:r w:rsidR="00FC0973">
        <w:t>.</w:t>
      </w:r>
      <w:r w:rsidR="00EE503A">
        <w:t xml:space="preserve"> From experience, it has become clear th</w:t>
      </w:r>
      <w:r w:rsidR="004538E2">
        <w:t xml:space="preserve">at the context of different classroom environments, </w:t>
      </w:r>
      <w:r w:rsidR="002218CC">
        <w:t xml:space="preserve">personalities of learners and the context of the learning activities can impact on the amount of scaffolding that learners require. </w:t>
      </w:r>
      <w:r w:rsidR="00493147">
        <w:t xml:space="preserve">Furthermore, </w:t>
      </w:r>
      <w:r w:rsidR="004648AC">
        <w:t>Vygotsky</w:t>
      </w:r>
      <w:r w:rsidR="00696B9A">
        <w:t>’s</w:t>
      </w:r>
      <w:r w:rsidR="004648AC">
        <w:t xml:space="preserve"> (1978)</w:t>
      </w:r>
      <w:r w:rsidR="006407F3">
        <w:t xml:space="preserve"> theory of the </w:t>
      </w:r>
      <w:r w:rsidR="0014093A">
        <w:t>Z</w:t>
      </w:r>
      <w:r w:rsidR="006407F3">
        <w:t xml:space="preserve">one of </w:t>
      </w:r>
      <w:r w:rsidR="0014093A">
        <w:t>P</w:t>
      </w:r>
      <w:r w:rsidR="006407F3">
        <w:t xml:space="preserve">roximal </w:t>
      </w:r>
      <w:r w:rsidR="0014093A">
        <w:t>D</w:t>
      </w:r>
      <w:r w:rsidR="006407F3">
        <w:t xml:space="preserve">evelopment </w:t>
      </w:r>
      <w:r w:rsidR="00DB013F">
        <w:t xml:space="preserve">protrudes </w:t>
      </w:r>
      <w:r w:rsidR="00A7229C">
        <w:t xml:space="preserve">the </w:t>
      </w:r>
      <w:r w:rsidR="002A0D77">
        <w:t xml:space="preserve">concept of pupil’s learning from </w:t>
      </w:r>
      <w:r w:rsidR="000E46A8">
        <w:t>a</w:t>
      </w:r>
      <w:r w:rsidR="002A0D77">
        <w:t xml:space="preserve"> more</w:t>
      </w:r>
      <w:r w:rsidR="000E46A8">
        <w:t xml:space="preserve"> experienced adult or peer. His theory continues that when children are</w:t>
      </w:r>
      <w:r w:rsidR="00546904">
        <w:t xml:space="preserve"> using </w:t>
      </w:r>
      <w:r w:rsidR="008941EC">
        <w:t xml:space="preserve">exactly the </w:t>
      </w:r>
      <w:r w:rsidR="00546904">
        <w:t xml:space="preserve">skills and knowledge they have previously developed </w:t>
      </w:r>
      <w:r w:rsidR="00031AEF">
        <w:t xml:space="preserve">without assistance, </w:t>
      </w:r>
      <w:r w:rsidR="00546904">
        <w:t xml:space="preserve">they </w:t>
      </w:r>
      <w:r w:rsidR="008941EC">
        <w:t>are not learning much at all</w:t>
      </w:r>
      <w:r w:rsidR="002A6D96">
        <w:t xml:space="preserve"> (Vygotsky, 1978)</w:t>
      </w:r>
      <w:r w:rsidR="00031AEF">
        <w:t>. Therefore,</w:t>
      </w:r>
      <w:r w:rsidR="008941EC">
        <w:t xml:space="preserve"> for children to be </w:t>
      </w:r>
      <w:r w:rsidR="004B04FD">
        <w:t>achieving their full learning potential</w:t>
      </w:r>
      <w:r w:rsidR="00204E41">
        <w:t>,</w:t>
      </w:r>
      <w:r w:rsidR="004B04FD">
        <w:t xml:space="preserve"> they should be using these skills with an additional element of challenge. </w:t>
      </w:r>
    </w:p>
    <w:p w14:paraId="0EF4803C" w14:textId="32BBBEBC" w:rsidR="001E2767" w:rsidRDefault="001E2767" w:rsidP="005C6BBC">
      <w:pPr>
        <w:pStyle w:val="AssignBody"/>
      </w:pPr>
      <w:r>
        <w:t xml:space="preserve">Learner’s confidence </w:t>
      </w:r>
      <w:r w:rsidR="00240D3A">
        <w:t xml:space="preserve">is </w:t>
      </w:r>
      <w:r w:rsidR="00BC4D7E">
        <w:t>another key factor within this</w:t>
      </w:r>
      <w:r w:rsidR="002A2D8F">
        <w:t xml:space="preserve"> research. Robinson (2014) </w:t>
      </w:r>
      <w:r w:rsidR="00E918E3">
        <w:t>provides the theory that a child’s resilience within an activity is directly linked to their feelings towards it.</w:t>
      </w:r>
      <w:r w:rsidR="00960447">
        <w:t xml:space="preserve"> This suggests that when a pupil is insecure or lacks confidence within a particular area </w:t>
      </w:r>
      <w:r w:rsidR="0005768A">
        <w:t xml:space="preserve">of learning they </w:t>
      </w:r>
      <w:r w:rsidR="00C34D55">
        <w:t>may</w:t>
      </w:r>
      <w:r w:rsidR="0005768A">
        <w:t xml:space="preserve"> show less perseverance</w:t>
      </w:r>
      <w:r w:rsidR="00914526">
        <w:t xml:space="preserve"> </w:t>
      </w:r>
      <w:r w:rsidR="0005768A">
        <w:t>towards the activity.</w:t>
      </w:r>
      <w:r w:rsidR="00727DCC" w:rsidRPr="00727DCC">
        <w:t xml:space="preserve"> </w:t>
      </w:r>
      <w:r w:rsidR="00727DCC">
        <w:t xml:space="preserve">Humble and Dixon (2017) </w:t>
      </w:r>
      <w:r w:rsidR="0030672B">
        <w:t xml:space="preserve">discuss </w:t>
      </w:r>
      <w:r w:rsidR="009E68CE">
        <w:t xml:space="preserve">within </w:t>
      </w:r>
      <w:r w:rsidR="0030672B">
        <w:t>their research findings</w:t>
      </w:r>
      <w:r w:rsidR="009E68CE">
        <w:t>;</w:t>
      </w:r>
      <w:r w:rsidR="0030672B">
        <w:t xml:space="preserve"> that girls tend to be more likely to have </w:t>
      </w:r>
      <w:r w:rsidR="00FE4B55">
        <w:t>self-confidence</w:t>
      </w:r>
      <w:r w:rsidR="0030672B">
        <w:t xml:space="preserve"> and a more positive attitude towards learning. </w:t>
      </w:r>
      <w:r w:rsidR="009E68CE">
        <w:t xml:space="preserve">This appears to be an interesting comparison and it poses the question of whether gender can have an impact of confidence and the type of scaffolding that may be required. </w:t>
      </w:r>
      <w:r w:rsidR="00BA3205">
        <w:t xml:space="preserve">It has also been recognised that an increase in child </w:t>
      </w:r>
      <w:r w:rsidR="0093093D">
        <w:t>directed learning equipment can have a positive impact on student confidence and wellbeing (</w:t>
      </w:r>
      <w:proofErr w:type="spellStart"/>
      <w:r w:rsidR="0093093D">
        <w:t>Mcphee</w:t>
      </w:r>
      <w:proofErr w:type="spellEnd"/>
      <w:r w:rsidR="00A32F96">
        <w:t xml:space="preserve">. et al, 2012). This could suggest that </w:t>
      </w:r>
      <w:r w:rsidR="00F1146A">
        <w:t>pupils</w:t>
      </w:r>
      <w:r w:rsidR="00A32F96">
        <w:t xml:space="preserve"> who struggle to </w:t>
      </w:r>
      <w:r w:rsidR="005435DB">
        <w:t xml:space="preserve">have the confidence in completing activities could require alternative resources to empower </w:t>
      </w:r>
      <w:r w:rsidR="002A710D">
        <w:t>these young people to foster self-direction and motivation.</w:t>
      </w:r>
      <w:r w:rsidR="005C6BBC">
        <w:t xml:space="preserve"> </w:t>
      </w:r>
      <w:proofErr w:type="spellStart"/>
      <w:r w:rsidR="005C6BBC">
        <w:t>Juteau</w:t>
      </w:r>
      <w:proofErr w:type="spellEnd"/>
      <w:r w:rsidR="005C6BBC">
        <w:t xml:space="preserve"> et al. (2019) </w:t>
      </w:r>
      <w:r w:rsidR="00C024BC">
        <w:t>also offers to importance of consider</w:t>
      </w:r>
      <w:r w:rsidR="0042151D">
        <w:t xml:space="preserve">ing boredom, </w:t>
      </w:r>
      <w:proofErr w:type="gramStart"/>
      <w:r w:rsidR="0042151D">
        <w:t>fatigue</w:t>
      </w:r>
      <w:proofErr w:type="gramEnd"/>
      <w:r w:rsidR="0042151D">
        <w:t xml:space="preserve"> and overload of information in young children</w:t>
      </w:r>
      <w:r w:rsidR="00EB200C">
        <w:t xml:space="preserve"> which can sometimes be misunderstood as a lack of confidence. In </w:t>
      </w:r>
      <w:r w:rsidR="006E1EE0">
        <w:t>response</w:t>
      </w:r>
      <w:r w:rsidR="00EB200C">
        <w:t xml:space="preserve"> to this, it seems adequate to suggest that factors such as fatigue, hunger</w:t>
      </w:r>
      <w:r w:rsidR="006077D9">
        <w:t xml:space="preserve"> and</w:t>
      </w:r>
      <w:r w:rsidR="00EB200C">
        <w:t xml:space="preserve"> overstimulation can be a cause of anxiety in young children which </w:t>
      </w:r>
      <w:r w:rsidR="006077D9">
        <w:t>could</w:t>
      </w:r>
      <w:r w:rsidR="00EB200C">
        <w:t xml:space="preserve"> certainly </w:t>
      </w:r>
      <w:r w:rsidR="006077D9">
        <w:t>hinder student’s confidence. Th</w:t>
      </w:r>
      <w:r w:rsidR="000E4913">
        <w:t>erefore, it is important to keep these factors in consideration when making judgements on pupils confidence and engagement levels</w:t>
      </w:r>
      <w:r w:rsidR="007D6D70">
        <w:t>.</w:t>
      </w:r>
    </w:p>
    <w:p w14:paraId="6D7CEDE2" w14:textId="3D77562B" w:rsidR="00792903" w:rsidRPr="008017D8" w:rsidRDefault="009C59DB" w:rsidP="00717604">
      <w:pPr>
        <w:pStyle w:val="AssignBody"/>
      </w:pPr>
      <w:r>
        <w:lastRenderedPageBreak/>
        <w:t>Prior to the introduction of Curriculum for Wales</w:t>
      </w:r>
      <w:r w:rsidR="00C10F48">
        <w:t xml:space="preserve"> 2022, the Foundation Phase provision </w:t>
      </w:r>
      <w:r w:rsidR="00801ACB">
        <w:t xml:space="preserve">relied heavily on the use of continuous and enhanced provision which prompted </w:t>
      </w:r>
      <w:r w:rsidR="00F30134">
        <w:t xml:space="preserve">use skills and knowledge that had previously </w:t>
      </w:r>
      <w:r w:rsidR="00FE540F">
        <w:t xml:space="preserve">been </w:t>
      </w:r>
      <w:r w:rsidR="00952F09">
        <w:t xml:space="preserve">used across different areas of the classroom. This provision </w:t>
      </w:r>
      <w:r w:rsidR="003F7135">
        <w:t xml:space="preserve">was mostly child-initiated </w:t>
      </w:r>
      <w:r w:rsidR="00FE540F">
        <w:t>apart from</w:t>
      </w:r>
      <w:r w:rsidR="003F7135">
        <w:t xml:space="preserve"> additional support being provided where necessary. Taylor, Rhys and Waldron (2016) reviewed the </w:t>
      </w:r>
      <w:r w:rsidR="001758D6">
        <w:t>implementation of the new curriculum and found that</w:t>
      </w:r>
      <w:r w:rsidR="000658F8">
        <w:t>,</w:t>
      </w:r>
      <w:r w:rsidR="00777D11">
        <w:t xml:space="preserve"> despite the foundation phase guidance suggesting that continuous provision should be the most </w:t>
      </w:r>
      <w:r w:rsidR="00AC107E">
        <w:t xml:space="preserve">prominent </w:t>
      </w:r>
      <w:r w:rsidR="000658F8">
        <w:t>provision</w:t>
      </w:r>
      <w:r w:rsidR="00F84F13">
        <w:t>,</w:t>
      </w:r>
      <w:r w:rsidR="000658F8">
        <w:t xml:space="preserve"> </w:t>
      </w:r>
      <w:r w:rsidR="007A4F93">
        <w:t xml:space="preserve">practitioners on the whole felt that direct teaching was the most efficient method of developing </w:t>
      </w:r>
      <w:r w:rsidR="00ED586A">
        <w:t>core</w:t>
      </w:r>
      <w:r w:rsidR="007A4F93">
        <w:t xml:space="preserve"> skills.</w:t>
      </w:r>
      <w:r w:rsidR="00472121">
        <w:t xml:space="preserve"> This suggests that practitioners </w:t>
      </w:r>
      <w:r w:rsidR="0037394A">
        <w:t>lack trust in the effic</w:t>
      </w:r>
      <w:r w:rsidR="00296E2F">
        <w:t xml:space="preserve">acy of independent learning and feel that pupils </w:t>
      </w:r>
      <w:r w:rsidR="00AF2981">
        <w:t>need more didactic</w:t>
      </w:r>
      <w:r w:rsidR="00CE2BF4">
        <w:t xml:space="preserve"> </w:t>
      </w:r>
      <w:r w:rsidR="009A2F59">
        <w:t xml:space="preserve">methods to support full development </w:t>
      </w:r>
      <w:r w:rsidR="00ED586A">
        <w:t>of these</w:t>
      </w:r>
      <w:r w:rsidR="009A2F59">
        <w:t xml:space="preserve"> </w:t>
      </w:r>
      <w:r w:rsidR="0006237F">
        <w:t>skills.</w:t>
      </w:r>
      <w:r w:rsidR="00D84E2B">
        <w:t xml:space="preserve"> In </w:t>
      </w:r>
      <w:r w:rsidR="00312340">
        <w:t>support</w:t>
      </w:r>
      <w:r w:rsidR="00D84E2B">
        <w:t xml:space="preserve"> </w:t>
      </w:r>
      <w:r w:rsidR="00312340">
        <w:t>of</w:t>
      </w:r>
      <w:r w:rsidR="00D84E2B">
        <w:t xml:space="preserve"> this, Welsh Government (2017) addressed the </w:t>
      </w:r>
      <w:r w:rsidR="00F43AD4">
        <w:t>introduction of the Literacy and Numeracy Framework (LNF) and how it could be used</w:t>
      </w:r>
      <w:r w:rsidR="002F7A47">
        <w:t xml:space="preserve"> in conjunction with play-focussed and child-directed provision. </w:t>
      </w:r>
      <w:r w:rsidR="00F013D1">
        <w:t>Although Welsh Government acknowledges that Numeracy and Literacy skills are still a priority as cross curricular learning themes</w:t>
      </w:r>
      <w:r w:rsidR="00912E12">
        <w:t>; they also</w:t>
      </w:r>
      <w:r w:rsidR="00BC6414">
        <w:t xml:space="preserve"> suggest that children should be</w:t>
      </w:r>
      <w:r w:rsidR="004E29A7">
        <w:t xml:space="preserve"> given opportunities to make choices as an independent learner. Furthermore, </w:t>
      </w:r>
      <w:r w:rsidR="006303A7">
        <w:t>it is also suggested that teachers avoid formal teaching methods and focus on observing pupils</w:t>
      </w:r>
      <w:r w:rsidR="003C700B">
        <w:t xml:space="preserve"> to evaluate impact and prepare future provision</w:t>
      </w:r>
      <w:r w:rsidR="00A25755">
        <w:t xml:space="preserve"> (Welsh Government, 2017)</w:t>
      </w:r>
      <w:r w:rsidR="003C700B">
        <w:t>.</w:t>
      </w:r>
      <w:r w:rsidR="00A25755">
        <w:t xml:space="preserve"> This provides an interesting argument</w:t>
      </w:r>
      <w:r w:rsidR="00A41A7F">
        <w:t xml:space="preserve"> which </w:t>
      </w:r>
      <w:r w:rsidR="006A0D75">
        <w:t>encourages this research to investigate the reality of attempting to implement these suggestions.</w:t>
      </w:r>
    </w:p>
    <w:p w14:paraId="51347CCB" w14:textId="77777777" w:rsidR="004A3F2E" w:rsidRDefault="004A3F2E" w:rsidP="00717604">
      <w:pPr>
        <w:pStyle w:val="AssignBody"/>
        <w:rPr>
          <w:b/>
          <w:bCs/>
        </w:rPr>
      </w:pPr>
    </w:p>
    <w:p w14:paraId="5A761579" w14:textId="31FF4F09" w:rsidR="00A127DD" w:rsidRDefault="00A127DD" w:rsidP="00717604">
      <w:pPr>
        <w:pStyle w:val="AssignBody"/>
        <w:rPr>
          <w:b/>
          <w:bCs/>
          <w:u w:val="single"/>
        </w:rPr>
      </w:pPr>
      <w:r w:rsidRPr="001008FE">
        <w:rPr>
          <w:b/>
          <w:bCs/>
          <w:u w:val="single"/>
        </w:rPr>
        <w:t>Explanation</w:t>
      </w:r>
      <w:r w:rsidR="001008FE" w:rsidRPr="001008FE">
        <w:rPr>
          <w:b/>
          <w:bCs/>
          <w:u w:val="single"/>
        </w:rPr>
        <w:t xml:space="preserve"> of</w:t>
      </w:r>
      <w:r w:rsidRPr="001008FE">
        <w:rPr>
          <w:b/>
          <w:bCs/>
          <w:u w:val="single"/>
        </w:rPr>
        <w:t xml:space="preserve"> Case </w:t>
      </w:r>
      <w:r w:rsidR="001008FE" w:rsidRPr="001008FE">
        <w:rPr>
          <w:b/>
          <w:bCs/>
          <w:u w:val="single"/>
        </w:rPr>
        <w:t>S</w:t>
      </w:r>
      <w:r w:rsidRPr="001008FE">
        <w:rPr>
          <w:b/>
          <w:bCs/>
          <w:u w:val="single"/>
        </w:rPr>
        <w:t>t</w:t>
      </w:r>
      <w:r w:rsidR="001008FE" w:rsidRPr="001008FE">
        <w:rPr>
          <w:b/>
          <w:bCs/>
          <w:u w:val="single"/>
        </w:rPr>
        <w:t>udy</w:t>
      </w:r>
    </w:p>
    <w:p w14:paraId="0E2692E9" w14:textId="48BBD57C" w:rsidR="004E4F31" w:rsidRDefault="002A6BA7" w:rsidP="00A3253A">
      <w:pPr>
        <w:pStyle w:val="AssignBody"/>
      </w:pPr>
      <w:r>
        <w:t xml:space="preserve">This research project compiles a close-to-practice case study </w:t>
      </w:r>
      <w:r w:rsidR="00E07DBF">
        <w:t xml:space="preserve">based within the context of my </w:t>
      </w:r>
      <w:r w:rsidR="00C46E34">
        <w:t>placement class for my final year of student teaching practice</w:t>
      </w:r>
      <w:r w:rsidR="00F66FA4">
        <w:t>. A case study has the capacity to review both qu</w:t>
      </w:r>
      <w:r w:rsidR="00E65F55">
        <w:t>alitive and quantitative research methods</w:t>
      </w:r>
      <w:r w:rsidR="00902CAE">
        <w:t xml:space="preserve"> and tend to focus on a specific subject within</w:t>
      </w:r>
      <w:r w:rsidR="00B8463C">
        <w:t xml:space="preserve"> a particular environment</w:t>
      </w:r>
      <w:r w:rsidR="00771618">
        <w:t xml:space="preserve"> (Cohen. et al, 2018</w:t>
      </w:r>
      <w:r w:rsidR="00090291">
        <w:t>)</w:t>
      </w:r>
      <w:r w:rsidR="00B8463C">
        <w:t>.</w:t>
      </w:r>
      <w:r w:rsidR="00090291">
        <w:t xml:space="preserve"> It should be </w:t>
      </w:r>
      <w:r w:rsidR="00601271">
        <w:t>acknowledged</w:t>
      </w:r>
      <w:r w:rsidR="00090291">
        <w:t xml:space="preserve"> that this research project is a comparatively small</w:t>
      </w:r>
      <w:r w:rsidR="00836F9D">
        <w:t>-scale</w:t>
      </w:r>
      <w:r w:rsidR="00090291">
        <w:t xml:space="preserve"> research study based</w:t>
      </w:r>
      <w:r w:rsidR="003D4FB7">
        <w:t xml:space="preserve"> on the impact of scaffolding on pupil confidence to engage independently </w:t>
      </w:r>
      <w:r w:rsidR="00836F9D">
        <w:t>with activities.</w:t>
      </w:r>
      <w:r w:rsidR="00FF75AD">
        <w:t xml:space="preserve"> In additional, this research cannot account for any comparisons within </w:t>
      </w:r>
      <w:r w:rsidR="002942F4">
        <w:t>different education settings as this research is based entirely within one classroom context.</w:t>
      </w:r>
      <w:r w:rsidR="00836F9D">
        <w:t xml:space="preserve"> Therefore, it is fair to accept that</w:t>
      </w:r>
      <w:r w:rsidR="002942F4">
        <w:t xml:space="preserve"> this case study’s validity </w:t>
      </w:r>
      <w:r w:rsidR="00C63E3B">
        <w:t xml:space="preserve">could be hindered by a lack of </w:t>
      </w:r>
      <w:r w:rsidR="00F01442">
        <w:t xml:space="preserve">external, </w:t>
      </w:r>
      <w:r w:rsidR="00136E29">
        <w:t>comparative evidence between multiple educational settings</w:t>
      </w:r>
      <w:r w:rsidR="008A0D2F">
        <w:t xml:space="preserve"> (Cohen. et al, 2018)</w:t>
      </w:r>
      <w:r w:rsidR="00136E29">
        <w:t xml:space="preserve">. However, on the other hand, it is important to acknowledge the benefit of a </w:t>
      </w:r>
      <w:r w:rsidR="00516D50">
        <w:t>small-scale</w:t>
      </w:r>
      <w:r w:rsidR="00136E29">
        <w:t xml:space="preserve"> research</w:t>
      </w:r>
      <w:r w:rsidR="0014677F">
        <w:t xml:space="preserve"> study as it can focus more specifically on </w:t>
      </w:r>
      <w:r w:rsidR="00516D50">
        <w:t xml:space="preserve">individual learner’s experience. </w:t>
      </w:r>
      <w:r w:rsidR="007A2856" w:rsidRPr="007A2856">
        <w:t>McAteer</w:t>
      </w:r>
      <w:r w:rsidR="007A2856">
        <w:t xml:space="preserve"> (</w:t>
      </w:r>
      <w:r w:rsidR="007A2856" w:rsidRPr="007A2856">
        <w:t>2013</w:t>
      </w:r>
      <w:r w:rsidR="007A2856">
        <w:t xml:space="preserve">) </w:t>
      </w:r>
      <w:r w:rsidR="004A375E">
        <w:t>discusses</w:t>
      </w:r>
      <w:r w:rsidR="007A2856">
        <w:t xml:space="preserve"> the </w:t>
      </w:r>
      <w:r w:rsidR="004A375E">
        <w:t>benefit of case studies</w:t>
      </w:r>
      <w:r w:rsidR="00BD5122">
        <w:t xml:space="preserve"> being able to explore the opportunities </w:t>
      </w:r>
      <w:r w:rsidR="00854B9D">
        <w:t>to adapt and improve</w:t>
      </w:r>
      <w:r w:rsidR="007A2856" w:rsidRPr="007A2856">
        <w:t> </w:t>
      </w:r>
      <w:r w:rsidR="00854B9D">
        <w:t xml:space="preserve">in real learning environments. This is certainly </w:t>
      </w:r>
      <w:r w:rsidR="00F02D47">
        <w:t>encouraged</w:t>
      </w:r>
      <w:r w:rsidR="00854B9D">
        <w:t xml:space="preserve"> within the</w:t>
      </w:r>
      <w:r w:rsidR="00277117">
        <w:t xml:space="preserve"> QTS Standa</w:t>
      </w:r>
      <w:r w:rsidR="00814894">
        <w:t xml:space="preserve">rd </w:t>
      </w:r>
      <w:r w:rsidR="00FF4E15">
        <w:t xml:space="preserve">of “Wider </w:t>
      </w:r>
      <w:r w:rsidR="00F02D47">
        <w:t>Reading</w:t>
      </w:r>
      <w:r w:rsidR="00FF4E15">
        <w:t xml:space="preserve"> and </w:t>
      </w:r>
      <w:r w:rsidR="00F02D47">
        <w:t xml:space="preserve">Research </w:t>
      </w:r>
      <w:r w:rsidR="00FF4E15">
        <w:t>Findings”</w:t>
      </w:r>
      <w:r w:rsidR="00F02D47">
        <w:t xml:space="preserve"> within the Professional Learning strand (Welsh Government, 2019). This standard sets expectations for all practitioners to make decisions based on </w:t>
      </w:r>
      <w:r w:rsidR="008A7942">
        <w:t xml:space="preserve">educational </w:t>
      </w:r>
      <w:r w:rsidR="008A7942">
        <w:lastRenderedPageBreak/>
        <w:t xml:space="preserve">literature, theories and research. Therefore, completing close to practice research provides </w:t>
      </w:r>
      <w:r w:rsidR="00494D2B">
        <w:t xml:space="preserve">educational research for other practitioners and </w:t>
      </w:r>
      <w:r w:rsidR="00C23EE1">
        <w:t>builds on the knowledge and experience of</w:t>
      </w:r>
      <w:r w:rsidR="00494D2B">
        <w:t xml:space="preserve"> the </w:t>
      </w:r>
      <w:r w:rsidR="00C23EE1">
        <w:t xml:space="preserve">practitioner who is completing the research. Furthermore, the findings of this case study </w:t>
      </w:r>
      <w:r w:rsidR="000B6932">
        <w:t>will</w:t>
      </w:r>
      <w:r w:rsidR="00C23EE1">
        <w:t xml:space="preserve"> </w:t>
      </w:r>
      <w:r w:rsidR="000B6932">
        <w:t xml:space="preserve">support my continued practice within this class and provide specific </w:t>
      </w:r>
      <w:r w:rsidR="00130771">
        <w:t>and focussed results that</w:t>
      </w:r>
      <w:r w:rsidR="00143903">
        <w:t xml:space="preserve"> are needed to find efficient solutions</w:t>
      </w:r>
      <w:r w:rsidR="0036715B">
        <w:t xml:space="preserve"> and improvement strategies</w:t>
      </w:r>
      <w:r w:rsidR="00143903">
        <w:t xml:space="preserve">. </w:t>
      </w:r>
      <w:proofErr w:type="spellStart"/>
      <w:r w:rsidR="00A3253A" w:rsidRPr="00A3253A">
        <w:t>Camerino</w:t>
      </w:r>
      <w:proofErr w:type="spellEnd"/>
      <w:r w:rsidR="00A3253A" w:rsidRPr="00A3253A">
        <w:t xml:space="preserve">, </w:t>
      </w:r>
      <w:proofErr w:type="spellStart"/>
      <w:r w:rsidR="00A3253A" w:rsidRPr="00A3253A">
        <w:t>Castaner</w:t>
      </w:r>
      <w:proofErr w:type="spellEnd"/>
      <w:r w:rsidR="00A3253A" w:rsidRPr="00A3253A">
        <w:t xml:space="preserve"> &amp; </w:t>
      </w:r>
      <w:proofErr w:type="spellStart"/>
      <w:r w:rsidR="00A3253A" w:rsidRPr="00A3253A">
        <w:t>Anguera</w:t>
      </w:r>
      <w:proofErr w:type="spellEnd"/>
      <w:r w:rsidR="00A3253A" w:rsidRPr="00A3253A">
        <w:t xml:space="preserve"> </w:t>
      </w:r>
      <w:r w:rsidR="00A3253A">
        <w:t>(</w:t>
      </w:r>
      <w:r w:rsidR="00A3253A" w:rsidRPr="00A3253A">
        <w:t>2012</w:t>
      </w:r>
      <w:r w:rsidR="00A3253A">
        <w:t>) offer another positive view that a</w:t>
      </w:r>
      <w:r w:rsidR="00036A88">
        <w:t xml:space="preserve"> case study, as a mixed-method research type, can produce a more holistic</w:t>
      </w:r>
      <w:r w:rsidR="00401DA3">
        <w:t xml:space="preserve"> view of human behaviour. This seems parti</w:t>
      </w:r>
      <w:r w:rsidR="00EC5C09">
        <w:t xml:space="preserve">cularly relevant within </w:t>
      </w:r>
      <w:r w:rsidR="00D82FF7">
        <w:t xml:space="preserve">the context of research with young children as they </w:t>
      </w:r>
      <w:r w:rsidR="00B81CBB">
        <w:t>can be very impulsive and unpredictable particularly when their activity is not monitored by a focus practitioner. Therefore, it is important to attempt to gain a holistic view of the learners</w:t>
      </w:r>
      <w:r w:rsidR="00FF4C3F">
        <w:t xml:space="preserve"> and discover their true experiences.</w:t>
      </w:r>
    </w:p>
    <w:p w14:paraId="68DE715E" w14:textId="5BCDE02D" w:rsidR="00AF6562" w:rsidRDefault="007B2629" w:rsidP="00A3253A">
      <w:pPr>
        <w:pStyle w:val="AssignBody"/>
      </w:pPr>
      <w:r>
        <w:t xml:space="preserve">The participants within this research project are </w:t>
      </w:r>
      <w:r w:rsidR="00302DDB">
        <w:t>5- and 6-year-old</w:t>
      </w:r>
      <w:r w:rsidR="008E224E">
        <w:t xml:space="preserve"> children who are currently working within the boundaries of progression steps 1 and 2</w:t>
      </w:r>
      <w:r w:rsidR="00AF3B12">
        <w:t xml:space="preserve">. </w:t>
      </w:r>
      <w:r w:rsidR="005F2B4F">
        <w:t xml:space="preserve">The pupils involved in this study </w:t>
      </w:r>
      <w:r w:rsidR="0084114A">
        <w:t xml:space="preserve">have parental consent forms to ensure their parents were happy for them to </w:t>
      </w:r>
      <w:r w:rsidR="00002441">
        <w:t>participate</w:t>
      </w:r>
      <w:r w:rsidR="0084114A">
        <w:t xml:space="preserve">. Any pupils who did not return the consent form were removed from the random selection of participants, </w:t>
      </w:r>
      <w:r w:rsidR="00AF3B12">
        <w:t xml:space="preserve">The class context includes </w:t>
      </w:r>
      <w:r w:rsidR="0079414D">
        <w:t>several</w:t>
      </w:r>
      <w:r w:rsidR="00AF3B12">
        <w:t xml:space="preserve"> children with additional learning needs</w:t>
      </w:r>
      <w:r w:rsidR="00FA07F8">
        <w:t xml:space="preserve">, these children will be represented within this research project and will not be specifically highlighted during data analysis. This is because it is important that these pupils are included within the general classroom context and their experiences are </w:t>
      </w:r>
      <w:r w:rsidR="00F00344">
        <w:t>considered just as equally as their peers. However, it seems important to acknowledge that some</w:t>
      </w:r>
      <w:r w:rsidR="00BC6AD0">
        <w:t xml:space="preserve"> of</w:t>
      </w:r>
      <w:r w:rsidR="00F00344">
        <w:t xml:space="preserve"> pupils </w:t>
      </w:r>
      <w:r w:rsidR="00BC6AD0">
        <w:t xml:space="preserve">with additional learning needs can struggle with communication </w:t>
      </w:r>
      <w:r w:rsidR="009C483E">
        <w:t xml:space="preserve">and processing. Therefore, additional resources and reasonable adjustments were made to support their participation within the research. </w:t>
      </w:r>
      <w:r w:rsidR="0079414D">
        <w:t>To</w:t>
      </w:r>
      <w:r w:rsidR="009C483E">
        <w:t xml:space="preserve"> ensure my research participants were representative of the class, a random selection of pupils</w:t>
      </w:r>
      <w:r w:rsidR="00A40EDC">
        <w:t xml:space="preserve"> was completed. The four research groups for both the interview and the observations remained the same; four children from each of the four</w:t>
      </w:r>
      <w:r w:rsidR="00B35FAD">
        <w:t xml:space="preserve"> mixed-ability</w:t>
      </w:r>
      <w:r w:rsidR="00A40EDC">
        <w:t xml:space="preserve"> learning groups were selected</w:t>
      </w:r>
      <w:r w:rsidR="00B35FAD">
        <w:t xml:space="preserve"> </w:t>
      </w:r>
      <w:r w:rsidR="005F2B4F">
        <w:t>participate.</w:t>
      </w:r>
      <w:r w:rsidR="00002441">
        <w:t xml:space="preserve"> </w:t>
      </w:r>
      <w:r w:rsidR="00D27250">
        <w:t xml:space="preserve">This made organising observations and </w:t>
      </w:r>
      <w:r w:rsidR="00AB75F8">
        <w:t>interviews much simpler as the pupils were already working in the same areas of the classroom.</w:t>
      </w:r>
      <w:r w:rsidR="00307DE4">
        <w:t xml:space="preserve"> Once the participants were selected at random, it was ensured that </w:t>
      </w:r>
      <w:r w:rsidR="00E659EA">
        <w:t xml:space="preserve">there were </w:t>
      </w:r>
      <w:r w:rsidR="0079414D">
        <w:t>enough</w:t>
      </w:r>
      <w:r w:rsidR="00E659EA">
        <w:t xml:space="preserve"> female and male participants and a range of </w:t>
      </w:r>
      <w:r w:rsidR="00B55606">
        <w:t xml:space="preserve">attainment abilities to make appropriate comparisons if </w:t>
      </w:r>
      <w:r w:rsidR="007E74F0">
        <w:t>necessary,</w:t>
      </w:r>
      <w:r w:rsidR="00B55606">
        <w:t xml:space="preserve"> during data analysis. </w:t>
      </w:r>
      <w:r w:rsidR="00630A74">
        <w:t>No groups needed amending as the groups allowed for these comparisons to be made.</w:t>
      </w:r>
    </w:p>
    <w:p w14:paraId="227531B0" w14:textId="77777777" w:rsidR="005D366F" w:rsidRDefault="005D366F" w:rsidP="00A3253A">
      <w:pPr>
        <w:pStyle w:val="AssignBody"/>
      </w:pPr>
    </w:p>
    <w:p w14:paraId="6AAF6D61" w14:textId="4DF78144" w:rsidR="005D366F" w:rsidRPr="005D366F" w:rsidRDefault="005D366F" w:rsidP="00A3253A">
      <w:pPr>
        <w:pStyle w:val="AssignBody"/>
        <w:rPr>
          <w:b/>
          <w:bCs/>
          <w:u w:val="single"/>
        </w:rPr>
      </w:pPr>
      <w:r>
        <w:rPr>
          <w:b/>
          <w:bCs/>
          <w:u w:val="single"/>
        </w:rPr>
        <w:t>Research Methods</w:t>
      </w:r>
    </w:p>
    <w:p w14:paraId="3DD8BCDA" w14:textId="117E64CC" w:rsidR="008440BA" w:rsidRDefault="002E1B9B" w:rsidP="00717604">
      <w:pPr>
        <w:pStyle w:val="AssignBody"/>
      </w:pPr>
      <w:r>
        <w:t>This research project</w:t>
      </w:r>
      <w:r w:rsidR="00455FE8">
        <w:t xml:space="preserve"> draws on mi</w:t>
      </w:r>
      <w:r w:rsidR="00382C31">
        <w:t xml:space="preserve">xed-methods data derived from the findings of classroom observations, pupil group interviews and a professional teacher questionnaire. The </w:t>
      </w:r>
      <w:r w:rsidR="000E2D0F">
        <w:t xml:space="preserve">data sourced from these research methods aims to explore the </w:t>
      </w:r>
      <w:r w:rsidR="00DC6E03">
        <w:t xml:space="preserve">efficacy of adult scaffolding on pupils’ confidence to engage in activities independently. </w:t>
      </w:r>
      <w:r w:rsidR="00A82096">
        <w:t>It is widely</w:t>
      </w:r>
      <w:r w:rsidR="00DA5FDB">
        <w:t xml:space="preserve"> </w:t>
      </w:r>
      <w:r w:rsidR="00FE4B55">
        <w:t>acknowledged</w:t>
      </w:r>
      <w:r w:rsidR="00DA5FDB">
        <w:t xml:space="preserve"> that there </w:t>
      </w:r>
      <w:r w:rsidR="00DA5FDB">
        <w:lastRenderedPageBreak/>
        <w:t xml:space="preserve">seems to be an overreliance on quantitative data </w:t>
      </w:r>
      <w:r w:rsidR="00FB59C6">
        <w:t xml:space="preserve">in the context of educational research. Attainment </w:t>
      </w:r>
      <w:r w:rsidR="008B10A4">
        <w:t>grades</w:t>
      </w:r>
      <w:r w:rsidR="00FB7D6C">
        <w:t xml:space="preserve">, attendance data, </w:t>
      </w:r>
      <w:r w:rsidR="00A71BF7">
        <w:t xml:space="preserve">eligibility </w:t>
      </w:r>
      <w:r w:rsidR="008B10A4">
        <w:t>for</w:t>
      </w:r>
      <w:r w:rsidR="00A71BF7">
        <w:t xml:space="preserve"> free school meals, percentage of additional learning needs</w:t>
      </w:r>
      <w:r w:rsidR="003A7707">
        <w:t xml:space="preserve">; are just a few of the </w:t>
      </w:r>
      <w:r w:rsidR="00893F34">
        <w:t xml:space="preserve">quantitative data </w:t>
      </w:r>
      <w:r w:rsidR="002B3830">
        <w:t xml:space="preserve">examples </w:t>
      </w:r>
      <w:r w:rsidR="00893F34">
        <w:t>that we are encouraged to assess</w:t>
      </w:r>
      <w:r w:rsidR="001A6129">
        <w:t xml:space="preserve"> regularly</w:t>
      </w:r>
      <w:r w:rsidR="00893F34">
        <w:t xml:space="preserve"> as educational practitioners. However, it is important that we consider</w:t>
      </w:r>
      <w:r w:rsidR="00A35955">
        <w:t xml:space="preserve"> the impact that this data is </w:t>
      </w:r>
      <w:r w:rsidR="00ED007B">
        <w:t>having</w:t>
      </w:r>
      <w:r w:rsidR="00A35955">
        <w:t xml:space="preserve"> and </w:t>
      </w:r>
      <w:r w:rsidR="006E5A65">
        <w:t xml:space="preserve">whether it </w:t>
      </w:r>
      <w:r w:rsidR="006B316C">
        <w:t>supports</w:t>
      </w:r>
      <w:r w:rsidR="006E5A65">
        <w:t xml:space="preserve"> </w:t>
      </w:r>
      <w:r w:rsidR="008B10A4">
        <w:t xml:space="preserve">teachers to fully understand </w:t>
      </w:r>
      <w:r w:rsidR="001A6129">
        <w:t>learners’</w:t>
      </w:r>
      <w:r w:rsidR="008B10A4">
        <w:t xml:space="preserve"> experiences. </w:t>
      </w:r>
      <w:r w:rsidR="00D16899" w:rsidRPr="00D16899">
        <w:t>Moffatt. et al. (2006)</w:t>
      </w:r>
      <w:r w:rsidR="00381C54">
        <w:t xml:space="preserve"> shed light on the </w:t>
      </w:r>
      <w:r w:rsidR="00ED007B">
        <w:t xml:space="preserve">debate that is commonly discussed between the benefits and drawbacks of qualitative and quantitative data. They promote the view that despite </w:t>
      </w:r>
      <w:r w:rsidR="00465CEF">
        <w:t>there</w:t>
      </w:r>
      <w:r w:rsidR="00ED007B">
        <w:t xml:space="preserve"> being clear differences between the two data types, they should be viewed as complimentary of each other and not </w:t>
      </w:r>
      <w:r w:rsidR="00251E4D">
        <w:t xml:space="preserve">consistently seen as </w:t>
      </w:r>
      <w:r w:rsidR="00F11659">
        <w:t xml:space="preserve">opposing. </w:t>
      </w:r>
      <w:r w:rsidR="00B245F1">
        <w:t xml:space="preserve">Kalman (2019) </w:t>
      </w:r>
      <w:r w:rsidR="004A2904">
        <w:t>explores t</w:t>
      </w:r>
      <w:r w:rsidR="004A2671">
        <w:t>he experiences of novice researchers undertaking qualitati</w:t>
      </w:r>
      <w:r w:rsidR="00F61903">
        <w:t>ve research. The benefits of a mixed-methods research</w:t>
      </w:r>
      <w:r w:rsidR="00C40B1A">
        <w:t xml:space="preserve"> project are acknowledged, however, the additional</w:t>
      </w:r>
      <w:r w:rsidR="00960B81">
        <w:t>, sometimes overwhelming</w:t>
      </w:r>
      <w:r w:rsidR="00C40B1A">
        <w:t xml:space="preserve"> consideration of organisation</w:t>
      </w:r>
      <w:r w:rsidR="004739C7">
        <w:t xml:space="preserve"> and preparation for qualitative data is also </w:t>
      </w:r>
      <w:r w:rsidR="00EE5808">
        <w:t xml:space="preserve">reviewed (Kalman, 2019). </w:t>
      </w:r>
      <w:r w:rsidR="00234DB6">
        <w:t>The</w:t>
      </w:r>
      <w:r w:rsidR="00F673B8">
        <w:t>refore, it is understandable that despite qualitative data being more time consuming and reliant on preparation</w:t>
      </w:r>
      <w:r w:rsidR="004450D3">
        <w:t xml:space="preserve">, it is still worth combining both qualitative and quantitative research methods </w:t>
      </w:r>
      <w:r w:rsidR="0079414D">
        <w:t>to</w:t>
      </w:r>
      <w:r w:rsidR="004450D3">
        <w:t xml:space="preserve"> gain the best quality research results.</w:t>
      </w:r>
    </w:p>
    <w:p w14:paraId="179F350E" w14:textId="1861D509" w:rsidR="00601271" w:rsidRDefault="005B0548" w:rsidP="00717604">
      <w:pPr>
        <w:pStyle w:val="AssignBody"/>
      </w:pPr>
      <w:r>
        <w:t>Throughout the research period, observations were undertaken</w:t>
      </w:r>
      <w:r w:rsidR="003E4F82">
        <w:t xml:space="preserve"> to allow a full perspective to formed on the current </w:t>
      </w:r>
      <w:r w:rsidR="00751E81">
        <w:t xml:space="preserve">experiences of the learners during independent learning time. </w:t>
      </w:r>
      <w:r w:rsidR="00793038">
        <w:t>The observations undertaken within this project were non-participant, natural observations</w:t>
      </w:r>
      <w:r w:rsidR="00C90E67">
        <w:t xml:space="preserve"> which meant that the researched did not engage with the learners or guide them to behave in any </w:t>
      </w:r>
      <w:r w:rsidR="0079414D">
        <w:t>way</w:t>
      </w:r>
      <w:r w:rsidR="00C90E67">
        <w:t xml:space="preserve">. As the pupils are still </w:t>
      </w:r>
      <w:r w:rsidR="0079414D">
        <w:t>young</w:t>
      </w:r>
      <w:r w:rsidR="00D714AC">
        <w:t>,</w:t>
      </w:r>
      <w:r w:rsidR="00C90E67">
        <w:t xml:space="preserve"> the learners </w:t>
      </w:r>
      <w:r w:rsidR="002F58A7">
        <w:t>tend to take</w:t>
      </w:r>
      <w:r w:rsidR="00D714AC">
        <w:t xml:space="preserve"> a keen interest in </w:t>
      </w:r>
      <w:r w:rsidR="002F58A7">
        <w:t xml:space="preserve">anything this is out of the ordinary. Therefore, it was not explicitly announced the pupils that an observation was being undertaken </w:t>
      </w:r>
      <w:r w:rsidR="0079414D">
        <w:t>to</w:t>
      </w:r>
      <w:r w:rsidR="002F58A7">
        <w:t xml:space="preserve"> prevent a change in </w:t>
      </w:r>
      <w:r w:rsidR="00245B90">
        <w:t xml:space="preserve">typical </w:t>
      </w:r>
      <w:r w:rsidR="002F58A7">
        <w:t xml:space="preserve">behaviour </w:t>
      </w:r>
      <w:r w:rsidR="00245B90">
        <w:t>as an attempt to impress or disrupt the observer.</w:t>
      </w:r>
      <w:r w:rsidR="00E811E3">
        <w:t xml:space="preserve"> </w:t>
      </w:r>
      <w:r w:rsidR="00E42EE2">
        <w:t>It could be acknowledge</w:t>
      </w:r>
      <w:r w:rsidR="00A309BD">
        <w:t>d</w:t>
      </w:r>
      <w:r w:rsidR="00E42EE2">
        <w:t xml:space="preserve"> that taking a more</w:t>
      </w:r>
      <w:r w:rsidR="00DB26E8">
        <w:t xml:space="preserve"> structured approach to observation could have allowed </w:t>
      </w:r>
      <w:r w:rsidR="00031A44">
        <w:t xml:space="preserve">the research to encompass </w:t>
      </w:r>
      <w:r w:rsidR="00185473">
        <w:t xml:space="preserve">other </w:t>
      </w:r>
      <w:r w:rsidR="00031A44">
        <w:t>factors</w:t>
      </w:r>
      <w:r w:rsidR="00185473">
        <w:t xml:space="preserve"> (</w:t>
      </w:r>
      <w:r w:rsidR="00185473" w:rsidRPr="00DA1860">
        <w:t>Palmer. et al</w:t>
      </w:r>
      <w:r w:rsidR="00605C24">
        <w:t xml:space="preserve">., </w:t>
      </w:r>
      <w:r w:rsidR="00185473" w:rsidRPr="00DA1860">
        <w:t>2021)</w:t>
      </w:r>
      <w:r w:rsidR="00605C24">
        <w:t xml:space="preserve">, </w:t>
      </w:r>
      <w:r w:rsidR="00031A44">
        <w:t xml:space="preserve">such as the </w:t>
      </w:r>
      <w:r w:rsidR="0079414D">
        <w:t>effect</w:t>
      </w:r>
      <w:r w:rsidR="00031A44">
        <w:t xml:space="preserve"> </w:t>
      </w:r>
      <w:r w:rsidR="005324FA">
        <w:t>of the</w:t>
      </w:r>
      <w:r w:rsidR="00031A44">
        <w:t xml:space="preserve"> subject/ area of learning may have on the </w:t>
      </w:r>
      <w:r w:rsidR="00185473">
        <w:t>pupil’s</w:t>
      </w:r>
      <w:r w:rsidR="00031A44">
        <w:t xml:space="preserve"> confidence.</w:t>
      </w:r>
      <w:r w:rsidR="00A309BD">
        <w:t xml:space="preserve"> However, it was a priority to ensure the pupils were observed in their most natural </w:t>
      </w:r>
      <w:r w:rsidR="00185473">
        <w:t>situations</w:t>
      </w:r>
      <w:r w:rsidR="00A309BD">
        <w:t xml:space="preserve"> in order </w:t>
      </w:r>
      <w:r w:rsidR="00185473">
        <w:t>to provide the most accurate data.</w:t>
      </w:r>
      <w:r w:rsidR="00E42EE2">
        <w:t xml:space="preserve"> </w:t>
      </w:r>
      <w:r w:rsidR="001C2A44">
        <w:t>A structure</w:t>
      </w:r>
      <w:r w:rsidR="00F6577C">
        <w:t>d</w:t>
      </w:r>
      <w:r w:rsidR="001C2A44">
        <w:t xml:space="preserve"> observation schedule was completed for each of the observations.</w:t>
      </w:r>
      <w:r w:rsidR="00AC5A18">
        <w:t xml:space="preserve"> </w:t>
      </w:r>
      <w:r w:rsidR="00AC5A18" w:rsidRPr="00B8172A">
        <w:t>Bruce, Louis and McCall (2015)</w:t>
      </w:r>
      <w:r w:rsidR="00AC5A18">
        <w:t xml:space="preserve"> discuss that teachers can tend to limit pupils by over structuring an observation</w:t>
      </w:r>
      <w:r w:rsidR="00F915A5">
        <w:t xml:space="preserve"> and this can lead to valuable messages and opportunities being missed</w:t>
      </w:r>
      <w:r w:rsidR="004414C4">
        <w:t xml:space="preserve">. Therefore, it can also be found that the observation schedule </w:t>
      </w:r>
      <w:r w:rsidR="0075385F">
        <w:t>includes space to write additional notes regarding each participant</w:t>
      </w:r>
      <w:r w:rsidR="00DC4EA8">
        <w:t xml:space="preserve"> (See Appendix</w:t>
      </w:r>
      <w:r w:rsidR="00166FD0">
        <w:t xml:space="preserve"> 5</w:t>
      </w:r>
      <w:r w:rsidR="00DC4EA8">
        <w:t>)</w:t>
      </w:r>
      <w:r w:rsidR="0075385F">
        <w:t>.</w:t>
      </w:r>
      <w:r w:rsidR="00AC5A18" w:rsidRPr="00B8172A">
        <w:t xml:space="preserve"> </w:t>
      </w:r>
      <w:r w:rsidR="001C2A44">
        <w:t xml:space="preserve"> </w:t>
      </w:r>
      <w:r w:rsidR="00E811E3">
        <w:t xml:space="preserve">Each </w:t>
      </w:r>
      <w:r w:rsidR="00FA10CC">
        <w:t>observation</w:t>
      </w:r>
      <w:r w:rsidR="00E811E3">
        <w:t xml:space="preserve"> lasted for 30 minutes in total and involved the researcher giving each parti</w:t>
      </w:r>
      <w:r w:rsidR="008F3F9C">
        <w:t xml:space="preserve">cipant a score based on their confidence/ engagement with their task at </w:t>
      </w:r>
      <w:r w:rsidR="0079414D">
        <w:t>intervals</w:t>
      </w:r>
      <w:r w:rsidR="001C2A44">
        <w:t>.</w:t>
      </w:r>
      <w:r w:rsidR="00DC4EA8">
        <w:t xml:space="preserve"> </w:t>
      </w:r>
      <w:r w:rsidR="00B73113">
        <w:t xml:space="preserve">This score is generated based on a scale outline within the observation schedule; this </w:t>
      </w:r>
      <w:r w:rsidR="00EE1C6E">
        <w:t>scale was established with inspiration taking from the Leuven Scale</w:t>
      </w:r>
      <w:r w:rsidR="00B97665">
        <w:t xml:space="preserve"> (</w:t>
      </w:r>
      <w:proofErr w:type="spellStart"/>
      <w:r w:rsidR="00B97665" w:rsidRPr="000C0B75">
        <w:t>Laevers</w:t>
      </w:r>
      <w:proofErr w:type="spellEnd"/>
      <w:r w:rsidR="00B97665" w:rsidRPr="000C0B75">
        <w:t>,</w:t>
      </w:r>
      <w:r w:rsidR="00B97665">
        <w:t xml:space="preserve"> </w:t>
      </w:r>
      <w:r w:rsidR="00B97665" w:rsidRPr="000C0B75">
        <w:t>1994</w:t>
      </w:r>
      <w:r w:rsidR="00B97665">
        <w:t>)</w:t>
      </w:r>
      <w:r w:rsidR="00EE1C6E">
        <w:t xml:space="preserve"> and adapted to meet the </w:t>
      </w:r>
      <w:r w:rsidR="00F719C2">
        <w:t xml:space="preserve">additional </w:t>
      </w:r>
      <w:r w:rsidR="00EE1C6E">
        <w:t xml:space="preserve">expectations of the class teacher. </w:t>
      </w:r>
      <w:r w:rsidR="003A2685">
        <w:t xml:space="preserve">Inspiration was taken from the Leuven Scale </w:t>
      </w:r>
      <w:r w:rsidR="00727B85">
        <w:t xml:space="preserve">due to the opportunities it gives practitioners to gain an </w:t>
      </w:r>
      <w:r w:rsidR="00727B85">
        <w:lastRenderedPageBreak/>
        <w:t xml:space="preserve">understanding of </w:t>
      </w:r>
      <w:r w:rsidR="00632B7C">
        <w:t>learner’s</w:t>
      </w:r>
      <w:r w:rsidR="00727B85">
        <w:t xml:space="preserve"> experiences and empathise with their pupils </w:t>
      </w:r>
      <w:r w:rsidR="0044261E">
        <w:t>(</w:t>
      </w:r>
      <w:proofErr w:type="spellStart"/>
      <w:r w:rsidR="0044261E">
        <w:t>MacRae</w:t>
      </w:r>
      <w:proofErr w:type="spellEnd"/>
      <w:r w:rsidR="0044261E">
        <w:t xml:space="preserve">, and Jones, 2020). </w:t>
      </w:r>
    </w:p>
    <w:p w14:paraId="1AF19A67" w14:textId="11939E8E" w:rsidR="00607FD6" w:rsidRDefault="00607FD6" w:rsidP="00717604">
      <w:pPr>
        <w:pStyle w:val="AssignBody"/>
      </w:pPr>
      <w:r>
        <w:t>Another research method completed within this</w:t>
      </w:r>
      <w:r w:rsidR="00EC558A">
        <w:t xml:space="preserve"> research study was pupil group interview. </w:t>
      </w:r>
      <w:r w:rsidR="0061373D">
        <w:t xml:space="preserve">Interviewing children can sometimes be a daunting affair, however, </w:t>
      </w:r>
      <w:r w:rsidR="003E6DCC">
        <w:t>children can provide such rich and interesting information it would be a mistake to lose out on this opportunity.</w:t>
      </w:r>
      <w:r w:rsidR="008124D0">
        <w:t xml:space="preserve"> Interviewing children can also provide flexibility that other research methods, such as surveys, cannot. For example, interview questions can be adapted and asked in any order which provides opportunities for children to take the lead and answer questions when they are most confident and comfortable (</w:t>
      </w:r>
      <w:r w:rsidR="008124D0" w:rsidRPr="00EA70C6">
        <w:t>O′Reilly and Dogra</w:t>
      </w:r>
      <w:r w:rsidR="008124D0">
        <w:t xml:space="preserve">, </w:t>
      </w:r>
      <w:r w:rsidR="008124D0" w:rsidRPr="00EA70C6">
        <w:t>2016)</w:t>
      </w:r>
      <w:r w:rsidR="008124D0">
        <w:t xml:space="preserve">. </w:t>
      </w:r>
      <w:r w:rsidR="00D57201">
        <w:t xml:space="preserve">Furthermore, </w:t>
      </w:r>
      <w:r w:rsidR="00C326CA">
        <w:t xml:space="preserve">Magnusson. et al. (2020) </w:t>
      </w:r>
      <w:r w:rsidR="00633DB9">
        <w:t xml:space="preserve">suggests that </w:t>
      </w:r>
      <w:r w:rsidR="00D57201">
        <w:t xml:space="preserve">children’s interesting responses to interview questions may </w:t>
      </w:r>
      <w:r w:rsidR="00832146">
        <w:t xml:space="preserve">inspire future </w:t>
      </w:r>
      <w:r w:rsidR="00505ABB">
        <w:t>research ideas</w:t>
      </w:r>
      <w:r w:rsidR="00633DB9">
        <w:t xml:space="preserve"> or imply that there is a significant gap in research</w:t>
      </w:r>
      <w:r w:rsidR="00505ABB">
        <w:t>.</w:t>
      </w:r>
      <w:r w:rsidR="00633DB9">
        <w:t xml:space="preserve"> </w:t>
      </w:r>
      <w:r w:rsidR="00C610EF">
        <w:t xml:space="preserve">One potential drawback of interviewing children is that children can </w:t>
      </w:r>
      <w:r w:rsidR="004C21FA">
        <w:t xml:space="preserve">become overwhelmed by the formality of an interview and </w:t>
      </w:r>
      <w:r w:rsidR="00A25B60">
        <w:t>be very hesitant to engage with any questions (</w:t>
      </w:r>
      <w:r w:rsidR="00A25B60" w:rsidRPr="00EA70C6">
        <w:t>O′Reilly and Dogra</w:t>
      </w:r>
      <w:r w:rsidR="00A25B60">
        <w:t xml:space="preserve">, </w:t>
      </w:r>
      <w:r w:rsidR="00A25B60" w:rsidRPr="00EA70C6">
        <w:t>2016)</w:t>
      </w:r>
      <w:r w:rsidR="00A25B60">
        <w:t xml:space="preserve">. In order to overcome this, the pupils in this study will </w:t>
      </w:r>
      <w:r w:rsidR="00E31DC1">
        <w:t xml:space="preserve">we completing the interview within a very familiar setting within their classroom environment. </w:t>
      </w:r>
      <w:r w:rsidR="005F4370">
        <w:t>In addition, at the point of undertaking the interview I, as the researcher, will be an approachable and familiar face to the pupils as I will have worked in focus groups with them for several weeks.</w:t>
      </w:r>
      <w:r w:rsidR="004D6CF2">
        <w:t xml:space="preserve"> The pupils will be asked a series of questions (See Appendix</w:t>
      </w:r>
      <w:r w:rsidR="00AE46F9">
        <w:t xml:space="preserve"> 6</w:t>
      </w:r>
      <w:r w:rsidR="004D6CF2">
        <w:t>)</w:t>
      </w:r>
      <w:r w:rsidR="005451E3">
        <w:t xml:space="preserve"> which will encompass a range of topics surrounding independent learning. The questions are mainly open questions in order to give the pupils </w:t>
      </w:r>
      <w:r w:rsidR="00A66E78">
        <w:t>opportunities</w:t>
      </w:r>
      <w:r w:rsidR="005451E3">
        <w:t xml:space="preserve"> to </w:t>
      </w:r>
      <w:r w:rsidR="00A66E78">
        <w:t xml:space="preserve">express their views in the most natural way possible. It was not desirable to guide </w:t>
      </w:r>
      <w:r w:rsidR="00E83B46">
        <w:t xml:space="preserve">the pupils </w:t>
      </w:r>
      <w:r w:rsidR="00203177">
        <w:t xml:space="preserve">to make direct choices by using closed questions as it seemed that the pressure to make this choice would inflict more formality and </w:t>
      </w:r>
      <w:r w:rsidR="00632B7C">
        <w:t>anxiety on the children.</w:t>
      </w:r>
    </w:p>
    <w:p w14:paraId="1FD72DA5" w14:textId="23487DA6" w:rsidR="00632B7C" w:rsidRDefault="00632B7C" w:rsidP="007F1666">
      <w:pPr>
        <w:pStyle w:val="AssignBody"/>
      </w:pPr>
      <w:r>
        <w:t>The final</w:t>
      </w:r>
      <w:r w:rsidR="00DF7B09">
        <w:t xml:space="preserve"> research method used within this study </w:t>
      </w:r>
      <w:r w:rsidR="004E205E">
        <w:t xml:space="preserve">was a questionnaire that was sent to the class teacher to investigate their views surrounding </w:t>
      </w:r>
      <w:r w:rsidR="0072272F">
        <w:t>independent learning and ways that they use to support the children to access this learning</w:t>
      </w:r>
      <w:r w:rsidR="00107775">
        <w:t xml:space="preserve"> (See Appendix</w:t>
      </w:r>
      <w:r w:rsidR="00867F5F">
        <w:t xml:space="preserve"> 8</w:t>
      </w:r>
      <w:r w:rsidR="00107775">
        <w:t>)</w:t>
      </w:r>
      <w:r w:rsidR="0072272F">
        <w:t xml:space="preserve">. </w:t>
      </w:r>
      <w:r w:rsidR="00D15218">
        <w:t xml:space="preserve">One of the key benefits to a questionnaire is that they provide </w:t>
      </w:r>
      <w:r w:rsidR="008F3D2C">
        <w:t xml:space="preserve">a standardised set of questions that prompt participants to respond to which in turns provide multiple different reactions to the same </w:t>
      </w:r>
      <w:r w:rsidR="006400B3">
        <w:t>questions (</w:t>
      </w:r>
      <w:r w:rsidR="000D1D9B">
        <w:t>Brace, 2008).</w:t>
      </w:r>
      <w:r w:rsidR="00093E1D">
        <w:t xml:space="preserve"> However</w:t>
      </w:r>
      <w:r w:rsidR="003B3941">
        <w:t xml:space="preserve">, in this research context there will not be a multitude of participants responding to the questionnaire as it will be </w:t>
      </w:r>
      <w:r w:rsidR="00D8170B">
        <w:t xml:space="preserve">given only to the class teachers of which there are two (due to a job share). The teachers are very united in their approach and </w:t>
      </w:r>
      <w:r w:rsidR="00DB0D73">
        <w:t xml:space="preserve">made the decision to complete one questionnaire collaboratively which will therefore only </w:t>
      </w:r>
      <w:r w:rsidR="00794700">
        <w:t>give one response. Despite this,</w:t>
      </w:r>
      <w:r w:rsidR="004B1CC1">
        <w:t xml:space="preserve"> questionnaires are also beneficial in that they provide researchers with good quality information, they are inexpensive to provide and fairly quick to analyse (</w:t>
      </w:r>
      <w:r w:rsidR="00D90D23">
        <w:t xml:space="preserve">Birmingham and Wilkinson, 2003). </w:t>
      </w:r>
      <w:r w:rsidR="007F1666">
        <w:t xml:space="preserve">In a different way, Presser. et al. (2004) discusses the importance of being cautious about using probing and </w:t>
      </w:r>
      <w:r w:rsidR="00976B3D">
        <w:t xml:space="preserve">‘think-aloud’ questions within a survey as they can impact on data accuracy. </w:t>
      </w:r>
      <w:r w:rsidR="00B950F5">
        <w:t>Within the professional questionnaire, the question types are most</w:t>
      </w:r>
      <w:r w:rsidR="00CC0266">
        <w:t xml:space="preserve">ly open ended questions which encourage the teachers to </w:t>
      </w:r>
      <w:r w:rsidR="00CC0266">
        <w:lastRenderedPageBreak/>
        <w:t xml:space="preserve">express their views on something. Again, it seemed unhelpful to use closed </w:t>
      </w:r>
      <w:r w:rsidR="0016378D">
        <w:t xml:space="preserve">or ranking question types within this content as the study aimed to achieve </w:t>
      </w:r>
      <w:r w:rsidR="00B17882">
        <w:t xml:space="preserve">mostly qualitative, explorative findings. </w:t>
      </w:r>
      <w:r w:rsidR="007F1666">
        <w:t xml:space="preserve"> </w:t>
      </w:r>
    </w:p>
    <w:p w14:paraId="21A78AFB" w14:textId="77777777" w:rsidR="00EC1AEB" w:rsidRDefault="00EC1AEB" w:rsidP="007F1666">
      <w:pPr>
        <w:pStyle w:val="AssignBody"/>
      </w:pPr>
    </w:p>
    <w:p w14:paraId="08FC8096" w14:textId="7F9A4C6B" w:rsidR="00EC1AEB" w:rsidRPr="00EC1AEB" w:rsidRDefault="00EC1AEB" w:rsidP="00EC1AEB">
      <w:pPr>
        <w:pStyle w:val="AssignBody"/>
        <w:rPr>
          <w:b/>
          <w:bCs/>
          <w:u w:val="single"/>
        </w:rPr>
      </w:pPr>
      <w:r>
        <w:rPr>
          <w:b/>
          <w:bCs/>
          <w:u w:val="single"/>
        </w:rPr>
        <w:t>Data Analysis and Presentation Methods</w:t>
      </w:r>
    </w:p>
    <w:p w14:paraId="533675C9" w14:textId="5758D458" w:rsidR="00985509" w:rsidRDefault="00B82098" w:rsidP="00EA4125">
      <w:pPr>
        <w:pStyle w:val="AssignBody"/>
      </w:pPr>
      <w:r>
        <w:t>This section of</w:t>
      </w:r>
      <w:r w:rsidR="00E95239">
        <w:t xml:space="preserve"> the assignment will outline the processes which have taken place to analyse and present the results of this research study.</w:t>
      </w:r>
      <w:r w:rsidR="00EA4125">
        <w:t xml:space="preserve"> Hesse-</w:t>
      </w:r>
      <w:proofErr w:type="spellStart"/>
      <w:r w:rsidR="00EA4125">
        <w:t>Biber</w:t>
      </w:r>
      <w:proofErr w:type="spellEnd"/>
      <w:r w:rsidR="00EA4125">
        <w:t xml:space="preserve"> and Johnson (2016) discuss the considerations researchers should apply before attempting to compare and analyse data from mixed-method research. After considering the data and research that has been undertaken, it appears appropriate and necessary to analyse the data and compare the results that have been produced from the three research methods (Observations, pupil interviews and professional questionnaire)</w:t>
      </w:r>
      <w:r w:rsidR="00594BD6">
        <w:t>.</w:t>
      </w:r>
      <w:r w:rsidR="00440E98">
        <w:t xml:space="preserve"> </w:t>
      </w:r>
      <w:r w:rsidR="00A31612">
        <w:t xml:space="preserve">Comparing these three research methods also </w:t>
      </w:r>
      <w:r w:rsidR="006401B5">
        <w:t xml:space="preserve">adds </w:t>
      </w:r>
      <w:r w:rsidR="006E2750">
        <w:t>credibility</w:t>
      </w:r>
      <w:r w:rsidR="00742403">
        <w:t xml:space="preserve"> and confirmability</w:t>
      </w:r>
      <w:r w:rsidR="006401B5">
        <w:t xml:space="preserve"> by including triangulation of data to </w:t>
      </w:r>
      <w:r w:rsidR="005C5D94">
        <w:t>improve accuracy and reduce investigator bias (</w:t>
      </w:r>
      <w:r w:rsidR="005C5D94" w:rsidRPr="001206C9">
        <w:t>Cohen, Manion, and Morrison, 2003)</w:t>
      </w:r>
      <w:r w:rsidR="005C5D94">
        <w:t xml:space="preserve">. </w:t>
      </w:r>
    </w:p>
    <w:p w14:paraId="6C7BB1EB" w14:textId="0D0BE199" w:rsidR="004A3F2E" w:rsidRDefault="007168DA" w:rsidP="00EA4125">
      <w:pPr>
        <w:pStyle w:val="AssignBody"/>
      </w:pPr>
      <w:r>
        <w:t xml:space="preserve">The main process which </w:t>
      </w:r>
      <w:r w:rsidR="001A7B48">
        <w:t>has</w:t>
      </w:r>
      <w:r>
        <w:t xml:space="preserve"> </w:t>
      </w:r>
      <w:r w:rsidR="00985509">
        <w:t>been</w:t>
      </w:r>
      <w:r>
        <w:t xml:space="preserve"> undertaken to analyse the data from this research study will be </w:t>
      </w:r>
      <w:r w:rsidR="001A7B48">
        <w:t xml:space="preserve">a thematic analysis process which </w:t>
      </w:r>
      <w:r w:rsidR="000A5C1D">
        <w:t xml:space="preserve">attempts to explore links and common themes within the study research and </w:t>
      </w:r>
      <w:r w:rsidR="003A5319">
        <w:t>they</w:t>
      </w:r>
      <w:r w:rsidR="000A5C1D">
        <w:t xml:space="preserve"> interpret these </w:t>
      </w:r>
      <w:r w:rsidR="00E37B0C">
        <w:t xml:space="preserve">links to understand the implications that they have on finding an answer to the proposed research question. </w:t>
      </w:r>
      <w:r w:rsidR="00787ED5">
        <w:t xml:space="preserve">Kiger and </w:t>
      </w:r>
      <w:proofErr w:type="spellStart"/>
      <w:r w:rsidR="00787ED5">
        <w:t>Varpio</w:t>
      </w:r>
      <w:proofErr w:type="spellEnd"/>
      <w:r w:rsidR="00787ED5">
        <w:t xml:space="preserve"> (2020) discuss th</w:t>
      </w:r>
      <w:r w:rsidR="00963915">
        <w:t>ematic analysis as a suitable and flexible method for attempting t</w:t>
      </w:r>
      <w:r w:rsidR="00DD6D2A">
        <w:t>o explore experiences, behaviours and thought</w:t>
      </w:r>
      <w:r w:rsidR="00246F35">
        <w:t>s across multiple collections of data. Therefore, this further confirms thematic analysis as a</w:t>
      </w:r>
      <w:r w:rsidR="009D02E6">
        <w:t xml:space="preserve">n appropriate choice as the key analysis </w:t>
      </w:r>
      <w:r w:rsidR="00B1656B">
        <w:t>method.</w:t>
      </w:r>
      <w:r w:rsidR="001937AD">
        <w:t xml:space="preserve"> </w:t>
      </w:r>
      <w:r w:rsidR="00934B46">
        <w:t>Clarke and Braun (2017) describe the process of thematic analysis in detail</w:t>
      </w:r>
      <w:r w:rsidR="007044F7">
        <w:t xml:space="preserve"> </w:t>
      </w:r>
      <w:r w:rsidR="003515C4">
        <w:t>and</w:t>
      </w:r>
      <w:r w:rsidR="007044F7">
        <w:t xml:space="preserve"> </w:t>
      </w:r>
      <w:r w:rsidR="003515C4">
        <w:t>explain</w:t>
      </w:r>
      <w:r w:rsidR="007044F7">
        <w:t xml:space="preserve"> that the process does not aim to summarise</w:t>
      </w:r>
      <w:r w:rsidR="003515C4">
        <w:t xml:space="preserve"> data</w:t>
      </w:r>
      <w:r w:rsidR="007044F7">
        <w:t xml:space="preserve"> but instead</w:t>
      </w:r>
      <w:r w:rsidR="003515C4">
        <w:t xml:space="preserve"> show and explore key factors that are guided by the content of the research question.</w:t>
      </w:r>
      <w:r w:rsidR="00A85311">
        <w:t xml:space="preserve"> </w:t>
      </w:r>
      <w:r w:rsidR="00A85311" w:rsidRPr="00A85311">
        <w:t>Luckman, S. (2016</w:t>
      </w:r>
      <w:r w:rsidR="00F9469E">
        <w:t xml:space="preserve">) discusses the </w:t>
      </w:r>
      <w:r w:rsidR="002732F8">
        <w:t xml:space="preserve">previous work of Clarke and Braun and compliments the intentions of the thematic analysis </w:t>
      </w:r>
      <w:r w:rsidR="00211E2D">
        <w:t>being driven by positive social change. This certainly encourages the use of thematic analysis as this research holds a strong drive for positive change within the classroom and for the experiences of the learners.</w:t>
      </w:r>
      <w:r w:rsidR="00AF1932">
        <w:t xml:space="preserve"> One criticism to the work of Clarke and Braun</w:t>
      </w:r>
      <w:r w:rsidR="00164DD5">
        <w:t>,</w:t>
      </w:r>
      <w:r w:rsidR="00AF1932">
        <w:t xml:space="preserve"> is </w:t>
      </w:r>
      <w:r w:rsidR="00024E59">
        <w:t xml:space="preserve">that their approach is too simple would not </w:t>
      </w:r>
      <w:r w:rsidR="00A778B9">
        <w:t xml:space="preserve">suffice within a large scale study with </w:t>
      </w:r>
      <w:r w:rsidR="00164DD5">
        <w:t xml:space="preserve">a greater number of participants (Fugard and Potts, 2016). It is possible to imagine that a </w:t>
      </w:r>
      <w:r w:rsidR="00285F49">
        <w:t>more structure analysis method may be better suited to a larger scale research project, however, the simplicity and flexib</w:t>
      </w:r>
      <w:r w:rsidR="00F84C9B">
        <w:t xml:space="preserve">ility </w:t>
      </w:r>
      <w:r w:rsidR="000B0077">
        <w:t xml:space="preserve">of the </w:t>
      </w:r>
      <w:r w:rsidR="006D36C3">
        <w:t>method seems consistently reasonable and appropriate for this small-scale case study.</w:t>
      </w:r>
    </w:p>
    <w:p w14:paraId="0BADD7BA" w14:textId="77777777" w:rsidR="00696F79" w:rsidRDefault="00696F79" w:rsidP="00EA4125">
      <w:pPr>
        <w:pStyle w:val="AssignBody"/>
      </w:pPr>
    </w:p>
    <w:p w14:paraId="6BE7E7BE" w14:textId="52DB144E" w:rsidR="00696F79" w:rsidRDefault="00696F79" w:rsidP="00EA4125">
      <w:pPr>
        <w:pStyle w:val="AssignBody"/>
        <w:rPr>
          <w:b/>
          <w:bCs/>
          <w:u w:val="single"/>
        </w:rPr>
      </w:pPr>
      <w:r w:rsidRPr="00696F79">
        <w:rPr>
          <w:b/>
          <w:bCs/>
          <w:u w:val="single"/>
        </w:rPr>
        <w:t>Ethical Considerations</w:t>
      </w:r>
    </w:p>
    <w:p w14:paraId="5508B716" w14:textId="663DF299" w:rsidR="008C174B" w:rsidRDefault="00A14B5F" w:rsidP="00717604">
      <w:pPr>
        <w:pStyle w:val="AssignBody"/>
      </w:pPr>
      <w:r>
        <w:t>Further details of the considerations of ethics within this research can be found within the Ethics Form (See Appendix</w:t>
      </w:r>
      <w:r w:rsidR="00867F5F">
        <w:t xml:space="preserve"> 1</w:t>
      </w:r>
      <w:r>
        <w:t xml:space="preserve">) </w:t>
      </w:r>
      <w:r w:rsidR="004341F4">
        <w:t xml:space="preserve">This research project has been completed in line with the </w:t>
      </w:r>
      <w:r w:rsidR="004341F4">
        <w:lastRenderedPageBreak/>
        <w:t xml:space="preserve">British Educational Research Association </w:t>
      </w:r>
      <w:r w:rsidR="004133C7">
        <w:t>(BERA) guidelines (2018)</w:t>
      </w:r>
      <w:r w:rsidR="00EC4564">
        <w:t xml:space="preserve">. </w:t>
      </w:r>
      <w:r w:rsidR="00BD1EA9">
        <w:t xml:space="preserve">These guidelines </w:t>
      </w:r>
      <w:r w:rsidR="006E7959">
        <w:t xml:space="preserve">set out expectations that </w:t>
      </w:r>
      <w:r w:rsidR="00EB71A9">
        <w:t xml:space="preserve">wherever possible researchers should gain voluntary, informed consent from participants before completing any research study. As the pupils within this class were </w:t>
      </w:r>
      <w:r w:rsidR="00CF5A18">
        <w:t>under the accepted age to give consent, the parents of the pupils were asked to give consent on behalf of their children</w:t>
      </w:r>
      <w:r w:rsidR="00222399">
        <w:t xml:space="preserve"> (See Appendix</w:t>
      </w:r>
      <w:r w:rsidR="00F47911">
        <w:t xml:space="preserve"> 2/3</w:t>
      </w:r>
      <w:r w:rsidR="00222399">
        <w:t>)</w:t>
      </w:r>
      <w:r w:rsidR="00CF5A18">
        <w:t xml:space="preserve">. </w:t>
      </w:r>
      <w:r w:rsidR="00AE60D9">
        <w:t xml:space="preserve"> </w:t>
      </w:r>
      <w:r w:rsidR="00AE2B9C">
        <w:t xml:space="preserve">A record was kept by the researcher to keep track of which pupils had provided </w:t>
      </w:r>
      <w:r w:rsidR="000D199B">
        <w:t xml:space="preserve">written proof of consent. </w:t>
      </w:r>
      <w:r w:rsidR="00A01A67">
        <w:t>Once the</w:t>
      </w:r>
      <w:r w:rsidR="008C174B">
        <w:t xml:space="preserve"> </w:t>
      </w:r>
      <w:r w:rsidR="00A01A67">
        <w:t xml:space="preserve">consent forms </w:t>
      </w:r>
      <w:r w:rsidR="008C174B">
        <w:t>had been</w:t>
      </w:r>
      <w:r w:rsidR="00A01A67">
        <w:t xml:space="preserve"> returned, the pupils were then selected at random </w:t>
      </w:r>
      <w:r w:rsidR="00050E99">
        <w:t>and put into research groups.</w:t>
      </w:r>
    </w:p>
    <w:p w14:paraId="31738EF6" w14:textId="6ADCD6C9" w:rsidR="004A3F2E" w:rsidRPr="00B832AE" w:rsidRDefault="00D64E30" w:rsidP="00717604">
      <w:pPr>
        <w:pStyle w:val="AssignBody"/>
      </w:pPr>
      <w:r>
        <w:t>Another ke</w:t>
      </w:r>
      <w:r w:rsidR="00BF3FCE">
        <w:t>y</w:t>
      </w:r>
      <w:r>
        <w:t xml:space="preserve"> </w:t>
      </w:r>
      <w:r w:rsidR="00BF3FCE">
        <w:t>consideration of</w:t>
      </w:r>
      <w:r>
        <w:t xml:space="preserve"> ethics within this project was gaining </w:t>
      </w:r>
      <w:r w:rsidR="00BF3FCE">
        <w:t>assent from the pupils as participants.</w:t>
      </w:r>
      <w:r w:rsidR="00A6539F">
        <w:t xml:space="preserve"> Assent </w:t>
      </w:r>
      <w:r w:rsidR="00701FC9">
        <w:t>defines the action of respecting children’s autonomy and ensuring protection from harm (</w:t>
      </w:r>
      <w:proofErr w:type="spellStart"/>
      <w:r w:rsidR="00701FC9">
        <w:t>Giesbertz</w:t>
      </w:r>
      <w:proofErr w:type="spellEnd"/>
      <w:r w:rsidR="00701FC9">
        <w:t xml:space="preserve">, </w:t>
      </w:r>
      <w:proofErr w:type="spellStart"/>
      <w:r w:rsidR="00701FC9">
        <w:t>Bredenoord</w:t>
      </w:r>
      <w:proofErr w:type="spellEnd"/>
      <w:r w:rsidR="00701FC9">
        <w:t xml:space="preserve"> and van </w:t>
      </w:r>
      <w:proofErr w:type="spellStart"/>
      <w:r w:rsidR="00701FC9">
        <w:t>Delden</w:t>
      </w:r>
      <w:proofErr w:type="spellEnd"/>
      <w:r w:rsidR="00701FC9">
        <w:t>, 2014)</w:t>
      </w:r>
      <w:r w:rsidR="00B832AE">
        <w:t>. The BERA guidelines (2018)</w:t>
      </w:r>
      <w:r w:rsidR="00585D80">
        <w:t xml:space="preserve"> uphold the principles of the U</w:t>
      </w:r>
      <w:r w:rsidR="00D65D55">
        <w:t xml:space="preserve">nited </w:t>
      </w:r>
      <w:r w:rsidR="00585D80">
        <w:t>N</w:t>
      </w:r>
      <w:r w:rsidR="00D65D55">
        <w:t xml:space="preserve">ation </w:t>
      </w:r>
      <w:r w:rsidR="00585D80">
        <w:t>C</w:t>
      </w:r>
      <w:r w:rsidR="00D65D55">
        <w:t xml:space="preserve">onvention on the </w:t>
      </w:r>
      <w:r w:rsidR="00585D80">
        <w:t>R</w:t>
      </w:r>
      <w:r w:rsidR="00D65D55">
        <w:t xml:space="preserve">ights of the </w:t>
      </w:r>
      <w:r w:rsidR="00585D80">
        <w:t>C</w:t>
      </w:r>
      <w:r w:rsidR="00550BCF">
        <w:t>hild (UNCRC)</w:t>
      </w:r>
      <w:r w:rsidR="00585D80">
        <w:t xml:space="preserve"> </w:t>
      </w:r>
      <w:r w:rsidR="00D65D55">
        <w:t xml:space="preserve">which set </w:t>
      </w:r>
      <w:r w:rsidR="00C82F00">
        <w:t>out standards to ensure children who are able to express their views</w:t>
      </w:r>
      <w:r w:rsidR="00F97108">
        <w:t xml:space="preserve"> have opportunities to do this freely. Therefore, it was paramount within this research that the pupils were fully informed of their rights to withdraw</w:t>
      </w:r>
      <w:r w:rsidR="00680D79">
        <w:t xml:space="preserve"> their participation and to express their views and opinions without fear or judgment. Before beginning </w:t>
      </w:r>
      <w:r w:rsidR="000D6D9B">
        <w:t xml:space="preserve">the </w:t>
      </w:r>
      <w:r w:rsidR="00C035DF">
        <w:t>interviews</w:t>
      </w:r>
      <w:r w:rsidR="000D6D9B">
        <w:t xml:space="preserve">, it was explained to the pupils that they could pause the </w:t>
      </w:r>
      <w:r w:rsidR="00C035DF">
        <w:t>interview</w:t>
      </w:r>
      <w:r w:rsidR="00680D79">
        <w:t xml:space="preserve"> </w:t>
      </w:r>
      <w:r w:rsidR="00C035DF">
        <w:t xml:space="preserve">at any time by saying “Stop” or by selecting a sad face </w:t>
      </w:r>
      <w:r w:rsidR="00C56B77">
        <w:t>to indicate they were unhappy to proceed</w:t>
      </w:r>
      <w:r w:rsidR="0064761D">
        <w:t xml:space="preserve"> (See Appendix</w:t>
      </w:r>
      <w:r w:rsidR="007541BC">
        <w:t xml:space="preserve"> 4</w:t>
      </w:r>
      <w:r w:rsidR="0064761D">
        <w:t>)</w:t>
      </w:r>
      <w:r w:rsidR="00C56B77">
        <w:t>. This provided the children with both a verbal and non-verbal strategy to communicate</w:t>
      </w:r>
      <w:r w:rsidR="00262370">
        <w:t xml:space="preserve">. </w:t>
      </w:r>
      <w:r w:rsidR="00813ED6">
        <w:t xml:space="preserve">The pupils were also told that this research was not a </w:t>
      </w:r>
      <w:r w:rsidR="00B856C0">
        <w:t>test,</w:t>
      </w:r>
      <w:r w:rsidR="00813ED6">
        <w:t xml:space="preserve"> and their answers would not have any </w:t>
      </w:r>
      <w:r w:rsidR="003745EB">
        <w:t>negative affect on them, instead it was merely a collection of ideas and opinions.</w:t>
      </w:r>
    </w:p>
    <w:p w14:paraId="70FEB185" w14:textId="69C2BFFE" w:rsidR="004A3F2E" w:rsidRDefault="00FF1226" w:rsidP="00717604">
      <w:pPr>
        <w:pStyle w:val="AssignBody"/>
      </w:pPr>
      <w:r>
        <w:t>In terms of data</w:t>
      </w:r>
      <w:r w:rsidR="00B856C0">
        <w:t xml:space="preserve"> storage</w:t>
      </w:r>
      <w:r>
        <w:t xml:space="preserve">, </w:t>
      </w:r>
      <w:r w:rsidR="00F81B95">
        <w:t>to</w:t>
      </w:r>
      <w:r>
        <w:t xml:space="preserve"> ensure security</w:t>
      </w:r>
      <w:r w:rsidR="009205F8">
        <w:t>, the data collected within this research was stored on a password enc</w:t>
      </w:r>
      <w:r w:rsidR="00C01988">
        <w:t xml:space="preserve">rypted device. The </w:t>
      </w:r>
      <w:r w:rsidR="00830BA5">
        <w:t>pupils’</w:t>
      </w:r>
      <w:r w:rsidR="00C01988">
        <w:t xml:space="preserve"> names were not included in full within any of my data collection methods</w:t>
      </w:r>
      <w:r w:rsidR="002404AC">
        <w:t xml:space="preserve"> to ensure pupils could not be identified. Furthermore, all data collection was anonymised using codes such as “Child A/ Child B” to ensure anonymity and to prevent any </w:t>
      </w:r>
      <w:r w:rsidR="00C1041E">
        <w:t xml:space="preserve">researcher bias when analysing the data. </w:t>
      </w:r>
      <w:r w:rsidR="00F117AD">
        <w:t xml:space="preserve">The raw data from this research was destroyed as soon as possible following the analysis and it was not shared with any other person besides myself as the researcher. </w:t>
      </w:r>
    </w:p>
    <w:p w14:paraId="3334394C" w14:textId="77777777" w:rsidR="00F548A8" w:rsidRDefault="00F548A8" w:rsidP="00717604">
      <w:pPr>
        <w:pStyle w:val="AssignBody"/>
      </w:pPr>
    </w:p>
    <w:p w14:paraId="55A85098" w14:textId="1202C808" w:rsidR="00F548A8" w:rsidRDefault="00F548A8" w:rsidP="00717604">
      <w:pPr>
        <w:pStyle w:val="AssignBody"/>
        <w:rPr>
          <w:b/>
          <w:bCs/>
          <w:u w:val="single"/>
        </w:rPr>
      </w:pPr>
      <w:r>
        <w:rPr>
          <w:b/>
          <w:bCs/>
          <w:u w:val="single"/>
        </w:rPr>
        <w:t>Discussions and Findings</w:t>
      </w:r>
    </w:p>
    <w:p w14:paraId="6814E36E" w14:textId="6830D996" w:rsidR="00F548A8" w:rsidRDefault="00C15D00" w:rsidP="00717604">
      <w:pPr>
        <w:pStyle w:val="AssignBody"/>
      </w:pPr>
      <w:r>
        <w:t>The main results of this research can be found in Table 1 (See Appendix</w:t>
      </w:r>
      <w:r w:rsidR="007541BC">
        <w:t xml:space="preserve"> </w:t>
      </w:r>
      <w:r w:rsidR="00CC432A">
        <w:t>9</w:t>
      </w:r>
      <w:r>
        <w:t xml:space="preserve">) which discusses the </w:t>
      </w:r>
      <w:r w:rsidR="00AD3E40">
        <w:t xml:space="preserve">observational findings surrounding the </w:t>
      </w:r>
      <w:r w:rsidR="00981E8C">
        <w:t>pupil’s</w:t>
      </w:r>
      <w:r w:rsidR="00AD3E40">
        <w:t xml:space="preserve"> confidence to engage with the independent activities. The table shows the </w:t>
      </w:r>
      <w:r w:rsidR="00095E66">
        <w:t xml:space="preserve">scores of each child at particular time intervals and also includes a mean average score for each of the </w:t>
      </w:r>
      <w:r w:rsidR="002A38F9">
        <w:t>pupil’s</w:t>
      </w:r>
      <w:r w:rsidR="00095E66">
        <w:t xml:space="preserve"> overall score.</w:t>
      </w:r>
      <w:r w:rsidR="002A38F9">
        <w:t xml:space="preserve"> Furthermore, a mean score has also been calculated to show the average score at each time interval across the 16 participants. </w:t>
      </w:r>
      <w:r w:rsidR="00421EED">
        <w:t>The scale used to determine these confidence scores can be accessed via the observation schedule (See Appendix</w:t>
      </w:r>
      <w:r w:rsidR="00CC432A">
        <w:t xml:space="preserve"> 5</w:t>
      </w:r>
      <w:r w:rsidR="00421EED">
        <w:t>).</w:t>
      </w:r>
      <w:r w:rsidR="00B1131F">
        <w:t xml:space="preserve"> Graph 1</w:t>
      </w:r>
      <w:r w:rsidR="00CC432A">
        <w:t xml:space="preserve"> (</w:t>
      </w:r>
      <w:r w:rsidR="00D85D6C">
        <w:t>See Appendix 10)</w:t>
      </w:r>
      <w:r w:rsidR="00B1131F">
        <w:t xml:space="preserve"> also displays </w:t>
      </w:r>
      <w:r w:rsidR="00B1131F">
        <w:lastRenderedPageBreak/>
        <w:t xml:space="preserve">the score of the confidence scale and shows </w:t>
      </w:r>
      <w:r w:rsidR="003C4FD4">
        <w:t xml:space="preserve">that </w:t>
      </w:r>
      <w:proofErr w:type="gramStart"/>
      <w:r w:rsidR="0084491E">
        <w:t>the majority of</w:t>
      </w:r>
      <w:proofErr w:type="gramEnd"/>
      <w:r w:rsidR="0084491E">
        <w:t xml:space="preserve"> the participants scored between 2 and 3 across the time intervals. This suggests </w:t>
      </w:r>
      <w:r w:rsidR="003A3D58">
        <w:t xml:space="preserve">that the pupils </w:t>
      </w:r>
      <w:r w:rsidR="00904275">
        <w:t>can</w:t>
      </w:r>
      <w:r w:rsidR="003A3D58">
        <w:t xml:space="preserve"> stay in the correct area, however, they can only intermittently engage with the resources correctly engage with the task. T</w:t>
      </w:r>
      <w:r w:rsidR="00C81A02">
        <w:t xml:space="preserve">his comes across as a concern </w:t>
      </w:r>
      <w:r w:rsidR="00AB13C4">
        <w:t>from the teacher’s questionnaire (See Appendix</w:t>
      </w:r>
      <w:r w:rsidR="004312DA">
        <w:t xml:space="preserve"> 8</w:t>
      </w:r>
      <w:r w:rsidR="00AB13C4">
        <w:t xml:space="preserve">) where they discuss that </w:t>
      </w:r>
      <w:r w:rsidR="00011B14">
        <w:t>the pupils lack of</w:t>
      </w:r>
      <w:r w:rsidR="004E67E2">
        <w:t xml:space="preserve"> focus can hinder their confidence to participate in tasks. </w:t>
      </w:r>
      <w:r w:rsidR="00733B5B" w:rsidRPr="00733B5B">
        <w:t>Brown</w:t>
      </w:r>
      <w:r w:rsidR="00BD6B9C">
        <w:t xml:space="preserve"> </w:t>
      </w:r>
      <w:r w:rsidR="00733B5B" w:rsidRPr="00733B5B">
        <w:t>(2017)</w:t>
      </w:r>
      <w:r w:rsidR="00733B5B">
        <w:t xml:space="preserve"> recognises that </w:t>
      </w:r>
      <w:r w:rsidR="003A5319">
        <w:t xml:space="preserve">pupil’s </w:t>
      </w:r>
      <w:r w:rsidR="00733B5B">
        <w:t>inability to focus can be seen when pupils do not feel a sense of belonging within their learning environment. Perhaps, this suggests that some adapt</w:t>
      </w:r>
      <w:r w:rsidR="007E1BE2">
        <w:t>ations should be made to the area to promote pupils’ wellbeing and comfort.</w:t>
      </w:r>
    </w:p>
    <w:p w14:paraId="66F9F520" w14:textId="2086BF9D" w:rsidR="00CC458E" w:rsidRDefault="00934D91" w:rsidP="00717604">
      <w:pPr>
        <w:pStyle w:val="AssignBody"/>
      </w:pPr>
      <w:r>
        <w:t xml:space="preserve">In terms of scaffolding, </w:t>
      </w:r>
      <w:r w:rsidR="00904275">
        <w:t>several</w:t>
      </w:r>
      <w:r>
        <w:t xml:space="preserve"> techniques were observed within the data co</w:t>
      </w:r>
      <w:r w:rsidR="00162713">
        <w:t xml:space="preserve">llection </w:t>
      </w:r>
      <w:r w:rsidR="003A5319">
        <w:t>namely,</w:t>
      </w:r>
      <w:r w:rsidR="00162713">
        <w:t xml:space="preserve"> </w:t>
      </w:r>
      <w:r w:rsidR="00492DE3">
        <w:t xml:space="preserve">modelling, WAGOLL examples, </w:t>
      </w:r>
      <w:r w:rsidR="00B624FB">
        <w:t>breaking down tasks into smaller activities,</w:t>
      </w:r>
      <w:r w:rsidR="007A336D">
        <w:t xml:space="preserve"> vocabulary lists, questioning</w:t>
      </w:r>
      <w:r w:rsidR="00141D02">
        <w:t xml:space="preserve"> to confirm understanding, visual </w:t>
      </w:r>
      <w:proofErr w:type="gramStart"/>
      <w:r w:rsidR="00141D02">
        <w:t>aids</w:t>
      </w:r>
      <w:proofErr w:type="gramEnd"/>
      <w:r w:rsidR="00141D02">
        <w:t xml:space="preserve"> and the activation of prior knowledge</w:t>
      </w:r>
      <w:r w:rsidR="00641D7B">
        <w:t xml:space="preserve"> (See Appendix</w:t>
      </w:r>
      <w:r w:rsidR="004312DA">
        <w:t xml:space="preserve"> 5</w:t>
      </w:r>
      <w:r w:rsidR="00641D7B">
        <w:t>)</w:t>
      </w:r>
      <w:r w:rsidR="00141D02">
        <w:t>.</w:t>
      </w:r>
      <w:r w:rsidR="00641D7B">
        <w:t xml:space="preserve"> </w:t>
      </w:r>
      <w:r w:rsidR="00F57700">
        <w:t xml:space="preserve">Interestingly the pupils were able to recognise multiple </w:t>
      </w:r>
      <w:r w:rsidR="002051CD">
        <w:t xml:space="preserve">different methods that their </w:t>
      </w:r>
      <w:r w:rsidR="0076748B">
        <w:t xml:space="preserve">teachers used </w:t>
      </w:r>
      <w:r w:rsidR="00417C52">
        <w:t xml:space="preserve">to explain tasks to them </w:t>
      </w:r>
      <w:r w:rsidR="003A5319">
        <w:t>and</w:t>
      </w:r>
      <w:r w:rsidR="00417C52">
        <w:t xml:space="preserve"> identified that </w:t>
      </w:r>
      <w:r w:rsidR="00951D16">
        <w:t>visual aids and WAGOLL examples were available to support them if they did not understand a particular task (See Appendix</w:t>
      </w:r>
      <w:r w:rsidR="00824C86">
        <w:t xml:space="preserve"> 7</w:t>
      </w:r>
      <w:r w:rsidR="00951D16">
        <w:t>)</w:t>
      </w:r>
      <w:r w:rsidR="00A31B6F">
        <w:t xml:space="preserve">. </w:t>
      </w:r>
      <w:r w:rsidR="00BF6EA4">
        <w:t xml:space="preserve">Within the </w:t>
      </w:r>
      <w:r w:rsidR="000A54BA">
        <w:t xml:space="preserve">teacher questionnaire, the participant </w:t>
      </w:r>
      <w:r w:rsidR="00B14E4D">
        <w:t xml:space="preserve">referred to </w:t>
      </w:r>
      <w:r w:rsidR="00D92F61">
        <w:t xml:space="preserve">pairing children with more able </w:t>
      </w:r>
      <w:r w:rsidR="00463F7B">
        <w:t>pupils as a scaffolding technique</w:t>
      </w:r>
      <w:r w:rsidR="003D7A46">
        <w:t xml:space="preserve"> (See Appendix</w:t>
      </w:r>
      <w:r w:rsidR="000D3802">
        <w:t xml:space="preserve"> 8</w:t>
      </w:r>
      <w:r w:rsidR="003D7A46">
        <w:t>)</w:t>
      </w:r>
      <w:r w:rsidR="00463F7B">
        <w:t xml:space="preserve">. This was not included within the checklist of scaffolding </w:t>
      </w:r>
      <w:r w:rsidR="003D7A46">
        <w:t>techniques;</w:t>
      </w:r>
      <w:r w:rsidR="00463F7B">
        <w:t xml:space="preserve"> however, it was </w:t>
      </w:r>
      <w:r w:rsidR="003D7A46">
        <w:t>also addressed within the pupil interviews. The pupils</w:t>
      </w:r>
      <w:r w:rsidR="0056055F">
        <w:t>,</w:t>
      </w:r>
      <w:r w:rsidR="003D7A46">
        <w:t xml:space="preserve"> across multiple </w:t>
      </w:r>
      <w:r w:rsidR="0056055F">
        <w:t xml:space="preserve">questions, </w:t>
      </w:r>
      <w:r w:rsidR="00904275">
        <w:t>referred</w:t>
      </w:r>
      <w:r w:rsidR="0056055F">
        <w:t xml:space="preserve"> to </w:t>
      </w:r>
      <w:r w:rsidR="00D51279">
        <w:t xml:space="preserve">asking friends </w:t>
      </w:r>
      <w:r w:rsidR="00045DF0">
        <w:t xml:space="preserve">for support </w:t>
      </w:r>
      <w:r w:rsidR="00F50398">
        <w:t>and some pupils even discussed being confident enough to support others within their group (See Appendix</w:t>
      </w:r>
      <w:r w:rsidR="00606FEA">
        <w:t xml:space="preserve"> 7</w:t>
      </w:r>
      <w:r w:rsidR="00F50398">
        <w:t>).</w:t>
      </w:r>
      <w:r w:rsidR="008D0F5E">
        <w:t xml:space="preserve"> </w:t>
      </w:r>
      <w:proofErr w:type="spellStart"/>
      <w:r w:rsidR="008D0F5E">
        <w:t>Marryshow</w:t>
      </w:r>
      <w:proofErr w:type="spellEnd"/>
      <w:r w:rsidR="008D0F5E">
        <w:t xml:space="preserve">. et al. (2005) found that children </w:t>
      </w:r>
      <w:r w:rsidR="00D46D7A">
        <w:t xml:space="preserve">tend to have a preference for their more able peers which reflects that pupils may find it comforting to seek support from </w:t>
      </w:r>
      <w:r w:rsidR="00471717">
        <w:t>classmates. Additionally, in a practical sense,</w:t>
      </w:r>
      <w:r w:rsidR="00DB4197">
        <w:t xml:space="preserve"> </w:t>
      </w:r>
      <w:r w:rsidR="00471717">
        <w:t>pupils seeking guidance from fellow students</w:t>
      </w:r>
      <w:r w:rsidR="00D7587F">
        <w:t xml:space="preserve"> not only</w:t>
      </w:r>
      <w:r w:rsidR="00471717">
        <w:t xml:space="preserve"> </w:t>
      </w:r>
      <w:r w:rsidR="008B7950">
        <w:t xml:space="preserve">encourages independence and </w:t>
      </w:r>
      <w:r w:rsidR="00D7587F">
        <w:t>self-motivation</w:t>
      </w:r>
      <w:r w:rsidR="008B7950">
        <w:t xml:space="preserve"> </w:t>
      </w:r>
      <w:r w:rsidR="00D7587F">
        <w:t>but also</w:t>
      </w:r>
      <w:r w:rsidR="008B7950">
        <w:t xml:space="preserve"> tak</w:t>
      </w:r>
      <w:r w:rsidR="00D7587F">
        <w:t>es</w:t>
      </w:r>
      <w:r w:rsidR="008B7950">
        <w:t xml:space="preserve"> some pressure off the educator</w:t>
      </w:r>
      <w:r w:rsidR="00D7587F">
        <w:t xml:space="preserve"> to support these pupils</w:t>
      </w:r>
      <w:r w:rsidR="008B7950">
        <w:t xml:space="preserve"> </w:t>
      </w:r>
      <w:r w:rsidR="00D7587F">
        <w:t xml:space="preserve">whilst they are engaging with a focus group. </w:t>
      </w:r>
      <w:r w:rsidR="00DB4197">
        <w:t xml:space="preserve">Pupils were occasionally witnessed being able to offer support to peers who were struggling during </w:t>
      </w:r>
      <w:r w:rsidR="00637DF1">
        <w:t>observations. T</w:t>
      </w:r>
      <w:r w:rsidR="001D6E93">
        <w:t xml:space="preserve">his seems </w:t>
      </w:r>
      <w:r w:rsidR="00C90A54">
        <w:t xml:space="preserve">to be a display of sufficient confidence which could potentially </w:t>
      </w:r>
      <w:r w:rsidR="00883BA4">
        <w:t>indicate that these pupils are not being challenged enough. It would be interesting to consider the extent to which it would be beneficial for these learners to support others</w:t>
      </w:r>
      <w:r w:rsidR="00464ED8">
        <w:t xml:space="preserve">; does this support their own development or are these pupils merely making up </w:t>
      </w:r>
      <w:r w:rsidR="00915CB9">
        <w:t>for a lack of additional support staf</w:t>
      </w:r>
      <w:r w:rsidR="00BD6B9C">
        <w:t>f?</w:t>
      </w:r>
    </w:p>
    <w:p w14:paraId="661F5B41" w14:textId="4AE0C032" w:rsidR="00F43912" w:rsidRDefault="00F43912" w:rsidP="00717604">
      <w:pPr>
        <w:pStyle w:val="AssignBody"/>
      </w:pPr>
      <w:r>
        <w:t xml:space="preserve">There appeared to be a mixture of opinions form the </w:t>
      </w:r>
      <w:r w:rsidR="00EB2885">
        <w:t xml:space="preserve">pupils regarding their preferences for working with adults </w:t>
      </w:r>
      <w:r w:rsidR="002C1F3B">
        <w:t>or working independently (See Appendix</w:t>
      </w:r>
      <w:r w:rsidR="00606FEA">
        <w:t xml:space="preserve"> 7</w:t>
      </w:r>
      <w:r w:rsidR="002C1F3B">
        <w:t xml:space="preserve">). </w:t>
      </w:r>
      <w:r w:rsidR="006124DE">
        <w:t>The pupils had a good understan</w:t>
      </w:r>
      <w:r w:rsidR="00235783">
        <w:t xml:space="preserve">ding of what independent learning means and the expectations of their teachers. One pupil shared a </w:t>
      </w:r>
      <w:r w:rsidR="005A1DE7">
        <w:t xml:space="preserve">particularly </w:t>
      </w:r>
      <w:r w:rsidR="000F08B0">
        <w:t>interesting definition of independ</w:t>
      </w:r>
      <w:r w:rsidR="00246C3C">
        <w:t>ent learning (See Appendix</w:t>
      </w:r>
      <w:r w:rsidR="004A7FB7">
        <w:t xml:space="preserve"> 7</w:t>
      </w:r>
      <w:r w:rsidR="00246C3C">
        <w:t xml:space="preserve">). </w:t>
      </w:r>
      <w:r w:rsidR="00FF31FF">
        <w:t xml:space="preserve">Some pupils shared that they enjoyed working independently and felt that they learned more in this situation, </w:t>
      </w:r>
      <w:r w:rsidR="001E7FA7">
        <w:t>whereas</w:t>
      </w:r>
      <w:r w:rsidR="00FF31FF">
        <w:t xml:space="preserve"> </w:t>
      </w:r>
      <w:r w:rsidR="00297B00">
        <w:t>other pupils discussed that they felt they learn</w:t>
      </w:r>
      <w:r w:rsidR="009C3F20">
        <w:t xml:space="preserve"> better when </w:t>
      </w:r>
      <w:r w:rsidR="009C3F20">
        <w:lastRenderedPageBreak/>
        <w:t>working with a</w:t>
      </w:r>
      <w:r w:rsidR="001E7FA7">
        <w:t xml:space="preserve"> teacher or supporting adult. In addition, some pupils explained that they found working by themselves </w:t>
      </w:r>
      <w:r w:rsidR="007312D3">
        <w:t>difficult</w:t>
      </w:r>
      <w:r w:rsidR="001E7FA7">
        <w:t xml:space="preserve"> and appeared insecure particularly </w:t>
      </w:r>
      <w:r w:rsidR="00904275">
        <w:t>regarding</w:t>
      </w:r>
      <w:r w:rsidR="001E7FA7">
        <w:t xml:space="preserve"> numeracy and literacy skills (See appendix</w:t>
      </w:r>
      <w:r w:rsidR="004A7FB7">
        <w:t xml:space="preserve"> 7</w:t>
      </w:r>
      <w:r w:rsidR="001E7FA7">
        <w:t xml:space="preserve">). </w:t>
      </w:r>
      <w:r w:rsidR="00166D15">
        <w:t xml:space="preserve">Greenberg et al. (2017) suggest that </w:t>
      </w:r>
      <w:r w:rsidR="002C7B9F">
        <w:t xml:space="preserve">children’s confidence to engage with </w:t>
      </w:r>
      <w:r w:rsidR="007312D3">
        <w:t xml:space="preserve">learning activities can be improved through social-emotional learning provisions. This could suggest that the pupils require more social-emotional learning interventions as scaffolding to improve their participation, particularly those who scored poorly on their engagement. </w:t>
      </w:r>
      <w:r w:rsidR="007C4105">
        <w:t>The teacher commented that in previous year</w:t>
      </w:r>
      <w:r w:rsidR="00393A07">
        <w:t>s</w:t>
      </w:r>
      <w:r w:rsidR="007C4105">
        <w:t xml:space="preserve"> they have noticed that the pupils’ conf</w:t>
      </w:r>
      <w:r w:rsidR="00360A27">
        <w:t xml:space="preserve">idence to work independently tends </w:t>
      </w:r>
      <w:r w:rsidR="00557CA7">
        <w:t>to improve as the year progresses. It would be interesting to repeat this research</w:t>
      </w:r>
      <w:r w:rsidR="00903791">
        <w:t xml:space="preserve"> towards the end of the academic year to see if the pupils confidence has improved over time. </w:t>
      </w:r>
    </w:p>
    <w:p w14:paraId="0A51DAB9" w14:textId="77777777" w:rsidR="00B177CF" w:rsidRDefault="00B177CF" w:rsidP="00717604">
      <w:pPr>
        <w:pStyle w:val="AssignBody"/>
      </w:pPr>
    </w:p>
    <w:p w14:paraId="295BF6FF" w14:textId="02A66803" w:rsidR="00B177CF" w:rsidRDefault="00364B83" w:rsidP="00717604">
      <w:pPr>
        <w:pStyle w:val="AssignBody"/>
        <w:rPr>
          <w:b/>
          <w:bCs/>
          <w:u w:val="single"/>
        </w:rPr>
      </w:pPr>
      <w:r>
        <w:rPr>
          <w:b/>
          <w:bCs/>
          <w:u w:val="single"/>
        </w:rPr>
        <w:t>Conclusions and Recommendations</w:t>
      </w:r>
    </w:p>
    <w:p w14:paraId="6A3C3F81" w14:textId="1C6A7453" w:rsidR="00364B83" w:rsidRDefault="00156484" w:rsidP="00717604">
      <w:pPr>
        <w:pStyle w:val="AssignBody"/>
      </w:pPr>
      <w:r>
        <w:t>In conclusion</w:t>
      </w:r>
      <w:r w:rsidR="00C66492">
        <w:t xml:space="preserve">, this </w:t>
      </w:r>
      <w:r w:rsidR="005F5A99">
        <w:t xml:space="preserve">case study has </w:t>
      </w:r>
      <w:r w:rsidR="00537A1D">
        <w:t>succeeding in exploring</w:t>
      </w:r>
      <w:r w:rsidR="005F5A99">
        <w:t xml:space="preserve"> the experiences of the pupils </w:t>
      </w:r>
      <w:r w:rsidR="00B252C6">
        <w:t xml:space="preserve">whilst engaging in independent learning opportunities. </w:t>
      </w:r>
      <w:r w:rsidR="00537A1D">
        <w:t xml:space="preserve">The research methods used within this </w:t>
      </w:r>
      <w:r w:rsidR="00832049">
        <w:t xml:space="preserve">study </w:t>
      </w:r>
      <w:r w:rsidR="007A6D51">
        <w:t xml:space="preserve">were appropriate in </w:t>
      </w:r>
      <w:r w:rsidR="006705CA">
        <w:t xml:space="preserve">being able to </w:t>
      </w:r>
      <w:r w:rsidR="007D376D">
        <w:t xml:space="preserve">discover </w:t>
      </w:r>
      <w:r w:rsidR="00C91C9D">
        <w:t>the pupils</w:t>
      </w:r>
      <w:r w:rsidR="009346DD">
        <w:t>’ opinions and feelings towards independent learning and the</w:t>
      </w:r>
      <w:r w:rsidR="006D3FDE">
        <w:t xml:space="preserve"> professional </w:t>
      </w:r>
      <w:r w:rsidR="0029076B">
        <w:t>educators’</w:t>
      </w:r>
      <w:r w:rsidR="006D3FDE">
        <w:t xml:space="preserve"> views on the pupils’ ability to feel confident in participating in such tasks.</w:t>
      </w:r>
      <w:r w:rsidR="0063113B">
        <w:t xml:space="preserve"> Considering the </w:t>
      </w:r>
      <w:r w:rsidR="00C7793A">
        <w:t xml:space="preserve">context of this research being a small </w:t>
      </w:r>
      <w:r w:rsidR="0073419D">
        <w:t>scale study, the observations provided opportunities to see the pupils respond to a given task and engage collaboratively with their peers</w:t>
      </w:r>
      <w:r w:rsidR="00B70BAF">
        <w:t xml:space="preserve">. These observations </w:t>
      </w:r>
      <w:r w:rsidR="00E706DB">
        <w:t xml:space="preserve">being non-participant observations was a considerable advantage as the pupils did not appear to feel pressure to react in a particular way which </w:t>
      </w:r>
      <w:r w:rsidR="00E45265">
        <w:t xml:space="preserve">encouraged the most authentic and realistic results. </w:t>
      </w:r>
      <w:r w:rsidR="00745ADF">
        <w:t xml:space="preserve">The interviews with the pupils in general were very effective in collecting and contributing high quality </w:t>
      </w:r>
      <w:r w:rsidR="00D9339C">
        <w:t xml:space="preserve">results to this study. However, it should be acknowledge that a sufficient </w:t>
      </w:r>
      <w:r w:rsidR="00DF4AB7">
        <w:t xml:space="preserve">quantity of these pupils responses appear to be very similar which could suggest that less confident pupils were choosing to replicant the answers given by other pupils. </w:t>
      </w:r>
      <w:r w:rsidR="005E442D">
        <w:t>Despite this, it does not seem suitable to suggest one on one interviewing with pupils at this young age as it has the potential to cause upset and anxiety which would be unethical.</w:t>
      </w:r>
      <w:r w:rsidR="00EB12A4">
        <w:t xml:space="preserve"> </w:t>
      </w:r>
      <w:r w:rsidR="006110AC">
        <w:t xml:space="preserve">Considering this, perhaps when undertaking research in the future, it would be more appropriate </w:t>
      </w:r>
      <w:r w:rsidR="007251BA">
        <w:t xml:space="preserve">to seek </w:t>
      </w:r>
      <w:r w:rsidR="00E163A7">
        <w:t>pupils’</w:t>
      </w:r>
      <w:r w:rsidR="007251BA">
        <w:t xml:space="preserve"> views </w:t>
      </w:r>
      <w:r w:rsidR="00ED2080">
        <w:t xml:space="preserve">by </w:t>
      </w:r>
      <w:r w:rsidR="0028467A">
        <w:t xml:space="preserve">including more practical resources for the pupils to engage with the express their feelings. </w:t>
      </w:r>
      <w:r w:rsidR="00E91721">
        <w:t xml:space="preserve">Some researchers have been successful in interpreting children’s drawings to </w:t>
      </w:r>
      <w:r w:rsidR="00BE31AF">
        <w:t>gain insight into children’s view (Bland, 2012). This will certainly be a consideration for future research within the earl years of educ</w:t>
      </w:r>
      <w:r w:rsidR="00420288">
        <w:t xml:space="preserve">ation. </w:t>
      </w:r>
    </w:p>
    <w:p w14:paraId="244C9F29" w14:textId="049A0548" w:rsidR="00420288" w:rsidRDefault="00753C55" w:rsidP="00717604">
      <w:pPr>
        <w:pStyle w:val="AssignBody"/>
      </w:pPr>
      <w:r>
        <w:t xml:space="preserve">Undertaking this </w:t>
      </w:r>
      <w:r w:rsidR="0029778A">
        <w:t xml:space="preserve">research has </w:t>
      </w:r>
      <w:r w:rsidR="00E420DE">
        <w:t xml:space="preserve">thoroughly influenced my understand of the importance </w:t>
      </w:r>
      <w:r w:rsidR="00C569F8">
        <w:t xml:space="preserve">of </w:t>
      </w:r>
      <w:r w:rsidR="009723C0">
        <w:t xml:space="preserve">completing </w:t>
      </w:r>
      <w:r w:rsidR="00C569F8">
        <w:t xml:space="preserve">close to practice </w:t>
      </w:r>
      <w:r w:rsidR="0019499B">
        <w:t>research</w:t>
      </w:r>
      <w:r w:rsidR="00C569F8">
        <w:t xml:space="preserve"> particularly </w:t>
      </w:r>
      <w:r w:rsidR="00F0225D">
        <w:t xml:space="preserve">when establishing new relationships with pupils. I am confident that completing this study </w:t>
      </w:r>
      <w:r w:rsidR="00DE0EA9">
        <w:t xml:space="preserve">has supported my understanding of the pupils’ needs and becoming familiar with the pupils’ individual personality. This </w:t>
      </w:r>
      <w:r w:rsidR="00053142">
        <w:t xml:space="preserve">assignment has supported my experience within the QTS standards of </w:t>
      </w:r>
      <w:r w:rsidR="00C86D6C">
        <w:t>‘</w:t>
      </w:r>
      <w:r w:rsidR="00101515">
        <w:t xml:space="preserve">Professional Networks and </w:t>
      </w:r>
      <w:r w:rsidR="00101515">
        <w:lastRenderedPageBreak/>
        <w:t>Communities</w:t>
      </w:r>
      <w:r w:rsidR="00C86D6C">
        <w:t>’</w:t>
      </w:r>
      <w:r w:rsidR="00101515">
        <w:t xml:space="preserve"> </w:t>
      </w:r>
      <w:r w:rsidR="002A544D">
        <w:t>and</w:t>
      </w:r>
      <w:r w:rsidR="00C86D6C">
        <w:t xml:space="preserve"> ‘Listening to Learners’ as I have been able to undertake small</w:t>
      </w:r>
      <w:r w:rsidR="00EC1EA8">
        <w:t xml:space="preserve"> scale research and collect the views of learners.</w:t>
      </w:r>
    </w:p>
    <w:p w14:paraId="721C6449" w14:textId="7D05CF26" w:rsidR="00177A06" w:rsidRPr="00F548A8" w:rsidRDefault="00244FBE" w:rsidP="00717604">
      <w:pPr>
        <w:pStyle w:val="AssignBody"/>
      </w:pPr>
      <w:r>
        <w:t>Finally, it would seem appropriate to consider the full impact of these research findings a</w:t>
      </w:r>
      <w:r w:rsidR="000C3EEE">
        <w:t xml:space="preserve">nd potentially consider any possible interventions which could support these pupils. </w:t>
      </w:r>
      <w:r w:rsidR="003B2D8B">
        <w:t>Considering the pupils</w:t>
      </w:r>
      <w:r w:rsidR="00E80292">
        <w:t xml:space="preserve"> ability to recognise key scaffolding techniques</w:t>
      </w:r>
      <w:r w:rsidR="00AD38D4">
        <w:t xml:space="preserve"> despite still struggling to engage full with the activities. Therefore, it seems </w:t>
      </w:r>
      <w:r w:rsidR="0060221C">
        <w:t xml:space="preserve">possible that the pupils are struggling to access these scaffolding opportunities and through my practice I feel that this </w:t>
      </w:r>
      <w:r w:rsidR="008B2E36">
        <w:t xml:space="preserve">may be because the pupils struggle to read, remember and interpret instructions. Therefore, my suggestion would be </w:t>
      </w:r>
      <w:r w:rsidR="0011315E">
        <w:t xml:space="preserve">to create audio resources such as </w:t>
      </w:r>
      <w:r w:rsidR="00973399">
        <w:t xml:space="preserve">buttons that can record sound which the pupils can press to hear their teacher’s instructions as and when needed. I am confident that this will make </w:t>
      </w:r>
      <w:r w:rsidR="004517A5">
        <w:t>the tasks more accessible for the learners and be more inclusive for learners who struggle to interpret instruction</w:t>
      </w:r>
      <w:r w:rsidR="005826C0">
        <w:t>s</w:t>
      </w:r>
      <w:r w:rsidR="004517A5">
        <w:t>.</w:t>
      </w:r>
    </w:p>
    <w:p w14:paraId="28A6D3ED" w14:textId="77777777" w:rsidR="004A3F2E" w:rsidRDefault="004A3F2E" w:rsidP="00717604">
      <w:pPr>
        <w:pStyle w:val="AssignBody"/>
        <w:rPr>
          <w:b/>
          <w:bCs/>
        </w:rPr>
      </w:pPr>
    </w:p>
    <w:p w14:paraId="52CFFF40" w14:textId="77777777" w:rsidR="009D6B88" w:rsidRDefault="009D6B88" w:rsidP="00717604">
      <w:pPr>
        <w:pStyle w:val="AssignBody"/>
        <w:rPr>
          <w:b/>
          <w:bCs/>
        </w:rPr>
      </w:pPr>
    </w:p>
    <w:p w14:paraId="62BDCB19" w14:textId="77777777" w:rsidR="00871800" w:rsidRDefault="00871800" w:rsidP="00717604">
      <w:pPr>
        <w:pStyle w:val="AssignBody"/>
        <w:rPr>
          <w:b/>
          <w:bCs/>
        </w:rPr>
      </w:pPr>
    </w:p>
    <w:p w14:paraId="03263957" w14:textId="77777777" w:rsidR="00871800" w:rsidRDefault="00871800" w:rsidP="00717604">
      <w:pPr>
        <w:pStyle w:val="AssignBody"/>
        <w:rPr>
          <w:b/>
          <w:bCs/>
        </w:rPr>
      </w:pPr>
    </w:p>
    <w:p w14:paraId="7C75ADF9" w14:textId="77777777" w:rsidR="00871800" w:rsidRDefault="00871800" w:rsidP="00717604">
      <w:pPr>
        <w:pStyle w:val="AssignBody"/>
        <w:rPr>
          <w:b/>
          <w:bCs/>
        </w:rPr>
      </w:pPr>
    </w:p>
    <w:p w14:paraId="21178262" w14:textId="77777777" w:rsidR="00871800" w:rsidRDefault="00871800" w:rsidP="00717604">
      <w:pPr>
        <w:pStyle w:val="AssignBody"/>
        <w:rPr>
          <w:b/>
          <w:bCs/>
        </w:rPr>
      </w:pPr>
    </w:p>
    <w:p w14:paraId="5D4E49F5" w14:textId="77777777" w:rsidR="00871800" w:rsidRDefault="00871800" w:rsidP="00717604">
      <w:pPr>
        <w:pStyle w:val="AssignBody"/>
        <w:rPr>
          <w:b/>
          <w:bCs/>
        </w:rPr>
      </w:pPr>
    </w:p>
    <w:p w14:paraId="5DB12837" w14:textId="77777777" w:rsidR="00871800" w:rsidRDefault="00871800" w:rsidP="00717604">
      <w:pPr>
        <w:pStyle w:val="AssignBody"/>
        <w:rPr>
          <w:b/>
          <w:bCs/>
        </w:rPr>
      </w:pPr>
    </w:p>
    <w:p w14:paraId="493006CF" w14:textId="77777777" w:rsidR="00871800" w:rsidRDefault="00871800" w:rsidP="00717604">
      <w:pPr>
        <w:pStyle w:val="AssignBody"/>
        <w:rPr>
          <w:b/>
          <w:bCs/>
        </w:rPr>
      </w:pPr>
    </w:p>
    <w:p w14:paraId="63F5B663" w14:textId="77777777" w:rsidR="00871800" w:rsidRDefault="00871800" w:rsidP="00717604">
      <w:pPr>
        <w:pStyle w:val="AssignBody"/>
        <w:rPr>
          <w:b/>
          <w:bCs/>
        </w:rPr>
      </w:pPr>
    </w:p>
    <w:p w14:paraId="1EFF4BF7" w14:textId="77777777" w:rsidR="009D6B88" w:rsidRDefault="009D6B88" w:rsidP="00717604">
      <w:pPr>
        <w:pStyle w:val="AssignBody"/>
        <w:rPr>
          <w:b/>
          <w:bCs/>
        </w:rPr>
      </w:pPr>
    </w:p>
    <w:p w14:paraId="2704940D" w14:textId="77777777" w:rsidR="009D6B88" w:rsidRDefault="009D6B88" w:rsidP="00717604">
      <w:pPr>
        <w:pStyle w:val="AssignBody"/>
        <w:rPr>
          <w:b/>
          <w:bCs/>
        </w:rPr>
      </w:pPr>
    </w:p>
    <w:p w14:paraId="0BA29BEC" w14:textId="77777777" w:rsidR="009E4E52" w:rsidRDefault="009E4E52" w:rsidP="00717604">
      <w:pPr>
        <w:pStyle w:val="AssignBody"/>
        <w:rPr>
          <w:b/>
          <w:bCs/>
        </w:rPr>
      </w:pPr>
    </w:p>
    <w:p w14:paraId="6DEEDCE9" w14:textId="77777777" w:rsidR="009E4E52" w:rsidRDefault="009E4E52" w:rsidP="00717604">
      <w:pPr>
        <w:pStyle w:val="AssignBody"/>
        <w:rPr>
          <w:b/>
          <w:bCs/>
        </w:rPr>
      </w:pPr>
    </w:p>
    <w:p w14:paraId="65259621" w14:textId="77777777" w:rsidR="009E4E52" w:rsidRDefault="009E4E52" w:rsidP="00717604">
      <w:pPr>
        <w:pStyle w:val="AssignBody"/>
        <w:rPr>
          <w:b/>
          <w:bCs/>
        </w:rPr>
      </w:pPr>
    </w:p>
    <w:p w14:paraId="2BAC7D2B" w14:textId="77777777" w:rsidR="009E4E52" w:rsidRDefault="009E4E52" w:rsidP="00717604">
      <w:pPr>
        <w:pStyle w:val="AssignBody"/>
        <w:rPr>
          <w:b/>
          <w:bCs/>
        </w:rPr>
      </w:pPr>
    </w:p>
    <w:p w14:paraId="31E8FC56" w14:textId="77777777" w:rsidR="009E4E52" w:rsidRDefault="009E4E52" w:rsidP="00717604">
      <w:pPr>
        <w:pStyle w:val="AssignBody"/>
        <w:rPr>
          <w:b/>
          <w:bCs/>
        </w:rPr>
      </w:pPr>
    </w:p>
    <w:p w14:paraId="7A074C98" w14:textId="77777777" w:rsidR="009E4E52" w:rsidRDefault="009E4E52" w:rsidP="00717604">
      <w:pPr>
        <w:pStyle w:val="AssignBody"/>
        <w:rPr>
          <w:b/>
          <w:bCs/>
        </w:rPr>
      </w:pPr>
    </w:p>
    <w:p w14:paraId="3A49A652" w14:textId="77777777" w:rsidR="00110A22" w:rsidRDefault="00110A22" w:rsidP="00717604">
      <w:pPr>
        <w:pStyle w:val="AssignBody"/>
        <w:rPr>
          <w:b/>
          <w:bCs/>
        </w:rPr>
      </w:pPr>
    </w:p>
    <w:p w14:paraId="2ABF978A" w14:textId="77777777" w:rsidR="009E4E52" w:rsidRDefault="009E4E52" w:rsidP="00717604">
      <w:pPr>
        <w:pStyle w:val="AssignBody"/>
        <w:rPr>
          <w:b/>
          <w:bCs/>
        </w:rPr>
      </w:pPr>
    </w:p>
    <w:p w14:paraId="2EE014E6" w14:textId="77777777" w:rsidR="004A3F2E" w:rsidRDefault="004A3F2E" w:rsidP="00717604">
      <w:pPr>
        <w:pStyle w:val="AssignBody"/>
        <w:rPr>
          <w:b/>
          <w:bCs/>
        </w:rPr>
      </w:pPr>
    </w:p>
    <w:p w14:paraId="400D8C06" w14:textId="77777777" w:rsidR="00871800" w:rsidRDefault="00871800" w:rsidP="007B443D">
      <w:pPr>
        <w:pStyle w:val="AssignSubHeader"/>
      </w:pPr>
    </w:p>
    <w:p w14:paraId="35A59EDB" w14:textId="77777777" w:rsidR="00871800" w:rsidRDefault="00871800" w:rsidP="007B443D">
      <w:pPr>
        <w:pStyle w:val="AssignSubHeader"/>
      </w:pPr>
    </w:p>
    <w:p w14:paraId="070F5B63" w14:textId="77777777" w:rsidR="00871800" w:rsidRDefault="00871800" w:rsidP="007B443D">
      <w:pPr>
        <w:pStyle w:val="AssignSubHeader"/>
      </w:pPr>
    </w:p>
    <w:p w14:paraId="7E19FE18" w14:textId="2DCC0603" w:rsidR="00810935" w:rsidRPr="007B443D" w:rsidRDefault="004A3F2E" w:rsidP="007B443D">
      <w:pPr>
        <w:pStyle w:val="AssignSubHeader"/>
      </w:pPr>
      <w:r w:rsidRPr="007B443D">
        <w:lastRenderedPageBreak/>
        <w:t>References</w:t>
      </w:r>
    </w:p>
    <w:p w14:paraId="76C327FE" w14:textId="77777777" w:rsidR="009622DA" w:rsidRDefault="009622DA" w:rsidP="00810935">
      <w:pPr>
        <w:pStyle w:val="AssignBody"/>
      </w:pPr>
    </w:p>
    <w:p w14:paraId="109D5B92" w14:textId="09DCCD78" w:rsidR="00810935" w:rsidRDefault="00810935" w:rsidP="00810935">
      <w:pPr>
        <w:pStyle w:val="AssignBody"/>
      </w:pPr>
      <w:r>
        <w:t>Bland, D. (2012) ‘Analysing children’s drawings: applied imagination’, International journal of research &amp; method in education, 35(3), pp. 235–242. Available at: https://doi.org/10.1080/1743727X.2012.717432.</w:t>
      </w:r>
    </w:p>
    <w:p w14:paraId="347DDAF9" w14:textId="77777777" w:rsidR="00810935" w:rsidRDefault="00810935" w:rsidP="006400B3">
      <w:pPr>
        <w:pStyle w:val="AssignBody"/>
      </w:pPr>
    </w:p>
    <w:p w14:paraId="5E5E33AC" w14:textId="7FCE9D84" w:rsidR="00B8172A" w:rsidRDefault="006400B3" w:rsidP="006400B3">
      <w:pPr>
        <w:pStyle w:val="AssignBody"/>
      </w:pPr>
      <w:r>
        <w:t>Brace, I. (2008) Questionnaire design how to plan, structure and write survey material for effective market research. 2nd ed. London: Kogan Page.</w:t>
      </w:r>
    </w:p>
    <w:p w14:paraId="06F2073F" w14:textId="77777777" w:rsidR="00673444" w:rsidRDefault="00673444" w:rsidP="006400B3">
      <w:pPr>
        <w:pStyle w:val="AssignBody"/>
      </w:pPr>
    </w:p>
    <w:p w14:paraId="635FBA0E" w14:textId="1C64072C" w:rsidR="00673444" w:rsidRDefault="00673444" w:rsidP="006400B3">
      <w:pPr>
        <w:pStyle w:val="AssignBody"/>
      </w:pPr>
      <w:r>
        <w:t xml:space="preserve">British Educational Research Association [BERA] (2018) Ethical Guidelines for Educational Research, fourth edition, London. </w:t>
      </w:r>
      <w:hyperlink r:id="rId10" w:history="1">
        <w:r w:rsidR="00733B5B" w:rsidRPr="005B69BD">
          <w:rPr>
            <w:rStyle w:val="Hyperlink"/>
          </w:rPr>
          <w:t>https://www.bera.ac.uk/researchers-resources/publications/ethicalguidelines-for-educational-research-2018</w:t>
        </w:r>
      </w:hyperlink>
    </w:p>
    <w:p w14:paraId="46CE11ED" w14:textId="77777777" w:rsidR="00733B5B" w:rsidRDefault="00733B5B" w:rsidP="006400B3">
      <w:pPr>
        <w:pStyle w:val="AssignBody"/>
      </w:pPr>
    </w:p>
    <w:p w14:paraId="7447258A" w14:textId="7158772E" w:rsidR="00733B5B" w:rsidRPr="00733B5B" w:rsidRDefault="00733B5B" w:rsidP="00733B5B">
      <w:pPr>
        <w:pStyle w:val="AssignBody"/>
      </w:pPr>
      <w:r w:rsidRPr="00733B5B">
        <w:t>Brown, C. (2017) ‘“Favourite places in school” for lower-set “ability” pupils: school groupings practices and children’s spatial orientations’, Children’s Geographies, 15(4), pp. 399–412. doi:10.1080/14733285.2016.1269154.</w:t>
      </w:r>
    </w:p>
    <w:p w14:paraId="12E6296D" w14:textId="77777777" w:rsidR="005D1822" w:rsidRDefault="005D1822" w:rsidP="006400B3">
      <w:pPr>
        <w:pStyle w:val="AssignBody"/>
      </w:pPr>
    </w:p>
    <w:p w14:paraId="435A5064" w14:textId="5C1CBA6B" w:rsidR="005D1822" w:rsidRDefault="005D1822" w:rsidP="005D1822">
      <w:pPr>
        <w:pStyle w:val="AssignBody"/>
      </w:pPr>
      <w:r>
        <w:br/>
        <w:t>Birmingham</w:t>
      </w:r>
      <w:r w:rsidR="00D90D23">
        <w:t>, P</w:t>
      </w:r>
      <w:r>
        <w:t xml:space="preserve"> and Wilkinson</w:t>
      </w:r>
      <w:r w:rsidR="00D90D23">
        <w:t>, D</w:t>
      </w:r>
      <w:r>
        <w:t xml:space="preserve"> (2003) </w:t>
      </w:r>
      <w:r>
        <w:rPr>
          <w:i/>
          <w:iCs/>
          <w:sz w:val="18"/>
          <w:szCs w:val="18"/>
          <w:bdr w:val="none" w:sz="0" w:space="0" w:color="auto" w:frame="1"/>
        </w:rPr>
        <w:t>Using Research Instruments : A Guide for Researchers</w:t>
      </w:r>
      <w:r>
        <w:t>. London: Routledge (Routledge Study Guides). Available at: https://search-ebscohost-com.ezproxy.uwtsd.ac.uk/login.aspx?direct=true&amp;db=nlebk&amp;AN=102164&amp;site=ehost-live (Accessed: 17 February 2023).</w:t>
      </w:r>
    </w:p>
    <w:p w14:paraId="7ACAEA23" w14:textId="77777777" w:rsidR="005D1822" w:rsidRDefault="005D1822" w:rsidP="005D1822">
      <w:pPr>
        <w:pStyle w:val="cite-listitem"/>
        <w:spacing w:before="0" w:beforeAutospacing="0" w:after="0" w:afterAutospacing="0"/>
        <w:ind w:left="720"/>
        <w:textAlignment w:val="baseline"/>
        <w:rPr>
          <w:rFonts w:ascii="Helvetica" w:hAnsi="Helvetica"/>
          <w:color w:val="333333"/>
          <w:sz w:val="20"/>
          <w:szCs w:val="20"/>
        </w:rPr>
      </w:pPr>
    </w:p>
    <w:p w14:paraId="1DED2094" w14:textId="77777777" w:rsidR="005D1822" w:rsidRDefault="005D1822" w:rsidP="006400B3">
      <w:pPr>
        <w:pStyle w:val="AssignBody"/>
      </w:pPr>
    </w:p>
    <w:p w14:paraId="047DFF22" w14:textId="77777777" w:rsidR="00B8172A" w:rsidRDefault="00B8172A" w:rsidP="00B8172A">
      <w:pPr>
        <w:pStyle w:val="AssignBody"/>
      </w:pPr>
    </w:p>
    <w:p w14:paraId="650B467C" w14:textId="0886F626" w:rsidR="00B8172A" w:rsidRPr="00B8172A" w:rsidRDefault="00B8172A" w:rsidP="00B8172A">
      <w:pPr>
        <w:pStyle w:val="AssignBody"/>
      </w:pPr>
      <w:r w:rsidRPr="00B8172A">
        <w:t>Bruce, T., Louis, S. and McCall, G. (2015) Observing young children. Los Angeles: SAGE.</w:t>
      </w:r>
    </w:p>
    <w:p w14:paraId="384B1848" w14:textId="77777777" w:rsidR="00453628" w:rsidRDefault="00453628" w:rsidP="00A3253A">
      <w:pPr>
        <w:pStyle w:val="AssignBody"/>
      </w:pPr>
    </w:p>
    <w:p w14:paraId="522D1C6E" w14:textId="444D19F6" w:rsidR="00A3253A" w:rsidRDefault="00A3253A" w:rsidP="00A3253A">
      <w:pPr>
        <w:pStyle w:val="AssignBody"/>
      </w:pPr>
      <w:proofErr w:type="spellStart"/>
      <w:r w:rsidRPr="00A3253A">
        <w:t>Camerino</w:t>
      </w:r>
      <w:proofErr w:type="spellEnd"/>
      <w:r w:rsidRPr="00A3253A">
        <w:t xml:space="preserve">, O, </w:t>
      </w:r>
      <w:proofErr w:type="spellStart"/>
      <w:r w:rsidRPr="00A3253A">
        <w:t>Castaner</w:t>
      </w:r>
      <w:proofErr w:type="spellEnd"/>
      <w:r w:rsidRPr="00A3253A">
        <w:t xml:space="preserve">, M, &amp; </w:t>
      </w:r>
      <w:proofErr w:type="spellStart"/>
      <w:r w:rsidRPr="00A3253A">
        <w:t>Anguera</w:t>
      </w:r>
      <w:proofErr w:type="spellEnd"/>
      <w:r w:rsidRPr="00A3253A">
        <w:t xml:space="preserve">, </w:t>
      </w:r>
      <w:r>
        <w:t>(</w:t>
      </w:r>
      <w:r w:rsidRPr="00A3253A">
        <w:t>2012</w:t>
      </w:r>
      <w:r>
        <w:t>)</w:t>
      </w:r>
      <w:r w:rsidRPr="00A3253A">
        <w:t xml:space="preserve">, Mixed Methods Research in the Movement Sciences : Case Studies in Sport, Physical Education and Dance, Taylor &amp; Francis Group, London. Available from: ProQuest </w:t>
      </w:r>
      <w:proofErr w:type="spellStart"/>
      <w:r w:rsidRPr="00A3253A">
        <w:t>Ebook</w:t>
      </w:r>
      <w:proofErr w:type="spellEnd"/>
      <w:r w:rsidRPr="00A3253A">
        <w:t xml:space="preserve"> Central. [10 February 2023].</w:t>
      </w:r>
    </w:p>
    <w:p w14:paraId="7307D4E7" w14:textId="77777777" w:rsidR="00AE2481" w:rsidRDefault="00AE2481" w:rsidP="00A3253A">
      <w:pPr>
        <w:pStyle w:val="AssignBody"/>
      </w:pPr>
    </w:p>
    <w:p w14:paraId="5283C51C" w14:textId="6A7651E9" w:rsidR="00AE2481" w:rsidRPr="00A3253A" w:rsidRDefault="00AE2481" w:rsidP="00A3253A">
      <w:pPr>
        <w:pStyle w:val="AssignBody"/>
      </w:pPr>
      <w:r>
        <w:t xml:space="preserve">Children’s Services and Skills [Ofsted] (2012) ‘Young People’s Guide to The United Nations Convention on the Rights of the Child (UNCRC)’, London. </w:t>
      </w:r>
      <w:hyperlink r:id="rId11" w:history="1">
        <w:r w:rsidR="00FD1456" w:rsidRPr="005B69BD">
          <w:rPr>
            <w:rStyle w:val="Hyperlink"/>
          </w:rPr>
          <w:t>https://www.childrenscommissioner.gov.uk/publication/guide-tothe-uncrc/</w:t>
        </w:r>
      </w:hyperlink>
      <w:r w:rsidR="00FD1456">
        <w:t xml:space="preserve"> </w:t>
      </w:r>
    </w:p>
    <w:p w14:paraId="5189147C" w14:textId="77777777" w:rsidR="00453628" w:rsidRDefault="00453628" w:rsidP="00453628">
      <w:pPr>
        <w:pStyle w:val="AssignBody"/>
      </w:pPr>
    </w:p>
    <w:p w14:paraId="4AA21E78" w14:textId="77777777" w:rsidR="00934B46" w:rsidRDefault="00934B46" w:rsidP="00934B46">
      <w:pPr>
        <w:pStyle w:val="AssignBody"/>
      </w:pPr>
    </w:p>
    <w:p w14:paraId="5E2131D7" w14:textId="6EB7C0E8" w:rsidR="00934B46" w:rsidRDefault="00934B46" w:rsidP="00934B46">
      <w:pPr>
        <w:pStyle w:val="AssignBody"/>
      </w:pPr>
      <w:r>
        <w:lastRenderedPageBreak/>
        <w:t xml:space="preserve">Clarke, V. and Braun, V. (2017) ‘Thematic analysis’, The journal of positive psychology, 12(3), pp. 297–298. Available at: </w:t>
      </w:r>
      <w:hyperlink r:id="rId12" w:history="1">
        <w:r w:rsidR="001206C9" w:rsidRPr="005B69BD">
          <w:rPr>
            <w:rStyle w:val="Hyperlink"/>
          </w:rPr>
          <w:t>https://doi.org/10.1080/17439760.2016.1262613</w:t>
        </w:r>
      </w:hyperlink>
      <w:r>
        <w:t>.</w:t>
      </w:r>
    </w:p>
    <w:p w14:paraId="76E06A1A" w14:textId="77777777" w:rsidR="001206C9" w:rsidRPr="001206C9" w:rsidRDefault="001206C9" w:rsidP="001206C9">
      <w:pPr>
        <w:pStyle w:val="AssignBody"/>
      </w:pPr>
    </w:p>
    <w:p w14:paraId="225D6E67" w14:textId="3988A6F7" w:rsidR="001206C9" w:rsidRPr="001206C9" w:rsidRDefault="001206C9" w:rsidP="001206C9">
      <w:pPr>
        <w:pStyle w:val="AssignBody"/>
      </w:pPr>
      <w:r w:rsidRPr="001206C9">
        <w:t>Cohen, L., Manion, L. and Morrison, K. (2003) Research Methods in Education. London: Routledge. Available at: https://search-ebscohost-com.ezproxy.uwtsd.ac.uk/login.aspx?direct=true&amp;db=nlebk&amp;AN=77071&amp;site=ehost-live (Accessed: 21 February 2023).</w:t>
      </w:r>
    </w:p>
    <w:p w14:paraId="231EFDEA" w14:textId="77777777" w:rsidR="00934B46" w:rsidRDefault="00934B46" w:rsidP="00453628">
      <w:pPr>
        <w:pStyle w:val="AssignBody"/>
      </w:pPr>
    </w:p>
    <w:p w14:paraId="011C1224" w14:textId="646E7EB2" w:rsidR="00453628" w:rsidRDefault="00453628" w:rsidP="00453628">
      <w:pPr>
        <w:pStyle w:val="AssignBody"/>
      </w:pPr>
      <w:r>
        <w:t>Cohen, L. et al. (2018) Research methods in education. 8th ed. London: Routledge.</w:t>
      </w:r>
    </w:p>
    <w:p w14:paraId="116906BA" w14:textId="77777777" w:rsidR="00B82098" w:rsidRDefault="00B82098" w:rsidP="00453628">
      <w:pPr>
        <w:pStyle w:val="AssignBody"/>
      </w:pPr>
    </w:p>
    <w:p w14:paraId="27C86C87" w14:textId="251F2D68" w:rsidR="006D07F7" w:rsidRDefault="006D07F7" w:rsidP="006D07F7">
      <w:pPr>
        <w:pStyle w:val="AssignBody"/>
      </w:pPr>
      <w:r>
        <w:t xml:space="preserve">Fugard, A.J.B. and Potts, H.W.W. (2016) ‘“Shine bright like a diamond”? A reply to Braun and Clarke’, International journal of social research methodology, 19(6), pp. 745–746. Available at: </w:t>
      </w:r>
      <w:hyperlink r:id="rId13" w:history="1">
        <w:r w:rsidR="00A6539F" w:rsidRPr="005B69BD">
          <w:rPr>
            <w:rStyle w:val="Hyperlink"/>
          </w:rPr>
          <w:t>https://doi.org/10.1080/13645579.2016.1205794</w:t>
        </w:r>
      </w:hyperlink>
      <w:r>
        <w:t>.</w:t>
      </w:r>
    </w:p>
    <w:p w14:paraId="0D7F305D" w14:textId="77777777" w:rsidR="00A6539F" w:rsidRDefault="00A6539F" w:rsidP="006D07F7">
      <w:pPr>
        <w:pStyle w:val="AssignBody"/>
      </w:pPr>
    </w:p>
    <w:p w14:paraId="324487D6" w14:textId="77777777" w:rsidR="00A6539F" w:rsidRDefault="00A6539F" w:rsidP="00A6539F">
      <w:pPr>
        <w:pStyle w:val="AssignBody"/>
      </w:pPr>
    </w:p>
    <w:p w14:paraId="0F15FE5B" w14:textId="2E23156C" w:rsidR="00A6539F" w:rsidRDefault="00A6539F" w:rsidP="00A6539F">
      <w:pPr>
        <w:pStyle w:val="AssignBody"/>
      </w:pPr>
      <w:proofErr w:type="spellStart"/>
      <w:r>
        <w:t>Giesbertz</w:t>
      </w:r>
      <w:proofErr w:type="spellEnd"/>
      <w:r>
        <w:t xml:space="preserve">, N.A.A., </w:t>
      </w:r>
      <w:proofErr w:type="spellStart"/>
      <w:r>
        <w:t>Bredenoord</w:t>
      </w:r>
      <w:proofErr w:type="spellEnd"/>
      <w:r>
        <w:t xml:space="preserve">, A.L. and van </w:t>
      </w:r>
      <w:proofErr w:type="spellStart"/>
      <w:r>
        <w:t>Delden</w:t>
      </w:r>
      <w:proofErr w:type="spellEnd"/>
      <w:r>
        <w:t xml:space="preserve">, J.J.M. (2014) ‘Clarifying assent in </w:t>
      </w:r>
      <w:proofErr w:type="spellStart"/>
      <w:r>
        <w:t>pediatric</w:t>
      </w:r>
      <w:proofErr w:type="spellEnd"/>
      <w:r>
        <w:t xml:space="preserve"> research’, European journal of human genetics : EJHG, 22(2), pp. 266–269. Available at: </w:t>
      </w:r>
      <w:hyperlink r:id="rId14" w:history="1">
        <w:r w:rsidR="002937B5" w:rsidRPr="005B69BD">
          <w:rPr>
            <w:rStyle w:val="Hyperlink"/>
          </w:rPr>
          <w:t>https://doi.org/10.1038/ejhg.2013.119</w:t>
        </w:r>
      </w:hyperlink>
      <w:r>
        <w:t>.</w:t>
      </w:r>
    </w:p>
    <w:p w14:paraId="7C74FFD1" w14:textId="77777777" w:rsidR="002937B5" w:rsidRDefault="002937B5" w:rsidP="00A6539F">
      <w:pPr>
        <w:pStyle w:val="AssignBody"/>
      </w:pPr>
    </w:p>
    <w:p w14:paraId="65970A31" w14:textId="77777777" w:rsidR="002937B5" w:rsidRDefault="002937B5" w:rsidP="002937B5">
      <w:pPr>
        <w:pStyle w:val="AssignBody"/>
      </w:pPr>
    </w:p>
    <w:p w14:paraId="429818F1" w14:textId="778A10C9" w:rsidR="002937B5" w:rsidRDefault="002937B5" w:rsidP="002937B5">
      <w:pPr>
        <w:pStyle w:val="AssignBody"/>
      </w:pPr>
      <w:r>
        <w:t>Greenberg, M.T. et al. (2017) ‘Social and Emotional Learning as a Public Health Approach to Education’, The Future of children, 27(1), pp. 13–32. Available at: https://doi.org/10.1353/foc.2017.0001.</w:t>
      </w:r>
    </w:p>
    <w:p w14:paraId="76F28881" w14:textId="77777777" w:rsidR="00B82098" w:rsidRDefault="00B82098" w:rsidP="00B82098">
      <w:pPr>
        <w:pStyle w:val="AssignBody"/>
      </w:pPr>
    </w:p>
    <w:p w14:paraId="2E8A2F22" w14:textId="04CA9D2B" w:rsidR="00B82098" w:rsidRPr="00453628" w:rsidRDefault="00B82098" w:rsidP="00B82098">
      <w:pPr>
        <w:pStyle w:val="AssignBody"/>
      </w:pPr>
      <w:r>
        <w:t>Hesse-</w:t>
      </w:r>
      <w:proofErr w:type="spellStart"/>
      <w:r>
        <w:t>Biber</w:t>
      </w:r>
      <w:proofErr w:type="spellEnd"/>
      <w:r>
        <w:t>, S.N. and Johnson, B. (2016) The Oxford handbook of multimethod and mixed methods research inquiry. Edited by S.N. Hesse-</w:t>
      </w:r>
      <w:proofErr w:type="spellStart"/>
      <w:r>
        <w:t>Biber</w:t>
      </w:r>
      <w:proofErr w:type="spellEnd"/>
      <w:r>
        <w:t xml:space="preserve"> and B. Johnson. New York, NY: Oxford University Press.</w:t>
      </w:r>
    </w:p>
    <w:p w14:paraId="0741A852" w14:textId="77777777" w:rsidR="00727DCC" w:rsidRDefault="00727DCC" w:rsidP="00727DCC">
      <w:pPr>
        <w:pStyle w:val="AssignBody"/>
      </w:pPr>
    </w:p>
    <w:p w14:paraId="30C7ED83" w14:textId="53DAA21D" w:rsidR="004C7382" w:rsidRDefault="00727DCC" w:rsidP="00727DCC">
      <w:pPr>
        <w:pStyle w:val="AssignBody"/>
      </w:pPr>
      <w:r>
        <w:t xml:space="preserve">Humble, S. and Dixon, P. (2017) ‘The effects of schooling, family and poverty on children’s attainment, potential and confidence—Evidence from Kinondoni, Dar es Salaam, Tanzania’, International journal of educational research, 83, pp. 94–106. Available at: </w:t>
      </w:r>
      <w:hyperlink r:id="rId15" w:history="1">
        <w:r w:rsidR="00A06C18" w:rsidRPr="00B74ADA">
          <w:rPr>
            <w:rStyle w:val="Hyperlink"/>
          </w:rPr>
          <w:t>https://doi.org/10.1016/j.ijer.2017.03.001</w:t>
        </w:r>
      </w:hyperlink>
      <w:r>
        <w:t>.</w:t>
      </w:r>
    </w:p>
    <w:p w14:paraId="68ADC677" w14:textId="77777777" w:rsidR="00A06C18" w:rsidRDefault="00A06C18" w:rsidP="00727DCC">
      <w:pPr>
        <w:pStyle w:val="AssignBody"/>
      </w:pPr>
    </w:p>
    <w:p w14:paraId="4ED5D574" w14:textId="77777777" w:rsidR="00A06C18" w:rsidRDefault="00A06C18" w:rsidP="00A06C18">
      <w:pPr>
        <w:pStyle w:val="AssignBody"/>
      </w:pPr>
    </w:p>
    <w:p w14:paraId="3159BDF7" w14:textId="008EE2AF" w:rsidR="00A06C18" w:rsidRDefault="00A06C18" w:rsidP="00A06C18">
      <w:pPr>
        <w:pStyle w:val="AssignBody"/>
      </w:pPr>
      <w:proofErr w:type="spellStart"/>
      <w:r>
        <w:t>Juteau</w:t>
      </w:r>
      <w:proofErr w:type="spellEnd"/>
      <w:r>
        <w:t>, A</w:t>
      </w:r>
      <w:r w:rsidR="004235E7">
        <w:t>.</w:t>
      </w:r>
      <w:r>
        <w:t xml:space="preserve"> et al. (2019) ‘Individual Differences in Children’s Preference to Learn </w:t>
      </w:r>
      <w:proofErr w:type="gramStart"/>
      <w:r>
        <w:t>From</w:t>
      </w:r>
      <w:proofErr w:type="gramEnd"/>
      <w:r>
        <w:t xml:space="preserve"> a Confident Informant’, Frontiers in psychology, 10. Available at: </w:t>
      </w:r>
      <w:hyperlink r:id="rId16" w:history="1">
        <w:r w:rsidR="00767F51" w:rsidRPr="000E6C9D">
          <w:rPr>
            <w:rStyle w:val="Hyperlink"/>
          </w:rPr>
          <w:t>https://doi.org/10.3389/fpsyg.2019.02006</w:t>
        </w:r>
      </w:hyperlink>
      <w:r>
        <w:t>.</w:t>
      </w:r>
    </w:p>
    <w:p w14:paraId="14CC5DFD" w14:textId="77777777" w:rsidR="00767F51" w:rsidRDefault="00767F51" w:rsidP="00A06C18">
      <w:pPr>
        <w:pStyle w:val="AssignBody"/>
      </w:pPr>
    </w:p>
    <w:p w14:paraId="38574CCE" w14:textId="77777777" w:rsidR="00767F51" w:rsidRDefault="00767F51" w:rsidP="00767F51">
      <w:pPr>
        <w:pStyle w:val="AssignBody"/>
      </w:pPr>
    </w:p>
    <w:p w14:paraId="45BC9AD2" w14:textId="11F28672" w:rsidR="00767F51" w:rsidRDefault="00767F51" w:rsidP="00767F51">
      <w:pPr>
        <w:pStyle w:val="AssignBody"/>
      </w:pPr>
      <w:r>
        <w:t xml:space="preserve">Kalman, M. (2019) ‘“It Requires Interest, Time, </w:t>
      </w:r>
      <w:proofErr w:type="gramStart"/>
      <w:r>
        <w:t>Patience</w:t>
      </w:r>
      <w:proofErr w:type="gramEnd"/>
      <w:r>
        <w:t xml:space="preserve"> and Struggle”: Novice Researchers’ Perspectives on and Experiences of the Qualitative Research Journey’, Qualitative research in education, 8(3), pp. 341–377. Available at: </w:t>
      </w:r>
      <w:hyperlink r:id="rId17" w:history="1">
        <w:r w:rsidR="000A7B6A" w:rsidRPr="000E6C9D">
          <w:rPr>
            <w:rStyle w:val="Hyperlink"/>
          </w:rPr>
          <w:t>https://doi.org/10.17583/qre.2019.4483</w:t>
        </w:r>
      </w:hyperlink>
      <w:r>
        <w:t>.</w:t>
      </w:r>
    </w:p>
    <w:p w14:paraId="13C961DB" w14:textId="77777777" w:rsidR="00787ED5" w:rsidRDefault="00787ED5" w:rsidP="00767F51">
      <w:pPr>
        <w:pStyle w:val="AssignBody"/>
      </w:pPr>
    </w:p>
    <w:p w14:paraId="54830290" w14:textId="77777777" w:rsidR="00787ED5" w:rsidRDefault="00787ED5" w:rsidP="00787ED5">
      <w:pPr>
        <w:pStyle w:val="AssignBody"/>
      </w:pPr>
    </w:p>
    <w:p w14:paraId="536B49C8" w14:textId="6FC65581" w:rsidR="00787ED5" w:rsidRDefault="00787ED5" w:rsidP="00787ED5">
      <w:pPr>
        <w:pStyle w:val="AssignBody"/>
      </w:pPr>
      <w:r>
        <w:t xml:space="preserve">Kiger, M.E. and </w:t>
      </w:r>
      <w:proofErr w:type="spellStart"/>
      <w:r>
        <w:t>Varpio</w:t>
      </w:r>
      <w:proofErr w:type="spellEnd"/>
      <w:r>
        <w:t>, L. (2020) ‘Thematic analysis of qualitative data: AMEE Guide No. 131’, Medical teacher, 42(8), pp. 846–854. Available at: https://doi.org/10.1080/0142159X.2020.1755030.</w:t>
      </w:r>
    </w:p>
    <w:p w14:paraId="74EC9266" w14:textId="77777777" w:rsidR="000A7B6A" w:rsidRDefault="000A7B6A" w:rsidP="00767F51">
      <w:pPr>
        <w:pStyle w:val="AssignBody"/>
      </w:pPr>
    </w:p>
    <w:p w14:paraId="00944EDB" w14:textId="0E38F7B3" w:rsidR="004C7382" w:rsidRDefault="002B6DCE" w:rsidP="000C0B75">
      <w:pPr>
        <w:pStyle w:val="AssignBody"/>
      </w:pPr>
      <w:proofErr w:type="spellStart"/>
      <w:r w:rsidRPr="000C0B75">
        <w:t>Laevers</w:t>
      </w:r>
      <w:proofErr w:type="spellEnd"/>
      <w:r w:rsidRPr="000C0B75">
        <w:t xml:space="preserve">, F. (ed.) (1994) The Leuven Involvement Scale for Young Children, LIS-YC. </w:t>
      </w:r>
      <w:proofErr w:type="gramStart"/>
      <w:r w:rsidRPr="000C0B75">
        <w:t>Manual .</w:t>
      </w:r>
      <w:proofErr w:type="gramEnd"/>
      <w:r w:rsidRPr="000C0B75">
        <w:t xml:space="preserve"> Leuven, Belgium: Centre for Experiential Education.</w:t>
      </w:r>
      <w:r w:rsidRPr="000C0B75">
        <w:br/>
        <w:t xml:space="preserve">Examining Levels of Involvement in the Early </w:t>
      </w:r>
      <w:proofErr w:type="gramStart"/>
      <w:r w:rsidRPr="000C0B75">
        <w:t>Years :</w:t>
      </w:r>
      <w:proofErr w:type="gramEnd"/>
      <w:r w:rsidRPr="000C0B75">
        <w:t xml:space="preserve"> Engaging with Children's Possibilities, edited by Annie Woods, Taylor &amp; Francis Group, 2016. ProQuest </w:t>
      </w:r>
      <w:proofErr w:type="spellStart"/>
      <w:r w:rsidRPr="000C0B75">
        <w:t>Ebook</w:t>
      </w:r>
      <w:proofErr w:type="spellEnd"/>
      <w:r w:rsidRPr="000C0B75">
        <w:t xml:space="preserve"> Central, http://ebookcentral.proquest.com/lib/trinity/detail.action?docID=4335125.</w:t>
      </w:r>
      <w:r w:rsidRPr="000C0B75">
        <w:br/>
        <w:t>Created from trinity on 2023-02-14 22:06:52.</w:t>
      </w:r>
    </w:p>
    <w:p w14:paraId="0FD95FD8" w14:textId="77777777" w:rsidR="00A85311" w:rsidRDefault="00A85311" w:rsidP="000C0B75">
      <w:pPr>
        <w:pStyle w:val="AssignBody"/>
      </w:pPr>
    </w:p>
    <w:p w14:paraId="77582B6E" w14:textId="3515F86C" w:rsidR="00A85311" w:rsidRPr="000C0B75" w:rsidRDefault="00A85311" w:rsidP="000C0B75">
      <w:pPr>
        <w:pStyle w:val="AssignBody"/>
      </w:pPr>
      <w:r w:rsidRPr="00A85311">
        <w:t>Luckman, S. (2016). Virginia Braun and Victoria Clarke, Successful qualitative research: A practical guide for beginners. Feminism &amp; Psychology, 26(3), 387–391. https://doi-org.ezproxy.uwtsd.ac.uk/10.1177/0959353515614115</w:t>
      </w:r>
    </w:p>
    <w:p w14:paraId="5B818CAB" w14:textId="77777777" w:rsidR="002B6DCE" w:rsidRDefault="002B6DCE" w:rsidP="00916B28">
      <w:pPr>
        <w:pStyle w:val="AssignBody"/>
      </w:pPr>
    </w:p>
    <w:p w14:paraId="4606428D" w14:textId="6ED391D8" w:rsidR="00916B28" w:rsidRDefault="00916B28" w:rsidP="00916B28">
      <w:pPr>
        <w:pStyle w:val="AssignBody"/>
      </w:pPr>
      <w:r w:rsidRPr="00916B28">
        <w:t xml:space="preserve">Ludlow, B.L. (2014) ‘On Taking Responsibility’, Teaching exceptional children, 46(6), pp. 145–145. Available at: </w:t>
      </w:r>
      <w:hyperlink r:id="rId18" w:history="1">
        <w:r w:rsidR="00BD012B" w:rsidRPr="00B74ADA">
          <w:rPr>
            <w:rStyle w:val="Hyperlink"/>
          </w:rPr>
          <w:t>https://doi.org/10.1177/0040059914538413</w:t>
        </w:r>
      </w:hyperlink>
      <w:r w:rsidRPr="00916B28">
        <w:t>.</w:t>
      </w:r>
    </w:p>
    <w:p w14:paraId="20B52408" w14:textId="77777777" w:rsidR="003A2685" w:rsidRDefault="003A2685" w:rsidP="00916B28">
      <w:pPr>
        <w:pStyle w:val="AssignBody"/>
      </w:pPr>
    </w:p>
    <w:p w14:paraId="7CD0EAFB" w14:textId="77777777" w:rsidR="003A2685" w:rsidRDefault="003A2685" w:rsidP="003A2685">
      <w:pPr>
        <w:pStyle w:val="AssignBody"/>
      </w:pPr>
    </w:p>
    <w:p w14:paraId="45E56A17" w14:textId="1EAE4FF0" w:rsidR="003A2685" w:rsidRDefault="003A2685" w:rsidP="003A2685">
      <w:pPr>
        <w:pStyle w:val="AssignBody"/>
      </w:pPr>
      <w:proofErr w:type="spellStart"/>
      <w:r>
        <w:t>MacRae</w:t>
      </w:r>
      <w:proofErr w:type="spellEnd"/>
      <w:r>
        <w:t xml:space="preserve">, C. and Jones, L. (2020) ‘A philosophical reflection on the “Leuven Scale” and young children’s expressions of involvement’, International journal of qualitative studies in education, ahead-of-print(ahead-of-print), pp. 1–13. Available at: </w:t>
      </w:r>
      <w:hyperlink r:id="rId19" w:history="1">
        <w:r w:rsidR="00263E40" w:rsidRPr="005B69BD">
          <w:rPr>
            <w:rStyle w:val="Hyperlink"/>
          </w:rPr>
          <w:t>https://doi.org/10.1080/09518398.2020.1828650</w:t>
        </w:r>
      </w:hyperlink>
      <w:r>
        <w:t>.</w:t>
      </w:r>
    </w:p>
    <w:p w14:paraId="7CFF26F4" w14:textId="77777777" w:rsidR="00263E40" w:rsidRDefault="00263E40" w:rsidP="003A2685">
      <w:pPr>
        <w:pStyle w:val="AssignBody"/>
      </w:pPr>
    </w:p>
    <w:p w14:paraId="1DC0C88C" w14:textId="77777777" w:rsidR="00263E40" w:rsidRDefault="00263E40" w:rsidP="00263E40">
      <w:pPr>
        <w:pStyle w:val="AssignBody"/>
      </w:pPr>
    </w:p>
    <w:p w14:paraId="6B941004" w14:textId="273860FF" w:rsidR="00263E40" w:rsidRDefault="00263E40" w:rsidP="00263E40">
      <w:pPr>
        <w:pStyle w:val="AssignBody"/>
      </w:pPr>
      <w:proofErr w:type="spellStart"/>
      <w:r>
        <w:t>Marryshow</w:t>
      </w:r>
      <w:proofErr w:type="spellEnd"/>
      <w:r>
        <w:t>, D. et al. (2005) ‘Impact of Learning Orientation on African American Children’s Attitudes toward High-Achieving Peers’, The American journal of psychology, 118(4), pp. 603–618.</w:t>
      </w:r>
    </w:p>
    <w:p w14:paraId="4A8A6212" w14:textId="77777777" w:rsidR="00BD012B" w:rsidRDefault="00BD012B" w:rsidP="00916B28">
      <w:pPr>
        <w:pStyle w:val="AssignBody"/>
      </w:pPr>
    </w:p>
    <w:p w14:paraId="059F91B0" w14:textId="275F721E" w:rsidR="007A2856" w:rsidRDefault="007A2856" w:rsidP="007A2856">
      <w:pPr>
        <w:pStyle w:val="AssignBody"/>
      </w:pPr>
      <w:r w:rsidRPr="007A2856">
        <w:lastRenderedPageBreak/>
        <w:t xml:space="preserve">McAteer, </w:t>
      </w:r>
      <w:proofErr w:type="gramStart"/>
      <w:r w:rsidRPr="007A2856">
        <w:t>M.</w:t>
      </w:r>
      <w:r>
        <w:t>(</w:t>
      </w:r>
      <w:proofErr w:type="gramEnd"/>
      <w:r w:rsidRPr="007A2856">
        <w:t>2013</w:t>
      </w:r>
      <w:r>
        <w:t>)</w:t>
      </w:r>
      <w:r w:rsidRPr="007A2856">
        <w:t>. </w:t>
      </w:r>
      <w:r w:rsidRPr="007A2856">
        <w:rPr>
          <w:rStyle w:val="Emphasis"/>
          <w:i w:val="0"/>
          <w:iCs w:val="0"/>
        </w:rPr>
        <w:t>Action Research in Education</w:t>
      </w:r>
      <w:r w:rsidRPr="007A2856">
        <w:t>. BERA/SAGE Research Methods in Education. London: SAGE Publications Ltd. Available at: &lt;https://dx.doi.org/10.4135/9781473913967&gt; [Accessed 10 Feb 2023].</w:t>
      </w:r>
    </w:p>
    <w:p w14:paraId="6DA3D9BB" w14:textId="77777777" w:rsidR="00C326CA" w:rsidRDefault="00C326CA" w:rsidP="007A2856">
      <w:pPr>
        <w:pStyle w:val="AssignBody"/>
      </w:pPr>
    </w:p>
    <w:p w14:paraId="00258897" w14:textId="21826DF0" w:rsidR="00C326CA" w:rsidRPr="007A2856" w:rsidRDefault="00C326CA" w:rsidP="00C326CA">
      <w:pPr>
        <w:pStyle w:val="AssignBody"/>
      </w:pPr>
      <w:r>
        <w:t>Magnusson, M. et al. (2020) ‘Forensic interviewers’ experiences of interviewing children of different ages’, Psychology, crime &amp; law, 26(10), pp. 967–989. Available at: https://doi.org/10.1080/1068316X.2020.1742343.</w:t>
      </w:r>
    </w:p>
    <w:p w14:paraId="348573CE" w14:textId="77777777" w:rsidR="007A2856" w:rsidRDefault="007A2856" w:rsidP="00916B28">
      <w:pPr>
        <w:pStyle w:val="AssignBody"/>
      </w:pPr>
    </w:p>
    <w:p w14:paraId="2447259E" w14:textId="60CF36E2" w:rsidR="00BD012B" w:rsidRDefault="00BD012B" w:rsidP="00BD012B">
      <w:pPr>
        <w:pStyle w:val="AssignBody"/>
      </w:pPr>
      <w:r w:rsidRPr="00BD012B">
        <w:t xml:space="preserve">McPhee, J. et al. (2012) ‘The impact of changes to the school play environment on children’s confidence and play behaviour: A Principals perspective’, Journal of science and medicine in sport, 15, pp. S185–S186. Available at: </w:t>
      </w:r>
      <w:hyperlink r:id="rId20" w:history="1">
        <w:r w:rsidR="00D16899" w:rsidRPr="000E6C9D">
          <w:rPr>
            <w:rStyle w:val="Hyperlink"/>
          </w:rPr>
          <w:t>https://doi.org/10.1016/j.jsams.2012.11.451</w:t>
        </w:r>
      </w:hyperlink>
      <w:r w:rsidRPr="00BD012B">
        <w:t>.</w:t>
      </w:r>
    </w:p>
    <w:p w14:paraId="3260657B" w14:textId="77777777" w:rsidR="003A2685" w:rsidRDefault="003A2685" w:rsidP="00BD012B">
      <w:pPr>
        <w:pStyle w:val="AssignBody"/>
      </w:pPr>
    </w:p>
    <w:p w14:paraId="5DFBE863" w14:textId="77777777" w:rsidR="00D16899" w:rsidRDefault="00D16899" w:rsidP="00BD012B">
      <w:pPr>
        <w:pStyle w:val="AssignBody"/>
      </w:pPr>
    </w:p>
    <w:p w14:paraId="5A53ADE1" w14:textId="10955ADD" w:rsidR="00D16899" w:rsidRPr="00D16899" w:rsidRDefault="00D16899" w:rsidP="00D16899">
      <w:pPr>
        <w:pStyle w:val="AssignBody"/>
      </w:pPr>
      <w:r w:rsidRPr="00D16899">
        <w:t>Moffatt, S. et al. (2006) ‘Using quantitative and qualitative data in health services research -- what happens when mixed method findings conflict? [ISRCTN61522618]’, BMC Health Services Research, 6, pp. 28–10. doi:10.1186/1472-6963-6-28.</w:t>
      </w:r>
    </w:p>
    <w:p w14:paraId="5A025056" w14:textId="77777777" w:rsidR="00916B28" w:rsidRDefault="00916B28" w:rsidP="00FB193A">
      <w:pPr>
        <w:pStyle w:val="AssignBody"/>
      </w:pPr>
    </w:p>
    <w:p w14:paraId="744AA6B4" w14:textId="7933F9C7" w:rsidR="00792903" w:rsidRDefault="00FB193A" w:rsidP="00FB193A">
      <w:pPr>
        <w:pStyle w:val="AssignBody"/>
      </w:pPr>
      <w:r w:rsidRPr="00FB193A">
        <w:t>My Local School. (2022). </w:t>
      </w:r>
      <w:r w:rsidRPr="00FB193A">
        <w:rPr>
          <w:highlight w:val="black"/>
        </w:rPr>
        <w:t>Maes Yr Haul Broadlands.</w:t>
      </w:r>
      <w:r w:rsidRPr="00FB193A">
        <w:t xml:space="preserve"> [Online]. </w:t>
      </w:r>
      <w:proofErr w:type="spellStart"/>
      <w:r w:rsidRPr="00FB193A">
        <w:t>mylocalschool</w:t>
      </w:r>
      <w:proofErr w:type="spellEnd"/>
      <w:r w:rsidRPr="00FB193A">
        <w:t>. Available at: https://mylocalschool.gov.wales/School/6722367?lang=en#0 [Accessed 30 January 2023].</w:t>
      </w:r>
    </w:p>
    <w:p w14:paraId="483540BE" w14:textId="77777777" w:rsidR="00EA70C6" w:rsidRDefault="00EA70C6" w:rsidP="00FB193A">
      <w:pPr>
        <w:pStyle w:val="AssignBody"/>
      </w:pPr>
    </w:p>
    <w:p w14:paraId="086279D8" w14:textId="58A460FF" w:rsidR="006E19B7" w:rsidRPr="00EA70C6" w:rsidRDefault="00EA70C6" w:rsidP="00EA70C6">
      <w:pPr>
        <w:pStyle w:val="AssignBody"/>
      </w:pPr>
      <w:r w:rsidRPr="00EA70C6">
        <w:t>O′Reilly</w:t>
      </w:r>
      <w:r>
        <w:t>, M</w:t>
      </w:r>
      <w:r w:rsidRPr="00EA70C6">
        <w:t xml:space="preserve"> and Dogra</w:t>
      </w:r>
      <w:r>
        <w:t>, N</w:t>
      </w:r>
      <w:r w:rsidRPr="00EA70C6">
        <w:t xml:space="preserve"> (2016) Interviewing Children and Young People for Research. [</w:t>
      </w:r>
      <w:proofErr w:type="spellStart"/>
      <w:r w:rsidRPr="00EA70C6">
        <w:t>N.p.</w:t>
      </w:r>
      <w:proofErr w:type="spellEnd"/>
      <w:r w:rsidRPr="00EA70C6">
        <w:t>]: SAGE Publications Ltd. Available at: https://search-ebscohost-com.ezproxy.uwtsd.ac.uk/login.aspx?direct=true&amp;db=nlebk&amp;AN=1942845&amp;site=ehost-live (Accessed: 17 February 2023).</w:t>
      </w:r>
    </w:p>
    <w:p w14:paraId="49122CE4" w14:textId="77777777" w:rsidR="00B570B5" w:rsidRDefault="00B570B5" w:rsidP="00B570B5">
      <w:pPr>
        <w:pStyle w:val="AssignBody"/>
      </w:pPr>
    </w:p>
    <w:p w14:paraId="1DC1BAD2" w14:textId="539C9520" w:rsidR="00B570B5" w:rsidRDefault="00B570B5" w:rsidP="00B570B5">
      <w:pPr>
        <w:pStyle w:val="AssignBody"/>
      </w:pPr>
      <w:r>
        <w:t xml:space="preserve">Oshiro, A. et al. (2019) ‘Scaffolding 5-year-old children in Japanese kindergarten collaboratively retelling a tale’, International journal of early years education, 27(1), pp. 82–94. Available at: </w:t>
      </w:r>
      <w:hyperlink r:id="rId21" w:history="1">
        <w:r w:rsidR="00DA1860" w:rsidRPr="005B69BD">
          <w:rPr>
            <w:rStyle w:val="Hyperlink"/>
          </w:rPr>
          <w:t>https://doi.org/10.1080/09669760.2018.1547631</w:t>
        </w:r>
      </w:hyperlink>
      <w:r>
        <w:t>.</w:t>
      </w:r>
    </w:p>
    <w:p w14:paraId="2F40507D" w14:textId="77777777" w:rsidR="00DA1860" w:rsidRDefault="00DA1860" w:rsidP="00B570B5">
      <w:pPr>
        <w:pStyle w:val="AssignBody"/>
      </w:pPr>
    </w:p>
    <w:p w14:paraId="45F2971D" w14:textId="21FF47D3" w:rsidR="00DA1860" w:rsidRPr="00DA1860" w:rsidRDefault="00DA1860" w:rsidP="00DA1860">
      <w:pPr>
        <w:pStyle w:val="AssignBody"/>
      </w:pPr>
      <w:r w:rsidRPr="00DA1860">
        <w:t xml:space="preserve">Palmer, M. et al. (2021) ‘Development of the Observation Schedule for Children with Autism–Anxiety, Behaviour and Parenting (OSCA–ABP): A New Measure of Child and Parenting </w:t>
      </w:r>
      <w:proofErr w:type="spellStart"/>
      <w:r w:rsidRPr="00DA1860">
        <w:t>Behavior</w:t>
      </w:r>
      <w:proofErr w:type="spellEnd"/>
      <w:r w:rsidRPr="00DA1860">
        <w:t xml:space="preserve"> for Use with Young Autistic Children’, Journal of Autism &amp; Developmental Disorders, 51(1), pp. 1–14. doi:10.1007/s10803-020-04506-3.</w:t>
      </w:r>
    </w:p>
    <w:p w14:paraId="35D34E09" w14:textId="77777777" w:rsidR="00B570B5" w:rsidRDefault="00B570B5" w:rsidP="00FB193A">
      <w:pPr>
        <w:pStyle w:val="AssignBody"/>
      </w:pPr>
    </w:p>
    <w:p w14:paraId="78DCF47C" w14:textId="14AC9C29" w:rsidR="001828DE" w:rsidRPr="001828DE" w:rsidRDefault="001828DE" w:rsidP="001828DE">
      <w:pPr>
        <w:pStyle w:val="AssignBody"/>
      </w:pPr>
      <w:r w:rsidRPr="001828DE">
        <w:t xml:space="preserve">Peralta, O. et al. (2013) ‘Scaffolding young children’s understanding of symbolic objects’, Early years (London, England), 33(3), pp. 266–274. Available at: </w:t>
      </w:r>
      <w:hyperlink r:id="rId22" w:history="1">
        <w:r w:rsidRPr="001828DE">
          <w:rPr>
            <w:rStyle w:val="Hyperlink"/>
            <w:color w:val="auto"/>
            <w:u w:val="none"/>
          </w:rPr>
          <w:t>https://doi.org/10.1080/09575146.2012.732042</w:t>
        </w:r>
      </w:hyperlink>
      <w:r w:rsidRPr="001828DE">
        <w:t>.</w:t>
      </w:r>
    </w:p>
    <w:p w14:paraId="3C7D6E62" w14:textId="77777777" w:rsidR="001828DE" w:rsidRDefault="001828DE" w:rsidP="00FB193A">
      <w:pPr>
        <w:pStyle w:val="AssignBody"/>
      </w:pPr>
    </w:p>
    <w:p w14:paraId="4B8B3D22" w14:textId="77777777" w:rsidR="002A2D8F" w:rsidRDefault="002A2D8F" w:rsidP="002A2D8F">
      <w:pPr>
        <w:pStyle w:val="AssignBody"/>
      </w:pPr>
    </w:p>
    <w:p w14:paraId="5DE3F950" w14:textId="77777777" w:rsidR="00D10D3C" w:rsidRDefault="00D10D3C" w:rsidP="00D10D3C">
      <w:pPr>
        <w:pStyle w:val="AssignBody"/>
      </w:pPr>
    </w:p>
    <w:p w14:paraId="0FA46CA2" w14:textId="5F9CD87E" w:rsidR="00D10D3C" w:rsidRDefault="00D10D3C" w:rsidP="00D10D3C">
      <w:pPr>
        <w:pStyle w:val="AssignBody"/>
      </w:pPr>
      <w:r>
        <w:t>Presser, S. et al. (2004) Methods for testing and evaluating survey questionnaires. Edited by S. Presser et al. Hoboken, New Jersey: Wiley-</w:t>
      </w:r>
      <w:proofErr w:type="spellStart"/>
      <w:r>
        <w:t>Interscience</w:t>
      </w:r>
      <w:proofErr w:type="spellEnd"/>
      <w:r>
        <w:t xml:space="preserve"> a John Wiley &amp; Sons, Inc. publication. Available at: https://doi.org/10.1002/0471654728.</w:t>
      </w:r>
    </w:p>
    <w:p w14:paraId="353F5D44" w14:textId="77777777" w:rsidR="00D10D3C" w:rsidRDefault="00D10D3C" w:rsidP="002A2D8F">
      <w:pPr>
        <w:pStyle w:val="AssignBody"/>
      </w:pPr>
    </w:p>
    <w:p w14:paraId="55AACCAB" w14:textId="31E83B80" w:rsidR="002A2D8F" w:rsidRDefault="002A2D8F" w:rsidP="002A2D8F">
      <w:pPr>
        <w:pStyle w:val="AssignBody"/>
      </w:pPr>
      <w:r>
        <w:t xml:space="preserve">Robinson, M. (2014) The feeling child : laying the foundations of confidence and resilience. </w:t>
      </w:r>
      <w:proofErr w:type="spellStart"/>
      <w:proofErr w:type="gramStart"/>
      <w:r>
        <w:t>Oxfordshire,England</w:t>
      </w:r>
      <w:proofErr w:type="spellEnd"/>
      <w:proofErr w:type="gramEnd"/>
      <w:r>
        <w:t> ;: Routledge.</w:t>
      </w:r>
    </w:p>
    <w:p w14:paraId="028D6D33" w14:textId="77777777" w:rsidR="000F3734" w:rsidRDefault="000F3734" w:rsidP="000F3734">
      <w:pPr>
        <w:pStyle w:val="AssignBody"/>
      </w:pPr>
    </w:p>
    <w:p w14:paraId="19D8C658" w14:textId="24463E1C" w:rsidR="00E623FE" w:rsidRDefault="000F3734" w:rsidP="000F3734">
      <w:pPr>
        <w:pStyle w:val="AssignBody"/>
      </w:pPr>
      <w:r>
        <w:t xml:space="preserve">Rodgers, E. et al. (2016) ‘Examining the Nature of Scaffolding in an Early Literacy Intervention’, Reading research quarterly. Rodgers E., D’Agostino J.V., </w:t>
      </w:r>
      <w:proofErr w:type="spellStart"/>
      <w:r>
        <w:t>Harmey</w:t>
      </w:r>
      <w:proofErr w:type="spellEnd"/>
      <w:r>
        <w:t xml:space="preserve"> S.J., Kelly R.H., Brownfield K. (2016). Examining the Nature of Scaffolding in an Early Literacy Intervention. Reading Research Quarterly 51(2), 345-360. doi:10.1002/rrq.142, 51(3), pp. 345–360. Available at: </w:t>
      </w:r>
      <w:hyperlink r:id="rId23" w:history="1">
        <w:r w:rsidRPr="00B74ADA">
          <w:rPr>
            <w:rStyle w:val="Hyperlink"/>
          </w:rPr>
          <w:t>https://doi.org/10.1002/rrq.142</w:t>
        </w:r>
      </w:hyperlink>
      <w:r>
        <w:t>.</w:t>
      </w:r>
    </w:p>
    <w:p w14:paraId="3D28E868" w14:textId="77777777" w:rsidR="00D07982" w:rsidRDefault="00D07982" w:rsidP="000F3734">
      <w:pPr>
        <w:pStyle w:val="AssignBody"/>
      </w:pPr>
    </w:p>
    <w:p w14:paraId="77D1F640" w14:textId="77777777" w:rsidR="009C59DB" w:rsidRDefault="009C59DB" w:rsidP="009C59DB">
      <w:pPr>
        <w:pStyle w:val="AssignBody"/>
      </w:pPr>
    </w:p>
    <w:p w14:paraId="78A4AEAC" w14:textId="796351E8" w:rsidR="009C59DB" w:rsidRDefault="009C59DB" w:rsidP="009C59DB">
      <w:pPr>
        <w:pStyle w:val="AssignBody"/>
      </w:pPr>
      <w:r>
        <w:t>Taylor, C., Rhys, M. and Waldron, S. (2016) ‘Implementing curriculum reform in Wales: the case of the Foundation Phase’, Oxford review of education, 42(3), pp. 299–315. Available at: https://doi.org/10.1080/03054985.2016.1184872.</w:t>
      </w:r>
    </w:p>
    <w:p w14:paraId="3A4D4FC1" w14:textId="77777777" w:rsidR="009C59DB" w:rsidRDefault="009C59DB" w:rsidP="000F3734">
      <w:pPr>
        <w:pStyle w:val="AssignBody"/>
      </w:pPr>
    </w:p>
    <w:p w14:paraId="66367812" w14:textId="5799968D" w:rsidR="004648AC" w:rsidRDefault="004648AC" w:rsidP="000F3734">
      <w:pPr>
        <w:pStyle w:val="AssignBody"/>
      </w:pPr>
      <w:r>
        <w:t xml:space="preserve">Vygotsky, L. S. (1978). Mind in society: The development of higher psychological process. Cambridge, MS: Harvard University Press  </w:t>
      </w:r>
    </w:p>
    <w:p w14:paraId="4285B9A1" w14:textId="77777777" w:rsidR="004648AC" w:rsidRPr="00FB193A" w:rsidRDefault="004648AC" w:rsidP="000F3734">
      <w:pPr>
        <w:pStyle w:val="AssignBody"/>
      </w:pPr>
    </w:p>
    <w:p w14:paraId="204E1CC0" w14:textId="354754AD" w:rsidR="00FB193A" w:rsidRPr="006E19B7" w:rsidRDefault="006E19B7" w:rsidP="00717604">
      <w:pPr>
        <w:pStyle w:val="AssignBody"/>
      </w:pPr>
      <w:r w:rsidRPr="006E19B7">
        <w:t>Welsh Government. (2015). Successful futures: a summary of Professor Graham Donaldson’s report. [Online]</w:t>
      </w:r>
      <w:proofErr w:type="gramStart"/>
      <w:r w:rsidRPr="006E19B7">
        <w:t>. .</w:t>
      </w:r>
      <w:proofErr w:type="gramEnd"/>
      <w:r w:rsidRPr="006E19B7">
        <w:t xml:space="preserve"> Available at:</w:t>
      </w:r>
      <w:r w:rsidR="009D4499">
        <w:t xml:space="preserve"> </w:t>
      </w:r>
      <w:r w:rsidRPr="006E19B7">
        <w:t>https://www.gov.wales/sites/default/files/publications/2018-03/succesful-futures-a-summary-of-profes [Accessed 30 January 2023].</w:t>
      </w:r>
    </w:p>
    <w:p w14:paraId="11218572" w14:textId="77777777" w:rsidR="00FB193A" w:rsidRDefault="00FB193A" w:rsidP="002972E9">
      <w:pPr>
        <w:pStyle w:val="AssignBody"/>
      </w:pPr>
    </w:p>
    <w:p w14:paraId="5988385B" w14:textId="2C9E2FC1" w:rsidR="009D4499" w:rsidRPr="002D4674" w:rsidRDefault="009D4499" w:rsidP="002972E9">
      <w:pPr>
        <w:pStyle w:val="AssignBody"/>
      </w:pPr>
      <w:r>
        <w:t>Welsh Government. (</w:t>
      </w:r>
      <w:r w:rsidR="002D4674">
        <w:t xml:space="preserve">2019) </w:t>
      </w:r>
      <w:r w:rsidR="002D4674" w:rsidRPr="002D4674">
        <w:rPr>
          <w:i/>
          <w:iCs/>
        </w:rPr>
        <w:t>Professional standards for teaching and leadership</w:t>
      </w:r>
      <w:r w:rsidR="002D4674">
        <w:rPr>
          <w:i/>
          <w:iCs/>
        </w:rPr>
        <w:t xml:space="preserve">. </w:t>
      </w:r>
      <w:r w:rsidR="00FE2307">
        <w:t>Available at:</w:t>
      </w:r>
      <w:r w:rsidR="006872E3" w:rsidRPr="006872E3">
        <w:t xml:space="preserve"> </w:t>
      </w:r>
      <w:hyperlink r:id="rId24" w:history="1">
        <w:r w:rsidR="006872E3" w:rsidRPr="00A30D85">
          <w:rPr>
            <w:rStyle w:val="Hyperlink"/>
          </w:rPr>
          <w:t>https://hwb.gov.wales/api/storage/19bc948b-8a3f-41e0-944a-7bf2cadf7d18/professional-standards-for-teaching-and-leadership-interactive-pdf-for-pc.pdf</w:t>
        </w:r>
      </w:hyperlink>
      <w:r w:rsidR="006872E3">
        <w:t xml:space="preserve"> (Accessed: 10 February 2023).</w:t>
      </w:r>
    </w:p>
    <w:p w14:paraId="64F0A4BC" w14:textId="77777777" w:rsidR="009D4499" w:rsidRPr="002972E9" w:rsidRDefault="009D4499" w:rsidP="002972E9">
      <w:pPr>
        <w:pStyle w:val="AssignBody"/>
      </w:pPr>
    </w:p>
    <w:p w14:paraId="2151B290" w14:textId="727D7DBA" w:rsidR="00AA0F9C" w:rsidRDefault="002972E9" w:rsidP="00717604">
      <w:pPr>
        <w:pStyle w:val="AssignBody"/>
      </w:pPr>
      <w:r w:rsidRPr="002972E9">
        <w:t>Welsh Government</w:t>
      </w:r>
      <w:r>
        <w:t>. (2017)</w:t>
      </w:r>
      <w:r w:rsidR="001C5372">
        <w:t xml:space="preserve"> </w:t>
      </w:r>
      <w:r w:rsidR="001C5372" w:rsidRPr="001C5372">
        <w:rPr>
          <w:i/>
          <w:iCs/>
        </w:rPr>
        <w:t>Literacy and numeracy: Your questions answered</w:t>
      </w:r>
      <w:r w:rsidR="001C5372">
        <w:rPr>
          <w:i/>
          <w:iCs/>
        </w:rPr>
        <w:t>.</w:t>
      </w:r>
      <w:r w:rsidR="00D00A1E">
        <w:rPr>
          <w:i/>
          <w:iCs/>
        </w:rPr>
        <w:t xml:space="preserve"> </w:t>
      </w:r>
      <w:r w:rsidR="00D00A1E">
        <w:t>Available at:</w:t>
      </w:r>
      <w:r w:rsidR="00D00A1E" w:rsidRPr="00D00A1E">
        <w:t xml:space="preserve"> </w:t>
      </w:r>
      <w:hyperlink r:id="rId25" w:anchor=":~:text=The%20National%20Literacy%20and%20Numeracy%20Programme%20%E2%80%93%20a,and%20numeracy%20skills%20across%20a%20range%20of%20contexts" w:history="1">
        <w:r w:rsidR="00D00A1E" w:rsidRPr="00B74ADA">
          <w:rPr>
            <w:rStyle w:val="Hyperlink"/>
          </w:rPr>
          <w:t>https://hwb.gov.wales/api/storage/a625428e-9359-4981-a5a0-5accbc506b9d/literacy-and-numeracy-your-questions-</w:t>
        </w:r>
        <w:r w:rsidR="00D00A1E" w:rsidRPr="00B74ADA">
          <w:rPr>
            <w:rStyle w:val="Hyperlink"/>
          </w:rPr>
          <w:lastRenderedPageBreak/>
          <w:t>answered.pdf#:~:text=The%20National%20Literacy%20and%20Numeracy%20Programme%20%E2%80%93%20a,and%20numeracy%20skills%20across%20a%20range%20of%20contexts</w:t>
        </w:r>
      </w:hyperlink>
      <w:r w:rsidR="00D00A1E" w:rsidRPr="00D00A1E">
        <w:t>.</w:t>
      </w:r>
      <w:r w:rsidR="00D00A1E">
        <w:t xml:space="preserve"> </w:t>
      </w:r>
      <w:r w:rsidR="006C620B">
        <w:t>(</w:t>
      </w:r>
      <w:r w:rsidR="00D00A1E">
        <w:t>Accessed: 05/02/2023</w:t>
      </w:r>
      <w:r w:rsidR="007312D3">
        <w:t>)</w:t>
      </w:r>
    </w:p>
    <w:p w14:paraId="16A6D2EA" w14:textId="77777777" w:rsidR="00214C94" w:rsidRDefault="00214C94" w:rsidP="00717604">
      <w:pPr>
        <w:pStyle w:val="AssignBody"/>
      </w:pPr>
    </w:p>
    <w:p w14:paraId="7B4BB264" w14:textId="77777777" w:rsidR="00933A04" w:rsidRDefault="00933A04" w:rsidP="00717604">
      <w:pPr>
        <w:pStyle w:val="AssignBody"/>
      </w:pPr>
    </w:p>
    <w:p w14:paraId="1B38F965" w14:textId="77777777" w:rsidR="00933A04" w:rsidRPr="00933A04" w:rsidRDefault="00D66A85" w:rsidP="00717604">
      <w:pPr>
        <w:pStyle w:val="AssignBody"/>
        <w:rPr>
          <w:b/>
          <w:bCs/>
        </w:rPr>
      </w:pPr>
      <w:r w:rsidRPr="00933A04">
        <w:rPr>
          <w:b/>
          <w:bCs/>
        </w:rPr>
        <w:t xml:space="preserve">Reference List Appendices </w:t>
      </w:r>
    </w:p>
    <w:p w14:paraId="084E75C8" w14:textId="77777777" w:rsidR="00765AAB" w:rsidRDefault="00D66A85" w:rsidP="00717604">
      <w:pPr>
        <w:pStyle w:val="AssignBody"/>
      </w:pPr>
      <w:r>
        <w:t xml:space="preserve">These must include: </w:t>
      </w:r>
    </w:p>
    <w:p w14:paraId="0DB05088" w14:textId="77777777" w:rsidR="00765AAB" w:rsidRDefault="00D66A85" w:rsidP="00717604">
      <w:pPr>
        <w:pStyle w:val="AssignBody"/>
      </w:pPr>
      <w:r>
        <w:t xml:space="preserve">• Any research tools that you created, </w:t>
      </w:r>
      <w:proofErr w:type="gramStart"/>
      <w:r>
        <w:t>e.g.</w:t>
      </w:r>
      <w:proofErr w:type="gramEnd"/>
      <w:r>
        <w:t xml:space="preserve"> Observation Schedule, Interview Questions, Questionnaire, details of any other research method. </w:t>
      </w:r>
    </w:p>
    <w:p w14:paraId="7D447A42" w14:textId="77777777" w:rsidR="00765AAB" w:rsidRDefault="00D66A85" w:rsidP="00717604">
      <w:pPr>
        <w:pStyle w:val="AssignBody"/>
      </w:pPr>
      <w:r>
        <w:t xml:space="preserve">• Ethics Form </w:t>
      </w:r>
    </w:p>
    <w:p w14:paraId="443B1541" w14:textId="77777777" w:rsidR="00765AAB" w:rsidRDefault="00D66A85" w:rsidP="00717604">
      <w:pPr>
        <w:pStyle w:val="AssignBody"/>
      </w:pPr>
      <w:r>
        <w:t xml:space="preserve">• Blank parental consent letter and details of the method used </w:t>
      </w:r>
      <w:proofErr w:type="gramStart"/>
      <w:r>
        <w:t>in order to</w:t>
      </w:r>
      <w:proofErr w:type="gramEnd"/>
      <w:r>
        <w:t xml:space="preserve"> gain pupil assent These can include: </w:t>
      </w:r>
    </w:p>
    <w:p w14:paraId="25ECCAFB" w14:textId="77777777" w:rsidR="00765AAB" w:rsidRDefault="00D66A85" w:rsidP="00717604">
      <w:pPr>
        <w:pStyle w:val="AssignBody"/>
      </w:pPr>
      <w:r>
        <w:t xml:space="preserve">• Lesson Plan (if relevant) </w:t>
      </w:r>
    </w:p>
    <w:p w14:paraId="301D5967" w14:textId="29AB2665" w:rsidR="00890E79" w:rsidRPr="00E611D9" w:rsidRDefault="00D66A85" w:rsidP="00717604">
      <w:pPr>
        <w:pStyle w:val="AssignBody"/>
      </w:pPr>
      <w:r>
        <w:t>• Anything else that you think would be useful so that the reader can fully understand your research study.</w:t>
      </w:r>
    </w:p>
    <w:sectPr w:rsidR="00890E79" w:rsidRPr="00E611D9">
      <w:headerReference w:type="default" r:id="rId26"/>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BC5189" w14:textId="77777777" w:rsidR="005C6C77" w:rsidRDefault="005C6C77" w:rsidP="00E611D9">
      <w:pPr>
        <w:spacing w:after="0" w:line="240" w:lineRule="auto"/>
      </w:pPr>
      <w:r>
        <w:separator/>
      </w:r>
    </w:p>
  </w:endnote>
  <w:endnote w:type="continuationSeparator" w:id="0">
    <w:p w14:paraId="31975747" w14:textId="77777777" w:rsidR="005C6C77" w:rsidRDefault="005C6C77"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Roboto">
    <w:altName w:val="Roboto"/>
    <w:charset w:val="00"/>
    <w:family w:val="auto"/>
    <w:pitch w:val="variable"/>
    <w:sig w:usb0="E0000AFF" w:usb1="5000217F" w:usb2="00000021" w:usb3="00000000" w:csb0="0000019F"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1959A" w14:textId="5E2456B8"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ED66BD" w14:textId="77777777" w:rsidR="005C6C77" w:rsidRDefault="005C6C77" w:rsidP="00E611D9">
      <w:pPr>
        <w:spacing w:after="0" w:line="240" w:lineRule="auto"/>
      </w:pPr>
      <w:r>
        <w:separator/>
      </w:r>
    </w:p>
  </w:footnote>
  <w:footnote w:type="continuationSeparator" w:id="0">
    <w:p w14:paraId="4847470D" w14:textId="77777777" w:rsidR="005C6C77" w:rsidRDefault="005C6C77"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33A3CE94"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r w:rsidR="00D236B9">
            <w:rPr>
              <w:rFonts w:ascii="Arial" w:hAnsi="Arial" w:cs="Arial"/>
            </w:rPr>
            <w:t>6010</w:t>
          </w:r>
        </w:p>
      </w:tc>
      <w:tc>
        <w:tcPr>
          <w:tcW w:w="4508" w:type="dxa"/>
        </w:tcPr>
        <w:p w14:paraId="51D506A0" w14:textId="1DFC60AC" w:rsidR="00E611D9" w:rsidRPr="00E611D9" w:rsidRDefault="00E611D9" w:rsidP="00D236B9">
          <w:pPr>
            <w:pStyle w:val="Header"/>
            <w:rPr>
              <w:rFonts w:ascii="Arial" w:hAnsi="Arial" w:cs="Arial"/>
            </w:rPr>
          </w:pPr>
          <w:proofErr w:type="spellStart"/>
          <w:r>
            <w:rPr>
              <w:rFonts w:ascii="Arial" w:hAnsi="Arial" w:cs="Arial"/>
            </w:rPr>
            <w:t>Rhif</w:t>
          </w:r>
          <w:proofErr w:type="spellEnd"/>
          <w:r>
            <w:rPr>
              <w:rFonts w:ascii="Arial" w:hAnsi="Arial" w:cs="Arial"/>
            </w:rPr>
            <w:t xml:space="preserve"> </w:t>
          </w:r>
          <w:proofErr w:type="spellStart"/>
          <w:r>
            <w:rPr>
              <w:rFonts w:ascii="Arial" w:hAnsi="Arial" w:cs="Arial"/>
            </w:rPr>
            <w:t>Myfyriwr</w:t>
          </w:r>
          <w:proofErr w:type="spellEnd"/>
          <w:r>
            <w:rPr>
              <w:rFonts w:ascii="Arial" w:hAnsi="Arial" w:cs="Arial"/>
            </w:rPr>
            <w:t xml:space="preserve"> / Student Number:</w:t>
          </w:r>
          <w:r w:rsidR="00D236B9">
            <w:rPr>
              <w:rFonts w:ascii="Arial" w:hAnsi="Arial" w:cs="Arial"/>
            </w:rPr>
            <w:t xml:space="preserve"> 190080</w:t>
          </w:r>
          <w:r w:rsidR="00DA77E2">
            <w:rPr>
              <w:rFonts w:ascii="Arial" w:hAnsi="Arial" w:cs="Arial"/>
            </w:rPr>
            <w:t>6</w:t>
          </w:r>
          <w:r>
            <w:rPr>
              <w:rFonts w:ascii="Arial" w:hAnsi="Arial" w:cs="Arial"/>
            </w:rPr>
            <w:t xml:space="preserve"> </w:t>
          </w:r>
        </w:p>
      </w:tc>
    </w:tr>
  </w:tbl>
  <w:p w14:paraId="31028CA5" w14:textId="6FB93499" w:rsidR="00E611D9" w:rsidRDefault="00E611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BE6E9A"/>
    <w:multiLevelType w:val="multilevel"/>
    <w:tmpl w:val="AEDEE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347429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240"/>
    <w:rsid w:val="00002441"/>
    <w:rsid w:val="00011B14"/>
    <w:rsid w:val="00024E59"/>
    <w:rsid w:val="00030BBC"/>
    <w:rsid w:val="00031A44"/>
    <w:rsid w:val="00031AEF"/>
    <w:rsid w:val="00036A88"/>
    <w:rsid w:val="00045DF0"/>
    <w:rsid w:val="00050E99"/>
    <w:rsid w:val="00053142"/>
    <w:rsid w:val="00054258"/>
    <w:rsid w:val="0005768A"/>
    <w:rsid w:val="0006237F"/>
    <w:rsid w:val="00064348"/>
    <w:rsid w:val="000658F8"/>
    <w:rsid w:val="000758B3"/>
    <w:rsid w:val="00075C81"/>
    <w:rsid w:val="00085937"/>
    <w:rsid w:val="000866BA"/>
    <w:rsid w:val="00090291"/>
    <w:rsid w:val="00093E1D"/>
    <w:rsid w:val="00095E66"/>
    <w:rsid w:val="000A4ABD"/>
    <w:rsid w:val="000A54BA"/>
    <w:rsid w:val="000A5C1D"/>
    <w:rsid w:val="000A7B6A"/>
    <w:rsid w:val="000B0077"/>
    <w:rsid w:val="000B6932"/>
    <w:rsid w:val="000C0B75"/>
    <w:rsid w:val="000C3EEE"/>
    <w:rsid w:val="000C676B"/>
    <w:rsid w:val="000D199B"/>
    <w:rsid w:val="000D1D9B"/>
    <w:rsid w:val="000D238C"/>
    <w:rsid w:val="000D3802"/>
    <w:rsid w:val="000D6D9B"/>
    <w:rsid w:val="000E2D0F"/>
    <w:rsid w:val="000E46A8"/>
    <w:rsid w:val="000E4913"/>
    <w:rsid w:val="000F08B0"/>
    <w:rsid w:val="000F3734"/>
    <w:rsid w:val="001008FE"/>
    <w:rsid w:val="00101515"/>
    <w:rsid w:val="00102841"/>
    <w:rsid w:val="00105D46"/>
    <w:rsid w:val="00107775"/>
    <w:rsid w:val="001108D2"/>
    <w:rsid w:val="00110A22"/>
    <w:rsid w:val="0011315E"/>
    <w:rsid w:val="001206C9"/>
    <w:rsid w:val="00130771"/>
    <w:rsid w:val="00136E29"/>
    <w:rsid w:val="0014093A"/>
    <w:rsid w:val="00141D02"/>
    <w:rsid w:val="00143903"/>
    <w:rsid w:val="0014677F"/>
    <w:rsid w:val="00150032"/>
    <w:rsid w:val="00152FA9"/>
    <w:rsid w:val="00156484"/>
    <w:rsid w:val="00162713"/>
    <w:rsid w:val="0016378D"/>
    <w:rsid w:val="00164DD5"/>
    <w:rsid w:val="00166D15"/>
    <w:rsid w:val="00166FD0"/>
    <w:rsid w:val="001758D6"/>
    <w:rsid w:val="00177A06"/>
    <w:rsid w:val="001828DE"/>
    <w:rsid w:val="00182B68"/>
    <w:rsid w:val="00185473"/>
    <w:rsid w:val="001866CB"/>
    <w:rsid w:val="0018674B"/>
    <w:rsid w:val="001931B6"/>
    <w:rsid w:val="001937AD"/>
    <w:rsid w:val="0019499B"/>
    <w:rsid w:val="001A6129"/>
    <w:rsid w:val="001A7B48"/>
    <w:rsid w:val="001B1C42"/>
    <w:rsid w:val="001C2A44"/>
    <w:rsid w:val="001C5372"/>
    <w:rsid w:val="001D6E93"/>
    <w:rsid w:val="001E2767"/>
    <w:rsid w:val="001E41DC"/>
    <w:rsid w:val="001E686E"/>
    <w:rsid w:val="001E7FA7"/>
    <w:rsid w:val="001F2126"/>
    <w:rsid w:val="002016F6"/>
    <w:rsid w:val="00203177"/>
    <w:rsid w:val="00204E41"/>
    <w:rsid w:val="002051CD"/>
    <w:rsid w:val="00207B41"/>
    <w:rsid w:val="00211E2D"/>
    <w:rsid w:val="00214C94"/>
    <w:rsid w:val="002218CC"/>
    <w:rsid w:val="00222399"/>
    <w:rsid w:val="002229F0"/>
    <w:rsid w:val="00226422"/>
    <w:rsid w:val="00226AF2"/>
    <w:rsid w:val="00234DB6"/>
    <w:rsid w:val="00235783"/>
    <w:rsid w:val="002404AC"/>
    <w:rsid w:val="00240D3A"/>
    <w:rsid w:val="00243FA8"/>
    <w:rsid w:val="00244FBE"/>
    <w:rsid w:val="00245B90"/>
    <w:rsid w:val="00246C3C"/>
    <w:rsid w:val="00246F35"/>
    <w:rsid w:val="00251E4D"/>
    <w:rsid w:val="00262370"/>
    <w:rsid w:val="00263E40"/>
    <w:rsid w:val="002732F8"/>
    <w:rsid w:val="00277117"/>
    <w:rsid w:val="0028467A"/>
    <w:rsid w:val="00285F49"/>
    <w:rsid w:val="0029076B"/>
    <w:rsid w:val="002937B5"/>
    <w:rsid w:val="002942F4"/>
    <w:rsid w:val="00296E2F"/>
    <w:rsid w:val="002972E9"/>
    <w:rsid w:val="0029778A"/>
    <w:rsid w:val="00297B00"/>
    <w:rsid w:val="002A0D77"/>
    <w:rsid w:val="002A2D8F"/>
    <w:rsid w:val="002A38F9"/>
    <w:rsid w:val="002A544D"/>
    <w:rsid w:val="002A5DFE"/>
    <w:rsid w:val="002A6BA7"/>
    <w:rsid w:val="002A6D96"/>
    <w:rsid w:val="002A710D"/>
    <w:rsid w:val="002B3830"/>
    <w:rsid w:val="002B63A1"/>
    <w:rsid w:val="002B6DCE"/>
    <w:rsid w:val="002C1F3B"/>
    <w:rsid w:val="002C2C57"/>
    <w:rsid w:val="002C7B9F"/>
    <w:rsid w:val="002D4674"/>
    <w:rsid w:val="002E1B9B"/>
    <w:rsid w:val="002E314B"/>
    <w:rsid w:val="002E4ACA"/>
    <w:rsid w:val="002E5392"/>
    <w:rsid w:val="002F02EA"/>
    <w:rsid w:val="002F3FA0"/>
    <w:rsid w:val="002F58A7"/>
    <w:rsid w:val="002F7A47"/>
    <w:rsid w:val="00300831"/>
    <w:rsid w:val="00300AAD"/>
    <w:rsid w:val="00302DDB"/>
    <w:rsid w:val="0030672B"/>
    <w:rsid w:val="00307DE4"/>
    <w:rsid w:val="00312340"/>
    <w:rsid w:val="00344390"/>
    <w:rsid w:val="0034469F"/>
    <w:rsid w:val="0034790D"/>
    <w:rsid w:val="003515C4"/>
    <w:rsid w:val="00360A27"/>
    <w:rsid w:val="00364B83"/>
    <w:rsid w:val="0036715B"/>
    <w:rsid w:val="00372623"/>
    <w:rsid w:val="0037394A"/>
    <w:rsid w:val="003745EB"/>
    <w:rsid w:val="003763D0"/>
    <w:rsid w:val="00381C54"/>
    <w:rsid w:val="00382C31"/>
    <w:rsid w:val="00392576"/>
    <w:rsid w:val="00393A07"/>
    <w:rsid w:val="003A2685"/>
    <w:rsid w:val="003A3D58"/>
    <w:rsid w:val="003A5319"/>
    <w:rsid w:val="003A7707"/>
    <w:rsid w:val="003A78E4"/>
    <w:rsid w:val="003B2D8B"/>
    <w:rsid w:val="003B3941"/>
    <w:rsid w:val="003B5B54"/>
    <w:rsid w:val="003C4FD4"/>
    <w:rsid w:val="003C700B"/>
    <w:rsid w:val="003D4FB7"/>
    <w:rsid w:val="003D59FD"/>
    <w:rsid w:val="003D7A46"/>
    <w:rsid w:val="003E4F82"/>
    <w:rsid w:val="003E625C"/>
    <w:rsid w:val="003E6DCC"/>
    <w:rsid w:val="003F7135"/>
    <w:rsid w:val="00401DA3"/>
    <w:rsid w:val="004133C7"/>
    <w:rsid w:val="00417C52"/>
    <w:rsid w:val="00420288"/>
    <w:rsid w:val="0042151D"/>
    <w:rsid w:val="00421EED"/>
    <w:rsid w:val="004229A4"/>
    <w:rsid w:val="004235E7"/>
    <w:rsid w:val="004312DA"/>
    <w:rsid w:val="00432457"/>
    <w:rsid w:val="00432765"/>
    <w:rsid w:val="004341F4"/>
    <w:rsid w:val="00435F04"/>
    <w:rsid w:val="00440E98"/>
    <w:rsid w:val="004414C4"/>
    <w:rsid w:val="0044261E"/>
    <w:rsid w:val="004450D3"/>
    <w:rsid w:val="004517A5"/>
    <w:rsid w:val="00453628"/>
    <w:rsid w:val="00453878"/>
    <w:rsid w:val="004538E2"/>
    <w:rsid w:val="00455D57"/>
    <w:rsid w:val="00455FE8"/>
    <w:rsid w:val="00457946"/>
    <w:rsid w:val="00463F7B"/>
    <w:rsid w:val="004648AC"/>
    <w:rsid w:val="00464ED8"/>
    <w:rsid w:val="00465CEF"/>
    <w:rsid w:val="00471717"/>
    <w:rsid w:val="00472121"/>
    <w:rsid w:val="004739C7"/>
    <w:rsid w:val="0048601A"/>
    <w:rsid w:val="00492DE3"/>
    <w:rsid w:val="00493147"/>
    <w:rsid w:val="00494D2B"/>
    <w:rsid w:val="004A2671"/>
    <w:rsid w:val="004A2904"/>
    <w:rsid w:val="004A375E"/>
    <w:rsid w:val="004A3F2E"/>
    <w:rsid w:val="004A7FB7"/>
    <w:rsid w:val="004B04FD"/>
    <w:rsid w:val="004B1CC1"/>
    <w:rsid w:val="004C21FA"/>
    <w:rsid w:val="004C7382"/>
    <w:rsid w:val="004D6CF2"/>
    <w:rsid w:val="004E205E"/>
    <w:rsid w:val="004E2098"/>
    <w:rsid w:val="004E29A7"/>
    <w:rsid w:val="004E4F31"/>
    <w:rsid w:val="004E67E2"/>
    <w:rsid w:val="00505ABB"/>
    <w:rsid w:val="00516D50"/>
    <w:rsid w:val="00523B23"/>
    <w:rsid w:val="005324FA"/>
    <w:rsid w:val="0053461C"/>
    <w:rsid w:val="00535E34"/>
    <w:rsid w:val="00537A1D"/>
    <w:rsid w:val="005435DB"/>
    <w:rsid w:val="005451E3"/>
    <w:rsid w:val="00546904"/>
    <w:rsid w:val="00550BCF"/>
    <w:rsid w:val="00557CA7"/>
    <w:rsid w:val="0056055F"/>
    <w:rsid w:val="005658B5"/>
    <w:rsid w:val="005826C0"/>
    <w:rsid w:val="00585D80"/>
    <w:rsid w:val="00587464"/>
    <w:rsid w:val="00594BD6"/>
    <w:rsid w:val="00597B19"/>
    <w:rsid w:val="005A1DE7"/>
    <w:rsid w:val="005A556E"/>
    <w:rsid w:val="005B0548"/>
    <w:rsid w:val="005C21C8"/>
    <w:rsid w:val="005C48BF"/>
    <w:rsid w:val="005C5D94"/>
    <w:rsid w:val="005C6BBC"/>
    <w:rsid w:val="005C6C77"/>
    <w:rsid w:val="005D1822"/>
    <w:rsid w:val="005D366F"/>
    <w:rsid w:val="005D7DA3"/>
    <w:rsid w:val="005E38D6"/>
    <w:rsid w:val="005E442D"/>
    <w:rsid w:val="005E73CF"/>
    <w:rsid w:val="005F2B4F"/>
    <w:rsid w:val="005F4370"/>
    <w:rsid w:val="005F5A99"/>
    <w:rsid w:val="00601271"/>
    <w:rsid w:val="006015C6"/>
    <w:rsid w:val="0060221C"/>
    <w:rsid w:val="0060227F"/>
    <w:rsid w:val="00602D18"/>
    <w:rsid w:val="00605C24"/>
    <w:rsid w:val="00606FEA"/>
    <w:rsid w:val="006077D9"/>
    <w:rsid w:val="00607FD6"/>
    <w:rsid w:val="006110AC"/>
    <w:rsid w:val="006124DE"/>
    <w:rsid w:val="0061373D"/>
    <w:rsid w:val="00626F0B"/>
    <w:rsid w:val="006303A7"/>
    <w:rsid w:val="00630A74"/>
    <w:rsid w:val="0063113B"/>
    <w:rsid w:val="00632B7C"/>
    <w:rsid w:val="00633DB9"/>
    <w:rsid w:val="00637DF1"/>
    <w:rsid w:val="006400B3"/>
    <w:rsid w:val="006401B5"/>
    <w:rsid w:val="006407F3"/>
    <w:rsid w:val="006419C3"/>
    <w:rsid w:val="00641D7B"/>
    <w:rsid w:val="0064761D"/>
    <w:rsid w:val="006705CA"/>
    <w:rsid w:val="00673444"/>
    <w:rsid w:val="00680D79"/>
    <w:rsid w:val="00685DF2"/>
    <w:rsid w:val="0068605B"/>
    <w:rsid w:val="006872E3"/>
    <w:rsid w:val="00691938"/>
    <w:rsid w:val="00691A46"/>
    <w:rsid w:val="00696B9A"/>
    <w:rsid w:val="00696F79"/>
    <w:rsid w:val="006A0D75"/>
    <w:rsid w:val="006B316C"/>
    <w:rsid w:val="006B5861"/>
    <w:rsid w:val="006C010F"/>
    <w:rsid w:val="006C620B"/>
    <w:rsid w:val="006D07F7"/>
    <w:rsid w:val="006D36C3"/>
    <w:rsid w:val="006D3FDE"/>
    <w:rsid w:val="006E19B7"/>
    <w:rsid w:val="006E1EE0"/>
    <w:rsid w:val="006E2750"/>
    <w:rsid w:val="006E294D"/>
    <w:rsid w:val="006E59D9"/>
    <w:rsid w:val="006E5A65"/>
    <w:rsid w:val="006E7959"/>
    <w:rsid w:val="00701FC9"/>
    <w:rsid w:val="007044F7"/>
    <w:rsid w:val="0071137D"/>
    <w:rsid w:val="007168DA"/>
    <w:rsid w:val="00717604"/>
    <w:rsid w:val="0072272F"/>
    <w:rsid w:val="007237E0"/>
    <w:rsid w:val="007251BA"/>
    <w:rsid w:val="00727B85"/>
    <w:rsid w:val="00727DCC"/>
    <w:rsid w:val="007312D3"/>
    <w:rsid w:val="00733B5B"/>
    <w:rsid w:val="0073419D"/>
    <w:rsid w:val="00740294"/>
    <w:rsid w:val="00742403"/>
    <w:rsid w:val="00745ADF"/>
    <w:rsid w:val="00751E44"/>
    <w:rsid w:val="00751E81"/>
    <w:rsid w:val="0075254D"/>
    <w:rsid w:val="0075385F"/>
    <w:rsid w:val="00753C55"/>
    <w:rsid w:val="007541BC"/>
    <w:rsid w:val="00765AAB"/>
    <w:rsid w:val="00765C10"/>
    <w:rsid w:val="0076748B"/>
    <w:rsid w:val="00767F51"/>
    <w:rsid w:val="00771618"/>
    <w:rsid w:val="00777D11"/>
    <w:rsid w:val="007833AF"/>
    <w:rsid w:val="00787ED5"/>
    <w:rsid w:val="0079277A"/>
    <w:rsid w:val="00792903"/>
    <w:rsid w:val="00793038"/>
    <w:rsid w:val="0079414D"/>
    <w:rsid w:val="00794700"/>
    <w:rsid w:val="007A15E5"/>
    <w:rsid w:val="007A2856"/>
    <w:rsid w:val="007A336D"/>
    <w:rsid w:val="007A4F93"/>
    <w:rsid w:val="007A6D51"/>
    <w:rsid w:val="007B2629"/>
    <w:rsid w:val="007B443D"/>
    <w:rsid w:val="007C36C1"/>
    <w:rsid w:val="007C4105"/>
    <w:rsid w:val="007D376D"/>
    <w:rsid w:val="007D6D70"/>
    <w:rsid w:val="007E0434"/>
    <w:rsid w:val="007E1100"/>
    <w:rsid w:val="007E1BE2"/>
    <w:rsid w:val="007E74F0"/>
    <w:rsid w:val="007F1666"/>
    <w:rsid w:val="008017D8"/>
    <w:rsid w:val="00801ACB"/>
    <w:rsid w:val="00810935"/>
    <w:rsid w:val="008124D0"/>
    <w:rsid w:val="00813ED6"/>
    <w:rsid w:val="00813FF6"/>
    <w:rsid w:val="00814894"/>
    <w:rsid w:val="00817F7A"/>
    <w:rsid w:val="00823328"/>
    <w:rsid w:val="00824C86"/>
    <w:rsid w:val="00830BA5"/>
    <w:rsid w:val="00832049"/>
    <w:rsid w:val="00832146"/>
    <w:rsid w:val="00836F9D"/>
    <w:rsid w:val="0084114A"/>
    <w:rsid w:val="00842796"/>
    <w:rsid w:val="008440BA"/>
    <w:rsid w:val="0084491E"/>
    <w:rsid w:val="008545D4"/>
    <w:rsid w:val="00854B9D"/>
    <w:rsid w:val="00866DAD"/>
    <w:rsid w:val="00867F5F"/>
    <w:rsid w:val="00871800"/>
    <w:rsid w:val="0088316A"/>
    <w:rsid w:val="00883BA4"/>
    <w:rsid w:val="008848F3"/>
    <w:rsid w:val="00890E79"/>
    <w:rsid w:val="00893F34"/>
    <w:rsid w:val="008941EC"/>
    <w:rsid w:val="008A0D2F"/>
    <w:rsid w:val="008A2BB8"/>
    <w:rsid w:val="008A7942"/>
    <w:rsid w:val="008B10A4"/>
    <w:rsid w:val="008B2E36"/>
    <w:rsid w:val="008B6325"/>
    <w:rsid w:val="008B7950"/>
    <w:rsid w:val="008C174B"/>
    <w:rsid w:val="008C41C9"/>
    <w:rsid w:val="008C4DFD"/>
    <w:rsid w:val="008D0F5E"/>
    <w:rsid w:val="008E0146"/>
    <w:rsid w:val="008E224E"/>
    <w:rsid w:val="008E5183"/>
    <w:rsid w:val="008F3D2C"/>
    <w:rsid w:val="008F3F9C"/>
    <w:rsid w:val="00902CAE"/>
    <w:rsid w:val="00903791"/>
    <w:rsid w:val="00904275"/>
    <w:rsid w:val="00912E12"/>
    <w:rsid w:val="00914526"/>
    <w:rsid w:val="00915CB9"/>
    <w:rsid w:val="00916B28"/>
    <w:rsid w:val="009205F8"/>
    <w:rsid w:val="0093093D"/>
    <w:rsid w:val="00933A04"/>
    <w:rsid w:val="009346DD"/>
    <w:rsid w:val="00934B46"/>
    <w:rsid w:val="00934D91"/>
    <w:rsid w:val="00951D16"/>
    <w:rsid w:val="00952F09"/>
    <w:rsid w:val="00960447"/>
    <w:rsid w:val="00960B81"/>
    <w:rsid w:val="009622DA"/>
    <w:rsid w:val="00963915"/>
    <w:rsid w:val="009723C0"/>
    <w:rsid w:val="00973399"/>
    <w:rsid w:val="00976B3D"/>
    <w:rsid w:val="00981E8C"/>
    <w:rsid w:val="0098534E"/>
    <w:rsid w:val="00985509"/>
    <w:rsid w:val="009A220F"/>
    <w:rsid w:val="009A2F59"/>
    <w:rsid w:val="009A4761"/>
    <w:rsid w:val="009B2EF8"/>
    <w:rsid w:val="009B5618"/>
    <w:rsid w:val="009C2990"/>
    <w:rsid w:val="009C3F20"/>
    <w:rsid w:val="009C483E"/>
    <w:rsid w:val="009C59DB"/>
    <w:rsid w:val="009D02E6"/>
    <w:rsid w:val="009D4499"/>
    <w:rsid w:val="009D6B88"/>
    <w:rsid w:val="009E4E52"/>
    <w:rsid w:val="009E68CE"/>
    <w:rsid w:val="00A01A67"/>
    <w:rsid w:val="00A06C18"/>
    <w:rsid w:val="00A127DD"/>
    <w:rsid w:val="00A14B5F"/>
    <w:rsid w:val="00A25755"/>
    <w:rsid w:val="00A25B60"/>
    <w:rsid w:val="00A309BD"/>
    <w:rsid w:val="00A31612"/>
    <w:rsid w:val="00A31B6F"/>
    <w:rsid w:val="00A3253A"/>
    <w:rsid w:val="00A32F96"/>
    <w:rsid w:val="00A35955"/>
    <w:rsid w:val="00A36A11"/>
    <w:rsid w:val="00A40EDC"/>
    <w:rsid w:val="00A41A7F"/>
    <w:rsid w:val="00A5187B"/>
    <w:rsid w:val="00A6539F"/>
    <w:rsid w:val="00A66E78"/>
    <w:rsid w:val="00A71BF7"/>
    <w:rsid w:val="00A7229C"/>
    <w:rsid w:val="00A74F45"/>
    <w:rsid w:val="00A778B9"/>
    <w:rsid w:val="00A82096"/>
    <w:rsid w:val="00A85311"/>
    <w:rsid w:val="00AA0F9C"/>
    <w:rsid w:val="00AA290A"/>
    <w:rsid w:val="00AB06EC"/>
    <w:rsid w:val="00AB13C4"/>
    <w:rsid w:val="00AB75F8"/>
    <w:rsid w:val="00AC0811"/>
    <w:rsid w:val="00AC107E"/>
    <w:rsid w:val="00AC5A18"/>
    <w:rsid w:val="00AD38D4"/>
    <w:rsid w:val="00AD3E40"/>
    <w:rsid w:val="00AD70A3"/>
    <w:rsid w:val="00AE2481"/>
    <w:rsid w:val="00AE2B9C"/>
    <w:rsid w:val="00AE46F9"/>
    <w:rsid w:val="00AE60D9"/>
    <w:rsid w:val="00AF1932"/>
    <w:rsid w:val="00AF2981"/>
    <w:rsid w:val="00AF3B12"/>
    <w:rsid w:val="00AF6562"/>
    <w:rsid w:val="00B1131F"/>
    <w:rsid w:val="00B14E4D"/>
    <w:rsid w:val="00B1656B"/>
    <w:rsid w:val="00B17297"/>
    <w:rsid w:val="00B17390"/>
    <w:rsid w:val="00B177CF"/>
    <w:rsid w:val="00B17882"/>
    <w:rsid w:val="00B245F1"/>
    <w:rsid w:val="00B252C6"/>
    <w:rsid w:val="00B35FAD"/>
    <w:rsid w:val="00B46601"/>
    <w:rsid w:val="00B53A03"/>
    <w:rsid w:val="00B55606"/>
    <w:rsid w:val="00B567A8"/>
    <w:rsid w:val="00B570B5"/>
    <w:rsid w:val="00B624FB"/>
    <w:rsid w:val="00B701A8"/>
    <w:rsid w:val="00B70BAF"/>
    <w:rsid w:val="00B73113"/>
    <w:rsid w:val="00B8172A"/>
    <w:rsid w:val="00B81CBB"/>
    <w:rsid w:val="00B82098"/>
    <w:rsid w:val="00B832AE"/>
    <w:rsid w:val="00B8463C"/>
    <w:rsid w:val="00B856C0"/>
    <w:rsid w:val="00B950F5"/>
    <w:rsid w:val="00B97665"/>
    <w:rsid w:val="00BA1869"/>
    <w:rsid w:val="00BA3205"/>
    <w:rsid w:val="00BA5C68"/>
    <w:rsid w:val="00BB7E56"/>
    <w:rsid w:val="00BC226D"/>
    <w:rsid w:val="00BC4D7E"/>
    <w:rsid w:val="00BC6414"/>
    <w:rsid w:val="00BC651E"/>
    <w:rsid w:val="00BC6AD0"/>
    <w:rsid w:val="00BC71CD"/>
    <w:rsid w:val="00BD012B"/>
    <w:rsid w:val="00BD1EA9"/>
    <w:rsid w:val="00BD5122"/>
    <w:rsid w:val="00BD6B9C"/>
    <w:rsid w:val="00BE31AF"/>
    <w:rsid w:val="00BF3FCE"/>
    <w:rsid w:val="00BF6EA4"/>
    <w:rsid w:val="00C01988"/>
    <w:rsid w:val="00C024BC"/>
    <w:rsid w:val="00C035DF"/>
    <w:rsid w:val="00C1041E"/>
    <w:rsid w:val="00C10F48"/>
    <w:rsid w:val="00C13A5E"/>
    <w:rsid w:val="00C15D00"/>
    <w:rsid w:val="00C23EE1"/>
    <w:rsid w:val="00C26BDE"/>
    <w:rsid w:val="00C3247A"/>
    <w:rsid w:val="00C326CA"/>
    <w:rsid w:val="00C34D55"/>
    <w:rsid w:val="00C40B1A"/>
    <w:rsid w:val="00C46E34"/>
    <w:rsid w:val="00C569F8"/>
    <w:rsid w:val="00C56B77"/>
    <w:rsid w:val="00C610EF"/>
    <w:rsid w:val="00C63E3B"/>
    <w:rsid w:val="00C66492"/>
    <w:rsid w:val="00C7793A"/>
    <w:rsid w:val="00C81A02"/>
    <w:rsid w:val="00C82F00"/>
    <w:rsid w:val="00C86D6C"/>
    <w:rsid w:val="00C90A54"/>
    <w:rsid w:val="00C90E67"/>
    <w:rsid w:val="00C91C9D"/>
    <w:rsid w:val="00C9495B"/>
    <w:rsid w:val="00C96EC0"/>
    <w:rsid w:val="00C96FEC"/>
    <w:rsid w:val="00CA0B20"/>
    <w:rsid w:val="00CA3C6B"/>
    <w:rsid w:val="00CB2B1A"/>
    <w:rsid w:val="00CC0266"/>
    <w:rsid w:val="00CC432A"/>
    <w:rsid w:val="00CC458E"/>
    <w:rsid w:val="00CD1240"/>
    <w:rsid w:val="00CE0927"/>
    <w:rsid w:val="00CE2BF4"/>
    <w:rsid w:val="00CE33CE"/>
    <w:rsid w:val="00CF147B"/>
    <w:rsid w:val="00CF5A18"/>
    <w:rsid w:val="00D00A1E"/>
    <w:rsid w:val="00D07982"/>
    <w:rsid w:val="00D10D3C"/>
    <w:rsid w:val="00D15218"/>
    <w:rsid w:val="00D16899"/>
    <w:rsid w:val="00D205B1"/>
    <w:rsid w:val="00D236B9"/>
    <w:rsid w:val="00D27250"/>
    <w:rsid w:val="00D27ABE"/>
    <w:rsid w:val="00D319E0"/>
    <w:rsid w:val="00D46D7A"/>
    <w:rsid w:val="00D51279"/>
    <w:rsid w:val="00D57201"/>
    <w:rsid w:val="00D61F91"/>
    <w:rsid w:val="00D64E30"/>
    <w:rsid w:val="00D64EAB"/>
    <w:rsid w:val="00D65D55"/>
    <w:rsid w:val="00D66A85"/>
    <w:rsid w:val="00D714AC"/>
    <w:rsid w:val="00D73F78"/>
    <w:rsid w:val="00D7587F"/>
    <w:rsid w:val="00D80E30"/>
    <w:rsid w:val="00D8170B"/>
    <w:rsid w:val="00D82FF7"/>
    <w:rsid w:val="00D84E2B"/>
    <w:rsid w:val="00D85D6C"/>
    <w:rsid w:val="00D90D23"/>
    <w:rsid w:val="00D916C6"/>
    <w:rsid w:val="00D929AA"/>
    <w:rsid w:val="00D92F61"/>
    <w:rsid w:val="00D9339C"/>
    <w:rsid w:val="00DA1860"/>
    <w:rsid w:val="00DA5FDB"/>
    <w:rsid w:val="00DA77E2"/>
    <w:rsid w:val="00DB013F"/>
    <w:rsid w:val="00DB0D73"/>
    <w:rsid w:val="00DB26E8"/>
    <w:rsid w:val="00DB4197"/>
    <w:rsid w:val="00DB4CB3"/>
    <w:rsid w:val="00DC4EA8"/>
    <w:rsid w:val="00DC6E03"/>
    <w:rsid w:val="00DD6D2A"/>
    <w:rsid w:val="00DE039C"/>
    <w:rsid w:val="00DE0EA9"/>
    <w:rsid w:val="00DE12CE"/>
    <w:rsid w:val="00DF4AB7"/>
    <w:rsid w:val="00DF7B09"/>
    <w:rsid w:val="00E0328D"/>
    <w:rsid w:val="00E07DBF"/>
    <w:rsid w:val="00E163A7"/>
    <w:rsid w:val="00E31DC1"/>
    <w:rsid w:val="00E36FBE"/>
    <w:rsid w:val="00E37B0C"/>
    <w:rsid w:val="00E420DE"/>
    <w:rsid w:val="00E42EE2"/>
    <w:rsid w:val="00E44EE3"/>
    <w:rsid w:val="00E44FBA"/>
    <w:rsid w:val="00E45265"/>
    <w:rsid w:val="00E4740B"/>
    <w:rsid w:val="00E611D9"/>
    <w:rsid w:val="00E623FE"/>
    <w:rsid w:val="00E626BD"/>
    <w:rsid w:val="00E659EA"/>
    <w:rsid w:val="00E65F55"/>
    <w:rsid w:val="00E706DB"/>
    <w:rsid w:val="00E730EC"/>
    <w:rsid w:val="00E77967"/>
    <w:rsid w:val="00E80292"/>
    <w:rsid w:val="00E811E3"/>
    <w:rsid w:val="00E83B46"/>
    <w:rsid w:val="00E91022"/>
    <w:rsid w:val="00E91721"/>
    <w:rsid w:val="00E918E3"/>
    <w:rsid w:val="00E95239"/>
    <w:rsid w:val="00EA09A2"/>
    <w:rsid w:val="00EA19CB"/>
    <w:rsid w:val="00EA4125"/>
    <w:rsid w:val="00EA70C6"/>
    <w:rsid w:val="00EB0F69"/>
    <w:rsid w:val="00EB12A4"/>
    <w:rsid w:val="00EB200C"/>
    <w:rsid w:val="00EB2885"/>
    <w:rsid w:val="00EB71A9"/>
    <w:rsid w:val="00EC1AEB"/>
    <w:rsid w:val="00EC1EA8"/>
    <w:rsid w:val="00EC4564"/>
    <w:rsid w:val="00EC558A"/>
    <w:rsid w:val="00EC5C09"/>
    <w:rsid w:val="00ED007B"/>
    <w:rsid w:val="00ED2080"/>
    <w:rsid w:val="00ED3F31"/>
    <w:rsid w:val="00ED586A"/>
    <w:rsid w:val="00EE1C6E"/>
    <w:rsid w:val="00EE503A"/>
    <w:rsid w:val="00EE5808"/>
    <w:rsid w:val="00F00344"/>
    <w:rsid w:val="00F013D1"/>
    <w:rsid w:val="00F01442"/>
    <w:rsid w:val="00F0225D"/>
    <w:rsid w:val="00F02D47"/>
    <w:rsid w:val="00F1146A"/>
    <w:rsid w:val="00F11659"/>
    <w:rsid w:val="00F117AD"/>
    <w:rsid w:val="00F30134"/>
    <w:rsid w:val="00F4243F"/>
    <w:rsid w:val="00F43912"/>
    <w:rsid w:val="00F43AD4"/>
    <w:rsid w:val="00F47911"/>
    <w:rsid w:val="00F50398"/>
    <w:rsid w:val="00F548A8"/>
    <w:rsid w:val="00F55BD6"/>
    <w:rsid w:val="00F57700"/>
    <w:rsid w:val="00F61903"/>
    <w:rsid w:val="00F64CFA"/>
    <w:rsid w:val="00F6577C"/>
    <w:rsid w:val="00F66FA4"/>
    <w:rsid w:val="00F673B8"/>
    <w:rsid w:val="00F719C2"/>
    <w:rsid w:val="00F77C6B"/>
    <w:rsid w:val="00F81B95"/>
    <w:rsid w:val="00F84C9B"/>
    <w:rsid w:val="00F84F13"/>
    <w:rsid w:val="00F8731A"/>
    <w:rsid w:val="00F915A5"/>
    <w:rsid w:val="00F9469E"/>
    <w:rsid w:val="00F97108"/>
    <w:rsid w:val="00FA07F8"/>
    <w:rsid w:val="00FA10CC"/>
    <w:rsid w:val="00FA4D57"/>
    <w:rsid w:val="00FB193A"/>
    <w:rsid w:val="00FB328E"/>
    <w:rsid w:val="00FB59C6"/>
    <w:rsid w:val="00FB7D6C"/>
    <w:rsid w:val="00FC0973"/>
    <w:rsid w:val="00FD1456"/>
    <w:rsid w:val="00FD31F0"/>
    <w:rsid w:val="00FE2307"/>
    <w:rsid w:val="00FE4420"/>
    <w:rsid w:val="00FE4B55"/>
    <w:rsid w:val="00FE540F"/>
    <w:rsid w:val="00FF1226"/>
    <w:rsid w:val="00FF31FF"/>
    <w:rsid w:val="00FF3296"/>
    <w:rsid w:val="00FF4C3F"/>
    <w:rsid w:val="00FF4E15"/>
    <w:rsid w:val="00FF505E"/>
    <w:rsid w:val="00FF75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2F3FA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f01">
    <w:name w:val="cf01"/>
    <w:basedOn w:val="DefaultParagraphFont"/>
    <w:rsid w:val="00C3247A"/>
    <w:rPr>
      <w:rFonts w:ascii="Segoe UI" w:hAnsi="Segoe UI" w:cs="Segoe UI"/>
      <w:sz w:val="18"/>
      <w:szCs w:val="18"/>
    </w:rPr>
  </w:style>
  <w:style w:type="character" w:styleId="Hyperlink">
    <w:name w:val="Hyperlink"/>
    <w:basedOn w:val="DefaultParagraphFont"/>
    <w:uiPriority w:val="99"/>
    <w:unhideWhenUsed/>
    <w:rsid w:val="001828DE"/>
    <w:rPr>
      <w:color w:val="0563C1" w:themeColor="hyperlink"/>
      <w:u w:val="single"/>
    </w:rPr>
  </w:style>
  <w:style w:type="character" w:styleId="UnresolvedMention">
    <w:name w:val="Unresolved Mention"/>
    <w:basedOn w:val="DefaultParagraphFont"/>
    <w:uiPriority w:val="99"/>
    <w:semiHidden/>
    <w:unhideWhenUsed/>
    <w:rsid w:val="001828DE"/>
    <w:rPr>
      <w:color w:val="605E5C"/>
      <w:shd w:val="clear" w:color="auto" w:fill="E1DFDD"/>
    </w:rPr>
  </w:style>
  <w:style w:type="character" w:styleId="Emphasis">
    <w:name w:val="Emphasis"/>
    <w:basedOn w:val="DefaultParagraphFont"/>
    <w:uiPriority w:val="20"/>
    <w:qFormat/>
    <w:rsid w:val="007A2856"/>
    <w:rPr>
      <w:i/>
      <w:iCs/>
    </w:rPr>
  </w:style>
  <w:style w:type="paragraph" w:customStyle="1" w:styleId="cite-listitem">
    <w:name w:val="cite-list__item"/>
    <w:basedOn w:val="Normal"/>
    <w:rsid w:val="005D182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body-paragraph">
    <w:name w:val="body-paragraph"/>
    <w:basedOn w:val="Normal"/>
    <w:rsid w:val="005D182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1287692">
      <w:bodyDiv w:val="1"/>
      <w:marLeft w:val="0"/>
      <w:marRight w:val="0"/>
      <w:marTop w:val="0"/>
      <w:marBottom w:val="0"/>
      <w:divBdr>
        <w:top w:val="none" w:sz="0" w:space="0" w:color="auto"/>
        <w:left w:val="none" w:sz="0" w:space="0" w:color="auto"/>
        <w:bottom w:val="none" w:sz="0" w:space="0" w:color="auto"/>
        <w:right w:val="none" w:sz="0" w:space="0" w:color="auto"/>
      </w:divBdr>
      <w:divsChild>
        <w:div w:id="1617327894">
          <w:marLeft w:val="0"/>
          <w:marRight w:val="0"/>
          <w:marTop w:val="0"/>
          <w:marBottom w:val="0"/>
          <w:divBdr>
            <w:top w:val="single" w:sz="6" w:space="9" w:color="CCCCCC"/>
            <w:left w:val="none" w:sz="0" w:space="9" w:color="auto"/>
            <w:bottom w:val="none" w:sz="0" w:space="9" w:color="auto"/>
            <w:right w:val="none" w:sz="0" w:space="9" w:color="auto"/>
          </w:divBdr>
          <w:divsChild>
            <w:div w:id="1987778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1254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i.org/10.1080/13645579.2016.1205794" TargetMode="External"/><Relationship Id="rId18" Type="http://schemas.openxmlformats.org/officeDocument/2006/relationships/hyperlink" Target="https://doi.org/10.1177/0040059914538413"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https://doi.org/10.1080/09669760.2018.1547631" TargetMode="External"/><Relationship Id="rId7" Type="http://schemas.openxmlformats.org/officeDocument/2006/relationships/webSettings" Target="webSettings.xml"/><Relationship Id="rId12" Type="http://schemas.openxmlformats.org/officeDocument/2006/relationships/hyperlink" Target="https://doi.org/10.1080/17439760.2016.1262613" TargetMode="External"/><Relationship Id="rId17" Type="http://schemas.openxmlformats.org/officeDocument/2006/relationships/hyperlink" Target="https://doi.org/10.17583/qre.2019.4483" TargetMode="External"/><Relationship Id="rId25" Type="http://schemas.openxmlformats.org/officeDocument/2006/relationships/hyperlink" Target="https://hwb.gov.wales/api/storage/a625428e-9359-4981-a5a0-5accbc506b9d/literacy-and-numeracy-your-questions-answered.pdf" TargetMode="External"/><Relationship Id="rId2" Type="http://schemas.openxmlformats.org/officeDocument/2006/relationships/customXml" Target="../customXml/item2.xml"/><Relationship Id="rId16" Type="http://schemas.openxmlformats.org/officeDocument/2006/relationships/hyperlink" Target="https://doi.org/10.3389/fpsyg.2019.02006" TargetMode="External"/><Relationship Id="rId20" Type="http://schemas.openxmlformats.org/officeDocument/2006/relationships/hyperlink" Target="https://doi.org/10.1016/j.jsams.2012.11.451"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childrenscommissioner.gov.uk/publication/guide-tothe-uncrc/" TargetMode="External"/><Relationship Id="rId24" Type="http://schemas.openxmlformats.org/officeDocument/2006/relationships/hyperlink" Target="https://hwb.gov.wales/api/storage/19bc948b-8a3f-41e0-944a-7bf2cadf7d18/professional-standards-for-teaching-and-leadership-interactive-pdf-for-pc.pdf" TargetMode="External"/><Relationship Id="rId5" Type="http://schemas.openxmlformats.org/officeDocument/2006/relationships/styles" Target="styles.xml"/><Relationship Id="rId15" Type="http://schemas.openxmlformats.org/officeDocument/2006/relationships/hyperlink" Target="https://doi.org/10.1016/j.ijer.2017.03.001" TargetMode="External"/><Relationship Id="rId23" Type="http://schemas.openxmlformats.org/officeDocument/2006/relationships/hyperlink" Target="https://doi.org/10.1002/rrq.142" TargetMode="External"/><Relationship Id="rId28" Type="http://schemas.openxmlformats.org/officeDocument/2006/relationships/fontTable" Target="fontTable.xml"/><Relationship Id="rId10" Type="http://schemas.openxmlformats.org/officeDocument/2006/relationships/hyperlink" Target="https://www.bera.ac.uk/researchers-resources/publications/ethicalguidelines-for-educational-research-2018" TargetMode="External"/><Relationship Id="rId19" Type="http://schemas.openxmlformats.org/officeDocument/2006/relationships/hyperlink" Target="https://doi.org/10.1080/09518398.2020.1828650"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oi.org/10.1038/ejhg.2013.119" TargetMode="External"/><Relationship Id="rId22" Type="http://schemas.openxmlformats.org/officeDocument/2006/relationships/hyperlink" Target="https://doi.org/10.1080/09575146.2012.732042"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8C851A-85C6-474D-A425-15EF9A10993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6650</Words>
  <Characters>37909</Characters>
  <Application>Microsoft Office Word</Application>
  <DocSecurity>0</DocSecurity>
  <Lines>315</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Amelia Harwood</cp:lastModifiedBy>
  <cp:revision>2</cp:revision>
  <dcterms:created xsi:type="dcterms:W3CDTF">2023-02-26T21:37:00Z</dcterms:created>
  <dcterms:modified xsi:type="dcterms:W3CDTF">2023-02-26T21:37:00Z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