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B7389D" w14:textId="77777777" w:rsidR="00B43DDC" w:rsidRDefault="00B43DDC">
      <w:pPr>
        <w:spacing w:before="60" w:after="60"/>
      </w:pPr>
    </w:p>
    <w:p w14:paraId="3F03C90F" w14:textId="77777777" w:rsidR="00B43DDC" w:rsidRDefault="00B43DDC">
      <w:pPr>
        <w:spacing w:before="60" w:after="60"/>
      </w:pPr>
    </w:p>
    <w:p w14:paraId="0F451F31" w14:textId="77777777" w:rsidR="00B43DDC" w:rsidRDefault="00B43DDC">
      <w:pPr>
        <w:spacing w:before="60" w:after="60"/>
      </w:pPr>
    </w:p>
    <w:p w14:paraId="69CA4D00" w14:textId="77777777" w:rsidR="00B43DDC" w:rsidRDefault="00000000">
      <w:pPr>
        <w:spacing w:before="160" w:after="160"/>
        <w:jc w:val="center"/>
      </w:pPr>
      <w:r>
        <w:rPr>
          <w:b/>
          <w:bCs/>
          <w:sz w:val="32"/>
          <w:szCs w:val="32"/>
        </w:rPr>
        <w:t>Gaza Between Quantity and Quality:</w:t>
      </w:r>
    </w:p>
    <w:p w14:paraId="10F8EDAB" w14:textId="77777777" w:rsidR="00B43DDC" w:rsidRDefault="00000000">
      <w:pPr>
        <w:spacing w:before="160" w:after="160"/>
        <w:jc w:val="center"/>
      </w:pPr>
      <w:r>
        <w:rPr>
          <w:b/>
          <w:bCs/>
          <w:sz w:val="32"/>
          <w:szCs w:val="32"/>
        </w:rPr>
        <w:t>How a Small Entity Created a Global Human Impact</w:t>
      </w:r>
    </w:p>
    <w:p w14:paraId="38C2657B" w14:textId="77777777" w:rsidR="00B43DDC" w:rsidRDefault="00B43DDC">
      <w:pPr>
        <w:spacing w:before="60" w:after="60"/>
      </w:pPr>
    </w:p>
    <w:p w14:paraId="14BBE78B" w14:textId="77777777" w:rsidR="00B43DDC" w:rsidRDefault="00B43DDC">
      <w:pPr>
        <w:spacing w:before="60" w:after="60"/>
      </w:pPr>
    </w:p>
    <w:p w14:paraId="07AE7A65" w14:textId="77777777" w:rsidR="00B43DDC" w:rsidRDefault="00000000">
      <w:pPr>
        <w:spacing w:before="160" w:after="160"/>
        <w:jc w:val="center"/>
      </w:pPr>
      <w:r>
        <w:t>A Dissertation Submitted in Partial Fulfilment of the Requirements</w:t>
      </w:r>
    </w:p>
    <w:p w14:paraId="4B9A1F53" w14:textId="77777777" w:rsidR="00B43DDC" w:rsidRDefault="00000000">
      <w:pPr>
        <w:spacing w:before="160" w:after="160"/>
        <w:jc w:val="center"/>
      </w:pPr>
      <w:r>
        <w:t>for the Degree of Master of Arts in International Relations</w:t>
      </w:r>
    </w:p>
    <w:p w14:paraId="72B09A8D" w14:textId="77777777" w:rsidR="00B43DDC" w:rsidRDefault="00B43DDC">
      <w:pPr>
        <w:spacing w:before="60" w:after="60"/>
      </w:pPr>
    </w:p>
    <w:p w14:paraId="7C260689" w14:textId="77777777" w:rsidR="00B43DDC" w:rsidRDefault="00B43DDC">
      <w:pPr>
        <w:spacing w:before="60" w:after="60"/>
      </w:pPr>
    </w:p>
    <w:p w14:paraId="59D5A496" w14:textId="77777777" w:rsidR="00B43DDC" w:rsidRDefault="00000000">
      <w:pPr>
        <w:spacing w:before="160" w:after="160"/>
        <w:jc w:val="center"/>
      </w:pPr>
      <w:r>
        <w:rPr>
          <w:b/>
          <w:bCs/>
        </w:rPr>
        <w:t>Submitted by:</w:t>
      </w:r>
    </w:p>
    <w:p w14:paraId="74180134" w14:textId="4C0A5B9D" w:rsidR="00B43DDC" w:rsidRDefault="00000000">
      <w:pPr>
        <w:spacing w:before="160" w:after="160"/>
        <w:jc w:val="center"/>
      </w:pPr>
      <w:r>
        <w:t xml:space="preserve">Student </w:t>
      </w:r>
      <w:r w:rsidR="00716898">
        <w:t xml:space="preserve">Name.  </w:t>
      </w:r>
      <w:r w:rsidR="008069FB">
        <w:t>Ibrahim Mohamed</w:t>
      </w:r>
    </w:p>
    <w:p w14:paraId="26DD0C77" w14:textId="1F40E5F8" w:rsidR="00B43DDC" w:rsidRDefault="00000000" w:rsidP="008069FB">
      <w:pPr>
        <w:spacing w:before="160" w:after="160"/>
        <w:jc w:val="center"/>
      </w:pPr>
      <w:r>
        <w:t>Student ID</w:t>
      </w:r>
      <w:r w:rsidR="008069FB">
        <w:t xml:space="preserve"> </w:t>
      </w:r>
      <w:r w:rsidR="008069FB" w:rsidRPr="008069FB">
        <w:t>2132801</w:t>
      </w:r>
    </w:p>
    <w:p w14:paraId="5019DD0A" w14:textId="77777777" w:rsidR="00B43DDC" w:rsidRDefault="00B43DDC">
      <w:pPr>
        <w:spacing w:before="60" w:after="60"/>
      </w:pPr>
    </w:p>
    <w:p w14:paraId="0B41AA91" w14:textId="77777777" w:rsidR="00B43DDC" w:rsidRDefault="00000000">
      <w:pPr>
        <w:spacing w:before="160" w:after="160"/>
        <w:jc w:val="center"/>
      </w:pPr>
      <w:r>
        <w:t>University of Wales Trinity Saint David</w:t>
      </w:r>
    </w:p>
    <w:p w14:paraId="71393FA9" w14:textId="77777777" w:rsidR="00B43DDC" w:rsidRDefault="00000000">
      <w:pPr>
        <w:spacing w:before="160" w:after="160"/>
        <w:jc w:val="center"/>
      </w:pPr>
      <w:r>
        <w:t>Faculty of Humanities</w:t>
      </w:r>
    </w:p>
    <w:p w14:paraId="3C4C1F12" w14:textId="77777777" w:rsidR="00B43DDC" w:rsidRDefault="00B43DDC">
      <w:pPr>
        <w:spacing w:before="60" w:after="60"/>
      </w:pPr>
    </w:p>
    <w:p w14:paraId="4F50C5F0" w14:textId="77777777" w:rsidR="00B43DDC" w:rsidRDefault="00000000">
      <w:pPr>
        <w:spacing w:before="160" w:after="160"/>
        <w:jc w:val="center"/>
      </w:pPr>
      <w:r>
        <w:t>May 2026</w:t>
      </w:r>
    </w:p>
    <w:p w14:paraId="68C65E34" w14:textId="77777777" w:rsidR="00B43DDC" w:rsidRDefault="00000000">
      <w:r>
        <w:br w:type="page"/>
      </w:r>
    </w:p>
    <w:p w14:paraId="5925A5A7" w14:textId="77777777" w:rsidR="000F2CC8" w:rsidRDefault="000F2CC8" w:rsidP="000F2CC8">
      <w:pPr>
        <w:pStyle w:val="Heading1"/>
        <w:jc w:val="center"/>
      </w:pPr>
      <w:bookmarkStart w:id="0" w:name="_Toc230275107"/>
      <w:bookmarkStart w:id="1" w:name="OLE_LINK2"/>
      <w:r>
        <w:lastRenderedPageBreak/>
        <w:t>Declaration</w:t>
      </w:r>
      <w:bookmarkEnd w:id="0"/>
    </w:p>
    <w:p w14:paraId="1450CC57" w14:textId="77777777" w:rsidR="000F2CC8" w:rsidRDefault="000F2CC8" w:rsidP="000F2CC8">
      <w:pPr>
        <w:spacing w:after="160" w:line="360" w:lineRule="auto"/>
        <w:jc w:val="both"/>
      </w:pPr>
    </w:p>
    <w:p w14:paraId="7ABBE2D2" w14:textId="77777777" w:rsidR="000F2CC8" w:rsidRDefault="000F2CC8" w:rsidP="000F2CC8">
      <w:pPr>
        <w:spacing w:after="160" w:line="360" w:lineRule="auto"/>
        <w:jc w:val="both"/>
      </w:pPr>
      <w:r>
        <w:t>I declare that this dissertation is my own work and has not been submitted in any form for another degree or diploma at any university or other institution of tertiary education. Information derived from the published or unpublished work of others has been acknowledged in the text and a list of references is given.</w:t>
      </w:r>
    </w:p>
    <w:p w14:paraId="14F97B7E" w14:textId="77777777" w:rsidR="000F2CC8" w:rsidRDefault="000F2CC8" w:rsidP="000F2CC8">
      <w:pPr>
        <w:spacing w:after="160" w:line="360" w:lineRule="auto"/>
        <w:jc w:val="both"/>
      </w:pPr>
      <w:r>
        <w:t xml:space="preserve">I confirm that this dissertation does not contain any material previously submitted for assessment at this University or any other institution, and that I have not copied in part or in whole or otherwise </w:t>
      </w:r>
      <w:proofErr w:type="spellStart"/>
      <w:r>
        <w:t>plagiarised</w:t>
      </w:r>
      <w:proofErr w:type="spellEnd"/>
      <w:r>
        <w:t xml:space="preserve"> the work of other students and/or persons.</w:t>
      </w:r>
    </w:p>
    <w:p w14:paraId="42034526" w14:textId="77777777" w:rsidR="000F2CC8" w:rsidRDefault="000F2CC8" w:rsidP="000F2CC8">
      <w:pPr>
        <w:spacing w:after="160" w:line="360" w:lineRule="auto"/>
        <w:jc w:val="both"/>
      </w:pPr>
      <w:r>
        <w:t xml:space="preserve">Word count (excluding title page, abstract, acknowledgements, declaration, contents page, list of tables, references and appendices): </w:t>
      </w:r>
      <w:r>
        <w:rPr>
          <w:u w:val="single"/>
        </w:rPr>
        <w:t> </w:t>
      </w:r>
      <w:r w:rsidRPr="007A470B">
        <w:rPr>
          <w:b/>
          <w:bCs/>
          <w:u w:val="single"/>
        </w:rPr>
        <w:t>11214 words</w:t>
      </w:r>
      <w:r>
        <w:rPr>
          <w:u w:val="single"/>
        </w:rPr>
        <w:t>           </w:t>
      </w:r>
    </w:p>
    <w:bookmarkEnd w:id="1"/>
    <w:p w14:paraId="12809B5F" w14:textId="3202BAF9" w:rsidR="000F2CC8" w:rsidRDefault="00D56AB4" w:rsidP="000F2CC8">
      <w:pPr>
        <w:spacing w:before="480" w:after="160" w:line="360" w:lineRule="auto"/>
      </w:pPr>
      <w:r>
        <w:rPr>
          <w:noProof/>
        </w:rPr>
        <mc:AlternateContent>
          <mc:Choice Requires="aink">
            <w:drawing>
              <wp:anchor distT="0" distB="0" distL="114300" distR="114300" simplePos="0" relativeHeight="251666432" behindDoc="0" locked="0" layoutInCell="1" allowOverlap="1" wp14:anchorId="47400BC6" wp14:editId="1ED2A7C9">
                <wp:simplePos x="0" y="0"/>
                <wp:positionH relativeFrom="column">
                  <wp:posOffset>1017905</wp:posOffset>
                </wp:positionH>
                <wp:positionV relativeFrom="paragraph">
                  <wp:posOffset>81280</wp:posOffset>
                </wp:positionV>
                <wp:extent cx="1195940" cy="624840"/>
                <wp:effectExtent l="12700" t="38100" r="0" b="35560"/>
                <wp:wrapNone/>
                <wp:docPr id="967605447" name="Ink 6"/>
                <wp:cNvGraphicFramePr/>
                <a:graphic xmlns:a="http://schemas.openxmlformats.org/drawingml/2006/main">
                  <a:graphicData uri="http://schemas.microsoft.com/office/word/2010/wordprocessingInk">
                    <w14:contentPart bwMode="auto" r:id="rId8">
                      <w14:nvContentPartPr>
                        <w14:cNvContentPartPr/>
                      </w14:nvContentPartPr>
                      <w14:xfrm>
                        <a:off x="0" y="0"/>
                        <a:ext cx="1195940" cy="624840"/>
                      </w14:xfrm>
                    </w14:contentPart>
                  </a:graphicData>
                </a:graphic>
              </wp:anchor>
            </w:drawing>
          </mc:Choice>
          <mc:Fallback xmlns:w16sdtfl="http://schemas.microsoft.com/office/word/2024/wordml/sdtformatlock">
            <w:drawing>
              <wp:anchor distT="0" distB="0" distL="114300" distR="114300" simplePos="0" relativeHeight="251666432" behindDoc="0" locked="0" layoutInCell="1" allowOverlap="1" wp14:anchorId="47400BC6" wp14:editId="1ED2A7C9">
                <wp:simplePos x="0" y="0"/>
                <wp:positionH relativeFrom="column">
                  <wp:posOffset>1017905</wp:posOffset>
                </wp:positionH>
                <wp:positionV relativeFrom="paragraph">
                  <wp:posOffset>81280</wp:posOffset>
                </wp:positionV>
                <wp:extent cx="1195940" cy="624840"/>
                <wp:effectExtent l="12700" t="38100" r="0" b="35560"/>
                <wp:wrapNone/>
                <wp:docPr id="967605447" name="Ink 6"/>
                <wp:cNvGraphicFramePr/>
                <a:graphic xmlns:a="http://schemas.openxmlformats.org/drawingml/2006/main">
                  <a:graphicData uri="http://schemas.openxmlformats.org/drawingml/2006/picture">
                    <pic:pic xmlns:pic="http://schemas.openxmlformats.org/drawingml/2006/picture">
                      <pic:nvPicPr>
                        <pic:cNvPr id="967605447" name="Ink 6"/>
                        <pic:cNvPicPr/>
                      </pic:nvPicPr>
                      <pic:blipFill>
                        <a:blip r:embed="rId9"/>
                        <a:stretch>
                          <a:fillRect/>
                        </a:stretch>
                      </pic:blipFill>
                      <pic:spPr>
                        <a:xfrm>
                          <a:off x="0" y="0"/>
                          <a:ext cx="1213575" cy="732397"/>
                        </a:xfrm>
                        <a:prstGeom prst="rect">
                          <a:avLst/>
                        </a:prstGeom>
                      </pic:spPr>
                    </pic:pic>
                  </a:graphicData>
                </a:graphic>
              </wp:anchor>
            </w:drawing>
          </mc:Fallback>
        </mc:AlternateContent>
      </w:r>
      <w:r w:rsidR="000F2CC8">
        <w:rPr>
          <w:noProof/>
        </w:rPr>
        <mc:AlternateContent>
          <mc:Choice Requires="aink">
            <w:drawing>
              <wp:anchor distT="0" distB="0" distL="114300" distR="114300" simplePos="0" relativeHeight="251659264" behindDoc="0" locked="0" layoutInCell="1" allowOverlap="1" wp14:anchorId="2B00A1BC" wp14:editId="3D51C678">
                <wp:simplePos x="0" y="0"/>
                <wp:positionH relativeFrom="column">
                  <wp:posOffset>1895580</wp:posOffset>
                </wp:positionH>
                <wp:positionV relativeFrom="paragraph">
                  <wp:posOffset>302070</wp:posOffset>
                </wp:positionV>
                <wp:extent cx="360" cy="360"/>
                <wp:effectExtent l="38100" t="38100" r="25400" b="38100"/>
                <wp:wrapNone/>
                <wp:docPr id="669160120" name="Ink 3"/>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xmlns:w16sdtfl="http://schemas.microsoft.com/office/word/2024/wordml/sdtformatlock">
            <w:drawing>
              <wp:anchor distT="0" distB="0" distL="114300" distR="114300" simplePos="0" relativeHeight="251659264" behindDoc="0" locked="0" layoutInCell="1" allowOverlap="1" wp14:anchorId="2B00A1BC" wp14:editId="3D51C678">
                <wp:simplePos x="0" y="0"/>
                <wp:positionH relativeFrom="column">
                  <wp:posOffset>1895580</wp:posOffset>
                </wp:positionH>
                <wp:positionV relativeFrom="paragraph">
                  <wp:posOffset>302070</wp:posOffset>
                </wp:positionV>
                <wp:extent cx="360" cy="360"/>
                <wp:effectExtent l="38100" t="38100" r="25400" b="38100"/>
                <wp:wrapNone/>
                <wp:docPr id="669160120" name="Ink 3"/>
                <wp:cNvGraphicFramePr/>
                <a:graphic xmlns:a="http://schemas.openxmlformats.org/drawingml/2006/main">
                  <a:graphicData uri="http://schemas.openxmlformats.org/drawingml/2006/picture">
                    <pic:pic xmlns:pic="http://schemas.openxmlformats.org/drawingml/2006/picture">
                      <pic:nvPicPr>
                        <pic:cNvPr id="669160120" name="Ink 3"/>
                        <pic:cNvPicPr/>
                      </pic:nvPicPr>
                      <pic:blipFill>
                        <a:blip r:embed="rId11"/>
                        <a:stretch>
                          <a:fillRect/>
                        </a:stretch>
                      </pic:blipFill>
                      <pic:spPr>
                        <a:xfrm>
                          <a:off x="0" y="0"/>
                          <a:ext cx="18000" cy="108000"/>
                        </a:xfrm>
                        <a:prstGeom prst="rect">
                          <a:avLst/>
                        </a:prstGeom>
                      </pic:spPr>
                    </pic:pic>
                  </a:graphicData>
                </a:graphic>
              </wp:anchor>
            </w:drawing>
          </mc:Fallback>
        </mc:AlternateContent>
      </w:r>
    </w:p>
    <w:p w14:paraId="6AD559CF" w14:textId="26F8CDFA" w:rsidR="000F2CC8" w:rsidRDefault="000F2CC8" w:rsidP="000F2CC8">
      <w:pPr>
        <w:spacing w:after="80" w:line="360" w:lineRule="auto"/>
      </w:pPr>
      <w:r>
        <w:t>Signed: __________</w:t>
      </w:r>
      <w:r w:rsidR="00D56AB4" w:rsidRPr="00D56AB4">
        <w:rPr>
          <w:noProof/>
        </w:rPr>
        <w:t xml:space="preserve"> </w:t>
      </w:r>
      <w:r>
        <w:t>_________________________</w:t>
      </w:r>
    </w:p>
    <w:p w14:paraId="15E35349" w14:textId="77777777" w:rsidR="000F2CC8" w:rsidRDefault="000F2CC8" w:rsidP="000F2CC8">
      <w:pPr>
        <w:spacing w:after="80" w:line="360" w:lineRule="auto"/>
      </w:pPr>
      <w:r>
        <w:t xml:space="preserve">Name: _____________Ibrahim </w:t>
      </w:r>
      <w:proofErr w:type="spellStart"/>
      <w:r>
        <w:t>mohamed</w:t>
      </w:r>
      <w:proofErr w:type="spellEnd"/>
      <w:r>
        <w:t>______________________</w:t>
      </w:r>
    </w:p>
    <w:p w14:paraId="4CFEDF60" w14:textId="34D7D79C" w:rsidR="000F2CC8" w:rsidRDefault="000F2CC8" w:rsidP="000F2CC8">
      <w:pPr>
        <w:spacing w:after="80" w:line="360" w:lineRule="auto"/>
      </w:pPr>
      <w:r>
        <w:rPr>
          <w:noProof/>
        </w:rPr>
        <mc:AlternateContent>
          <mc:Choice Requires="aink">
            <w:drawing>
              <wp:anchor distT="0" distB="0" distL="114300" distR="114300" simplePos="0" relativeHeight="251664384" behindDoc="0" locked="0" layoutInCell="1" allowOverlap="1" wp14:anchorId="674A3DA1" wp14:editId="262B352A">
                <wp:simplePos x="0" y="0"/>
                <wp:positionH relativeFrom="column">
                  <wp:posOffset>1439460</wp:posOffset>
                </wp:positionH>
                <wp:positionV relativeFrom="paragraph">
                  <wp:posOffset>112500</wp:posOffset>
                </wp:positionV>
                <wp:extent cx="360" cy="360"/>
                <wp:effectExtent l="38100" t="38100" r="25400" b="50800"/>
                <wp:wrapNone/>
                <wp:docPr id="435110784" name="Ink 10"/>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xmlns:w16sdtfl="http://schemas.microsoft.com/office/word/2024/wordml/sdtformatlock">
            <w:drawing>
              <wp:anchor distT="0" distB="0" distL="114300" distR="114300" simplePos="0" relativeHeight="251664384" behindDoc="0" locked="0" layoutInCell="1" allowOverlap="1" wp14:anchorId="674A3DA1" wp14:editId="262B352A">
                <wp:simplePos x="0" y="0"/>
                <wp:positionH relativeFrom="column">
                  <wp:posOffset>1439460</wp:posOffset>
                </wp:positionH>
                <wp:positionV relativeFrom="paragraph">
                  <wp:posOffset>112500</wp:posOffset>
                </wp:positionV>
                <wp:extent cx="360" cy="360"/>
                <wp:effectExtent l="38100" t="38100" r="25400" b="50800"/>
                <wp:wrapNone/>
                <wp:docPr id="435110784" name="Ink 10"/>
                <wp:cNvGraphicFramePr/>
                <a:graphic xmlns:a="http://schemas.openxmlformats.org/drawingml/2006/main">
                  <a:graphicData uri="http://schemas.openxmlformats.org/drawingml/2006/picture">
                    <pic:pic xmlns:pic="http://schemas.openxmlformats.org/drawingml/2006/picture">
                      <pic:nvPicPr>
                        <pic:cNvPr id="435110784" name="Ink 10"/>
                        <pic:cNvPicPr/>
                      </pic:nvPicPr>
                      <pic:blipFill>
                        <a:blip r:embed="rId13"/>
                        <a:stretch>
                          <a:fillRect/>
                        </a:stretch>
                      </pic:blipFill>
                      <pic:spPr>
                        <a:xfrm>
                          <a:off x="0" y="0"/>
                          <a:ext cx="18000" cy="108000"/>
                        </a:xfrm>
                        <a:prstGeom prst="rect">
                          <a:avLst/>
                        </a:prstGeom>
                      </pic:spPr>
                    </pic:pic>
                  </a:graphicData>
                </a:graphic>
              </wp:anchor>
            </w:drawing>
          </mc:Fallback>
        </mc:AlternateContent>
      </w:r>
      <w:r>
        <w:rPr>
          <w:noProof/>
        </w:rPr>
        <mc:AlternateContent>
          <mc:Choice Requires="aink">
            <w:drawing>
              <wp:anchor distT="0" distB="0" distL="114300" distR="114300" simplePos="0" relativeHeight="251663360" behindDoc="0" locked="0" layoutInCell="1" allowOverlap="1" wp14:anchorId="62A34068" wp14:editId="2BEABFCE">
                <wp:simplePos x="0" y="0"/>
                <wp:positionH relativeFrom="column">
                  <wp:posOffset>1437300</wp:posOffset>
                </wp:positionH>
                <wp:positionV relativeFrom="paragraph">
                  <wp:posOffset>75760</wp:posOffset>
                </wp:positionV>
                <wp:extent cx="360" cy="360"/>
                <wp:effectExtent l="50800" t="38100" r="25400" b="38100"/>
                <wp:wrapNone/>
                <wp:docPr id="1775696508" name="Ink 9"/>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xmlns:w16sdtfl="http://schemas.microsoft.com/office/word/2024/wordml/sdtformatlock">
            <w:drawing>
              <wp:anchor distT="0" distB="0" distL="114300" distR="114300" simplePos="0" relativeHeight="251663360" behindDoc="0" locked="0" layoutInCell="1" allowOverlap="1" wp14:anchorId="62A34068" wp14:editId="2BEABFCE">
                <wp:simplePos x="0" y="0"/>
                <wp:positionH relativeFrom="column">
                  <wp:posOffset>1437300</wp:posOffset>
                </wp:positionH>
                <wp:positionV relativeFrom="paragraph">
                  <wp:posOffset>75760</wp:posOffset>
                </wp:positionV>
                <wp:extent cx="360" cy="360"/>
                <wp:effectExtent l="50800" t="38100" r="25400" b="38100"/>
                <wp:wrapNone/>
                <wp:docPr id="1775696508" name="Ink 9"/>
                <wp:cNvGraphicFramePr/>
                <a:graphic xmlns:a="http://schemas.openxmlformats.org/drawingml/2006/main">
                  <a:graphicData uri="http://schemas.openxmlformats.org/drawingml/2006/picture">
                    <pic:pic xmlns:pic="http://schemas.openxmlformats.org/drawingml/2006/picture">
                      <pic:nvPicPr>
                        <pic:cNvPr id="1775696508" name="Ink 9"/>
                        <pic:cNvPicPr/>
                      </pic:nvPicPr>
                      <pic:blipFill>
                        <a:blip r:embed="rId13"/>
                        <a:stretch>
                          <a:fillRect/>
                        </a:stretch>
                      </pic:blipFill>
                      <pic:spPr>
                        <a:xfrm>
                          <a:off x="0" y="0"/>
                          <a:ext cx="18000" cy="108000"/>
                        </a:xfrm>
                        <a:prstGeom prst="rect">
                          <a:avLst/>
                        </a:prstGeom>
                      </pic:spPr>
                    </pic:pic>
                  </a:graphicData>
                </a:graphic>
              </wp:anchor>
            </w:drawing>
          </mc:Fallback>
        </mc:AlternateContent>
      </w:r>
      <w:r>
        <w:rPr>
          <w:noProof/>
        </w:rPr>
        <mc:AlternateContent>
          <mc:Choice Requires="aink">
            <w:drawing>
              <wp:anchor distT="0" distB="0" distL="114300" distR="114300" simplePos="0" relativeHeight="251662336" behindDoc="0" locked="0" layoutInCell="1" allowOverlap="1" wp14:anchorId="67CD1C7F" wp14:editId="42CB2C19">
                <wp:simplePos x="0" y="0"/>
                <wp:positionH relativeFrom="column">
                  <wp:posOffset>1732860</wp:posOffset>
                </wp:positionH>
                <wp:positionV relativeFrom="paragraph">
                  <wp:posOffset>85480</wp:posOffset>
                </wp:positionV>
                <wp:extent cx="360" cy="360"/>
                <wp:effectExtent l="50800" t="38100" r="25400" b="50800"/>
                <wp:wrapNone/>
                <wp:docPr id="1759106008" name="Ink 8"/>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xmlns:w16sdtfl="http://schemas.microsoft.com/office/word/2024/wordml/sdtformatlock">
            <w:drawing>
              <wp:anchor distT="0" distB="0" distL="114300" distR="114300" simplePos="0" relativeHeight="251662336" behindDoc="0" locked="0" layoutInCell="1" allowOverlap="1" wp14:anchorId="67CD1C7F" wp14:editId="42CB2C19">
                <wp:simplePos x="0" y="0"/>
                <wp:positionH relativeFrom="column">
                  <wp:posOffset>1732860</wp:posOffset>
                </wp:positionH>
                <wp:positionV relativeFrom="paragraph">
                  <wp:posOffset>85480</wp:posOffset>
                </wp:positionV>
                <wp:extent cx="360" cy="360"/>
                <wp:effectExtent l="50800" t="38100" r="25400" b="50800"/>
                <wp:wrapNone/>
                <wp:docPr id="1759106008" name="Ink 8"/>
                <wp:cNvGraphicFramePr/>
                <a:graphic xmlns:a="http://schemas.openxmlformats.org/drawingml/2006/main">
                  <a:graphicData uri="http://schemas.openxmlformats.org/drawingml/2006/picture">
                    <pic:pic xmlns:pic="http://schemas.openxmlformats.org/drawingml/2006/picture">
                      <pic:nvPicPr>
                        <pic:cNvPr id="1759106008" name="Ink 8"/>
                        <pic:cNvPicPr/>
                      </pic:nvPicPr>
                      <pic:blipFill>
                        <a:blip r:embed="rId13"/>
                        <a:stretch>
                          <a:fillRect/>
                        </a:stretch>
                      </pic:blipFill>
                      <pic:spPr>
                        <a:xfrm>
                          <a:off x="0" y="0"/>
                          <a:ext cx="18000" cy="108000"/>
                        </a:xfrm>
                        <a:prstGeom prst="rect">
                          <a:avLst/>
                        </a:prstGeom>
                      </pic:spPr>
                    </pic:pic>
                  </a:graphicData>
                </a:graphic>
              </wp:anchor>
            </w:drawing>
          </mc:Fallback>
        </mc:AlternateContent>
      </w:r>
      <w:r>
        <w:rPr>
          <w:noProof/>
        </w:rPr>
        <mc:AlternateContent>
          <mc:Choice Requires="aink">
            <w:drawing>
              <wp:anchor distT="0" distB="0" distL="114300" distR="114300" simplePos="0" relativeHeight="251661312" behindDoc="0" locked="0" layoutInCell="1" allowOverlap="1" wp14:anchorId="07678D82" wp14:editId="2AAC6036">
                <wp:simplePos x="0" y="0"/>
                <wp:positionH relativeFrom="column">
                  <wp:posOffset>1489500</wp:posOffset>
                </wp:positionH>
                <wp:positionV relativeFrom="paragraph">
                  <wp:posOffset>122920</wp:posOffset>
                </wp:positionV>
                <wp:extent cx="360" cy="360"/>
                <wp:effectExtent l="38100" t="38100" r="25400" b="38100"/>
                <wp:wrapNone/>
                <wp:docPr id="1450570396" name="Ink 7"/>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xmlns:w16sdtfl="http://schemas.microsoft.com/office/word/2024/wordml/sdtformatlock">
            <w:drawing>
              <wp:anchor distT="0" distB="0" distL="114300" distR="114300" simplePos="0" relativeHeight="251661312" behindDoc="0" locked="0" layoutInCell="1" allowOverlap="1" wp14:anchorId="07678D82" wp14:editId="2AAC6036">
                <wp:simplePos x="0" y="0"/>
                <wp:positionH relativeFrom="column">
                  <wp:posOffset>1489500</wp:posOffset>
                </wp:positionH>
                <wp:positionV relativeFrom="paragraph">
                  <wp:posOffset>122920</wp:posOffset>
                </wp:positionV>
                <wp:extent cx="360" cy="360"/>
                <wp:effectExtent l="38100" t="38100" r="25400" b="38100"/>
                <wp:wrapNone/>
                <wp:docPr id="1450570396" name="Ink 7"/>
                <wp:cNvGraphicFramePr/>
                <a:graphic xmlns:a="http://schemas.openxmlformats.org/drawingml/2006/main">
                  <a:graphicData uri="http://schemas.openxmlformats.org/drawingml/2006/picture">
                    <pic:pic xmlns:pic="http://schemas.openxmlformats.org/drawingml/2006/picture">
                      <pic:nvPicPr>
                        <pic:cNvPr id="1450570396" name="Ink 7"/>
                        <pic:cNvPicPr/>
                      </pic:nvPicPr>
                      <pic:blipFill>
                        <a:blip r:embed="rId13"/>
                        <a:stretch>
                          <a:fillRect/>
                        </a:stretch>
                      </pic:blipFill>
                      <pic:spPr>
                        <a:xfrm>
                          <a:off x="0" y="0"/>
                          <a:ext cx="18000" cy="108000"/>
                        </a:xfrm>
                        <a:prstGeom prst="rect">
                          <a:avLst/>
                        </a:prstGeom>
                      </pic:spPr>
                    </pic:pic>
                  </a:graphicData>
                </a:graphic>
              </wp:anchor>
            </w:drawing>
          </mc:Fallback>
        </mc:AlternateContent>
      </w:r>
      <w:r>
        <w:t>Date: ___________</w:t>
      </w:r>
      <w:r w:rsidR="00716898">
        <w:rPr>
          <w:rFonts w:hint="cs"/>
          <w:rtl/>
        </w:rPr>
        <w:t xml:space="preserve"> </w:t>
      </w:r>
      <w:r w:rsidR="00716898">
        <w:rPr>
          <w:lang w:val="en-GB"/>
        </w:rPr>
        <w:t>21/05/2026</w:t>
      </w:r>
      <w:r>
        <w:t>_______________________</w:t>
      </w:r>
    </w:p>
    <w:p w14:paraId="660B4367" w14:textId="77777777" w:rsidR="000F2CC8" w:rsidRDefault="000F2CC8">
      <w:pPr>
        <w:rPr>
          <w:b/>
          <w:bCs/>
          <w:color w:val="000000"/>
          <w:sz w:val="28"/>
          <w:szCs w:val="28"/>
        </w:rPr>
      </w:pPr>
      <w:r>
        <w:br w:type="page"/>
      </w:r>
    </w:p>
    <w:p w14:paraId="1D18DED0" w14:textId="3AD3AFC7" w:rsidR="00B43DDC" w:rsidRDefault="00000000">
      <w:pPr>
        <w:pStyle w:val="Heading1"/>
      </w:pPr>
      <w:bookmarkStart w:id="2" w:name="_Toc230275108"/>
      <w:r>
        <w:lastRenderedPageBreak/>
        <w:t>Abstract</w:t>
      </w:r>
      <w:bookmarkEnd w:id="2"/>
    </w:p>
    <w:p w14:paraId="633B823B" w14:textId="77777777" w:rsidR="00F94889" w:rsidRDefault="00F94889" w:rsidP="00F94889">
      <w:pPr>
        <w:spacing w:after="160"/>
        <w:jc w:val="both"/>
      </w:pPr>
      <w:r>
        <w:t>This dissertation explores the symbolic power of Gaza as a discursive object created by media framing in the international arena and how it has generated unprecedented political and humanitarian attention to this small, physically and demographically confined space. With a population of around 2.3 million, Gaza has an area of 365 km² and is home to most of the registered refugees under the mandate of the United Nations Relief and Works Agency for Palestine Refugees (UNRWA, 2023). The territory has been under international media scrutiny, military escalation, and much transnational civil society advocacy since the Israeli blockade was put in place in 2007. However, the academic literature has not systematically studied how the content of the material conditions of the conflict can be transformed into symbolic capital that can inform global political discourse through media framing. This study fills this void.</w:t>
      </w:r>
    </w:p>
    <w:p w14:paraId="16103F99" w14:textId="5DB5A4BF" w:rsidR="00B43DDC" w:rsidRDefault="00F94889" w:rsidP="00F94889">
      <w:pPr>
        <w:spacing w:after="160"/>
        <w:jc w:val="both"/>
      </w:pPr>
      <w:r>
        <w:t>The research was guided by the theoretical framework of Entman's (1993) framing theory, along with some concepts from Bourdieu's (1991) work on symbolic power, and Roy's (2016) political economy analysis of Gaza's structural situation. It involved critical discourse analysis of international news coverage of Gaza during three escalation periods: Operation Cast Lead (2008–09), Operation Protective Edge (2014), and the Al-Aqsa Flood offensive (October 2023 onward). The main research question that this study aims to answer is: How has the media framed the Gaza situation as a symbolic power in international discourse, and what are the political implications of this? The analysis reveals three main and recurring frames: humanitarian catastrophe, violation of international law, and asymmetric resistance and how these frames have converged to create a unique and long-lasting symbolic representation of Gaza in international political communication. The results add to the discussion of the connection between media representation, symbolic power and political results in asymmetric conflicts.</w:t>
      </w:r>
    </w:p>
    <w:p w14:paraId="08648543" w14:textId="77777777" w:rsidR="00B43DDC" w:rsidRDefault="00000000">
      <w:pPr>
        <w:spacing w:after="160"/>
        <w:jc w:val="both"/>
      </w:pPr>
      <w:r>
        <w:rPr>
          <w:b/>
          <w:bCs/>
        </w:rPr>
        <w:t>Keywords:</w:t>
      </w:r>
      <w:r>
        <w:t xml:space="preserve"> Gaza, media framing, symbolic power, critical discourse analysis, Palestinian conflict, international discourse, humanitarian communication.</w:t>
      </w:r>
    </w:p>
    <w:p w14:paraId="1359030E" w14:textId="77777777" w:rsidR="00B43DDC" w:rsidRDefault="00000000">
      <w:r>
        <w:br w:type="page"/>
      </w:r>
    </w:p>
    <w:p w14:paraId="58D6EDE7" w14:textId="77777777" w:rsidR="00B43DDC" w:rsidRDefault="00000000">
      <w:pPr>
        <w:pStyle w:val="Heading1"/>
      </w:pPr>
      <w:bookmarkStart w:id="3" w:name="_Toc230275109"/>
      <w:r>
        <w:lastRenderedPageBreak/>
        <w:t>Acknowledgements</w:t>
      </w:r>
      <w:bookmarkEnd w:id="3"/>
    </w:p>
    <w:p w14:paraId="48718B23" w14:textId="7FF66704" w:rsidR="00BC7E68" w:rsidRDefault="00000000">
      <w:pPr>
        <w:spacing w:after="160"/>
        <w:jc w:val="both"/>
      </w:pPr>
      <w:r>
        <w:t>The researcher wishes to express gratitude to the dissertation supervisor</w:t>
      </w:r>
      <w:r w:rsidR="005D657A">
        <w:t xml:space="preserve"> </w:t>
      </w:r>
      <w:r w:rsidR="005D657A" w:rsidRPr="005D657A">
        <w:rPr>
          <w:b/>
          <w:bCs/>
        </w:rPr>
        <w:t>Dr. Professor Ryan O'Byrne</w:t>
      </w:r>
      <w:r>
        <w:t xml:space="preserve"> for detailed and constructive feedback throughout the research process, and to the university library for access to the necessary scholarly resources. The research is conducted with full awareness of the ongoing suffering of the people of Gaza and has aimed throughout to treat the subject matter with appropriate scholarly care.</w:t>
      </w:r>
    </w:p>
    <w:p w14:paraId="1A000010" w14:textId="351D29A7" w:rsidR="00737C3F" w:rsidRDefault="00BC7E68" w:rsidP="000F2CC8">
      <w:r>
        <w:br w:type="page"/>
      </w:r>
    </w:p>
    <w:p w14:paraId="1B000001" w14:textId="77777777" w:rsidR="00737C3F" w:rsidRDefault="00000000">
      <w:pPr>
        <w:pStyle w:val="Heading1"/>
        <w:jc w:val="center"/>
      </w:pPr>
      <w:bookmarkStart w:id="4" w:name="_Toc230275110"/>
      <w:r>
        <w:lastRenderedPageBreak/>
        <w:t>List of Tables</w:t>
      </w:r>
      <w:bookmarkEnd w:id="4"/>
    </w:p>
    <w:p w14:paraId="1B000002" w14:textId="77777777" w:rsidR="00737C3F" w:rsidRDefault="00737C3F">
      <w:pPr>
        <w:spacing w:after="160" w:line="360" w:lineRule="auto"/>
      </w:pPr>
    </w:p>
    <w:p w14:paraId="1039BB46" w14:textId="4B9A14B6" w:rsidR="00146B97" w:rsidRDefault="00762B50">
      <w:pPr>
        <w:pStyle w:val="TableofFigures"/>
        <w:tabs>
          <w:tab w:val="right" w:leader="dot" w:pos="9350"/>
        </w:tabs>
        <w:rPr>
          <w:rFonts w:asciiTheme="minorHAnsi" w:eastAsiaTheme="minorEastAsia" w:hAnsiTheme="minorHAnsi" w:cstheme="minorBidi"/>
          <w:noProof/>
          <w:kern w:val="2"/>
          <w14:ligatures w14:val="standardContextual"/>
        </w:rPr>
      </w:pPr>
      <w:r>
        <w:fldChar w:fldCharType="begin"/>
      </w:r>
      <w:r>
        <w:instrText xml:space="preserve"> TOC \h \z \c "Table" </w:instrText>
      </w:r>
      <w:r>
        <w:fldChar w:fldCharType="separate"/>
      </w:r>
      <w:hyperlink w:anchor="_Toc230274514" w:history="1">
        <w:r w:rsidR="00146B97" w:rsidRPr="007D2AED">
          <w:rPr>
            <w:rStyle w:val="Hyperlink"/>
            <w:noProof/>
          </w:rPr>
          <w:t>Table 1: Gaza Demographic and Humanitarian Profile (2023–24)</w:t>
        </w:r>
        <w:r w:rsidR="00146B97">
          <w:rPr>
            <w:noProof/>
            <w:webHidden/>
          </w:rPr>
          <w:tab/>
        </w:r>
        <w:r w:rsidR="00146B97">
          <w:rPr>
            <w:noProof/>
            <w:webHidden/>
          </w:rPr>
          <w:fldChar w:fldCharType="begin"/>
        </w:r>
        <w:r w:rsidR="00146B97">
          <w:rPr>
            <w:noProof/>
            <w:webHidden/>
          </w:rPr>
          <w:instrText xml:space="preserve"> PAGEREF _Toc230274514 \h </w:instrText>
        </w:r>
        <w:r w:rsidR="00146B97">
          <w:rPr>
            <w:noProof/>
            <w:webHidden/>
          </w:rPr>
        </w:r>
        <w:r w:rsidR="00146B97">
          <w:rPr>
            <w:noProof/>
            <w:webHidden/>
          </w:rPr>
          <w:fldChar w:fldCharType="separate"/>
        </w:r>
        <w:r w:rsidR="00146B97">
          <w:rPr>
            <w:noProof/>
            <w:webHidden/>
          </w:rPr>
          <w:t>26</w:t>
        </w:r>
        <w:r w:rsidR="00146B97">
          <w:rPr>
            <w:noProof/>
            <w:webHidden/>
          </w:rPr>
          <w:fldChar w:fldCharType="end"/>
        </w:r>
      </w:hyperlink>
    </w:p>
    <w:p w14:paraId="11D21C9D" w14:textId="767E3B47" w:rsidR="00146B97" w:rsidRDefault="00146B97">
      <w:pPr>
        <w:pStyle w:val="TableofFigures"/>
        <w:tabs>
          <w:tab w:val="right" w:leader="dot" w:pos="9350"/>
        </w:tabs>
        <w:rPr>
          <w:rFonts w:asciiTheme="minorHAnsi" w:eastAsiaTheme="minorEastAsia" w:hAnsiTheme="minorHAnsi" w:cstheme="minorBidi"/>
          <w:noProof/>
          <w:kern w:val="2"/>
          <w14:ligatures w14:val="standardContextual"/>
        </w:rPr>
      </w:pPr>
      <w:hyperlink w:anchor="_Toc230274515" w:history="1">
        <w:r w:rsidRPr="007D2AED">
          <w:rPr>
            <w:rStyle w:val="Hyperlink"/>
            <w:noProof/>
          </w:rPr>
          <w:t>Table 2: Casualty and Displacement Data by Escalation Period (2008–2024)</w:t>
        </w:r>
        <w:r>
          <w:rPr>
            <w:noProof/>
            <w:webHidden/>
          </w:rPr>
          <w:tab/>
        </w:r>
        <w:r>
          <w:rPr>
            <w:noProof/>
            <w:webHidden/>
          </w:rPr>
          <w:fldChar w:fldCharType="begin"/>
        </w:r>
        <w:r>
          <w:rPr>
            <w:noProof/>
            <w:webHidden/>
          </w:rPr>
          <w:instrText xml:space="preserve"> PAGEREF _Toc230274515 \h </w:instrText>
        </w:r>
        <w:r>
          <w:rPr>
            <w:noProof/>
            <w:webHidden/>
          </w:rPr>
        </w:r>
        <w:r>
          <w:rPr>
            <w:noProof/>
            <w:webHidden/>
          </w:rPr>
          <w:fldChar w:fldCharType="separate"/>
        </w:r>
        <w:r>
          <w:rPr>
            <w:noProof/>
            <w:webHidden/>
          </w:rPr>
          <w:t>27</w:t>
        </w:r>
        <w:r>
          <w:rPr>
            <w:noProof/>
            <w:webHidden/>
          </w:rPr>
          <w:fldChar w:fldCharType="end"/>
        </w:r>
      </w:hyperlink>
    </w:p>
    <w:p w14:paraId="44A05EA5" w14:textId="30D53E5B" w:rsidR="00146B97" w:rsidRDefault="00146B97">
      <w:pPr>
        <w:pStyle w:val="TableofFigures"/>
        <w:tabs>
          <w:tab w:val="right" w:leader="dot" w:pos="9350"/>
        </w:tabs>
        <w:rPr>
          <w:rFonts w:asciiTheme="minorHAnsi" w:eastAsiaTheme="minorEastAsia" w:hAnsiTheme="minorHAnsi" w:cstheme="minorBidi"/>
          <w:noProof/>
          <w:kern w:val="2"/>
          <w14:ligatures w14:val="standardContextual"/>
        </w:rPr>
      </w:pPr>
      <w:hyperlink w:anchor="_Toc230274516" w:history="1">
        <w:r w:rsidRPr="007D2AED">
          <w:rPr>
            <w:rStyle w:val="Hyperlink"/>
            <w:noProof/>
          </w:rPr>
          <w:t>Table 3: Dominant Frames in International Media Coverage of Gaza (2008–2024)</w:t>
        </w:r>
        <w:r>
          <w:rPr>
            <w:noProof/>
            <w:webHidden/>
          </w:rPr>
          <w:tab/>
        </w:r>
        <w:r>
          <w:rPr>
            <w:noProof/>
            <w:webHidden/>
          </w:rPr>
          <w:fldChar w:fldCharType="begin"/>
        </w:r>
        <w:r>
          <w:rPr>
            <w:noProof/>
            <w:webHidden/>
          </w:rPr>
          <w:instrText xml:space="preserve"> PAGEREF _Toc230274516 \h </w:instrText>
        </w:r>
        <w:r>
          <w:rPr>
            <w:noProof/>
            <w:webHidden/>
          </w:rPr>
        </w:r>
        <w:r>
          <w:rPr>
            <w:noProof/>
            <w:webHidden/>
          </w:rPr>
          <w:fldChar w:fldCharType="separate"/>
        </w:r>
        <w:r>
          <w:rPr>
            <w:noProof/>
            <w:webHidden/>
          </w:rPr>
          <w:t>28</w:t>
        </w:r>
        <w:r>
          <w:rPr>
            <w:noProof/>
            <w:webHidden/>
          </w:rPr>
          <w:fldChar w:fldCharType="end"/>
        </w:r>
      </w:hyperlink>
    </w:p>
    <w:p w14:paraId="575BAED7" w14:textId="68A6B787" w:rsidR="00146B97" w:rsidRDefault="00146B97">
      <w:pPr>
        <w:pStyle w:val="TableofFigures"/>
        <w:tabs>
          <w:tab w:val="right" w:leader="dot" w:pos="9350"/>
        </w:tabs>
        <w:rPr>
          <w:rFonts w:asciiTheme="minorHAnsi" w:eastAsiaTheme="minorEastAsia" w:hAnsiTheme="minorHAnsi" w:cstheme="minorBidi"/>
          <w:noProof/>
          <w:kern w:val="2"/>
          <w14:ligatures w14:val="standardContextual"/>
        </w:rPr>
      </w:pPr>
      <w:hyperlink w:anchor="_Toc230274517" w:history="1">
        <w:r w:rsidRPr="007D2AED">
          <w:rPr>
            <w:rStyle w:val="Hyperlink"/>
            <w:noProof/>
          </w:rPr>
          <w:t>Table 4: International Political Responses to the 2023–24 Escalation</w:t>
        </w:r>
        <w:r>
          <w:rPr>
            <w:noProof/>
            <w:webHidden/>
          </w:rPr>
          <w:tab/>
        </w:r>
        <w:r>
          <w:rPr>
            <w:noProof/>
            <w:webHidden/>
          </w:rPr>
          <w:fldChar w:fldCharType="begin"/>
        </w:r>
        <w:r>
          <w:rPr>
            <w:noProof/>
            <w:webHidden/>
          </w:rPr>
          <w:instrText xml:space="preserve"> PAGEREF _Toc230274517 \h </w:instrText>
        </w:r>
        <w:r>
          <w:rPr>
            <w:noProof/>
            <w:webHidden/>
          </w:rPr>
        </w:r>
        <w:r>
          <w:rPr>
            <w:noProof/>
            <w:webHidden/>
          </w:rPr>
          <w:fldChar w:fldCharType="separate"/>
        </w:r>
        <w:r>
          <w:rPr>
            <w:noProof/>
            <w:webHidden/>
          </w:rPr>
          <w:t>32</w:t>
        </w:r>
        <w:r>
          <w:rPr>
            <w:noProof/>
            <w:webHidden/>
          </w:rPr>
          <w:fldChar w:fldCharType="end"/>
        </w:r>
      </w:hyperlink>
    </w:p>
    <w:p w14:paraId="1B000007" w14:textId="734F5235" w:rsidR="00737C3F" w:rsidRDefault="00762B50">
      <w:r>
        <w:fldChar w:fldCharType="end"/>
      </w:r>
      <w:r>
        <w:br w:type="page"/>
      </w:r>
    </w:p>
    <w:sdt>
      <w:sdtPr>
        <w:rPr>
          <w:rFonts w:ascii="Times New Roman" w:eastAsia="Times New Roman" w:hAnsi="Times New Roman" w:cs="Times New Roman"/>
          <w:color w:val="auto"/>
          <w:sz w:val="24"/>
          <w:szCs w:val="24"/>
        </w:rPr>
        <w:id w:val="-1313557356"/>
        <w:docPartObj>
          <w:docPartGallery w:val="Table of Contents"/>
          <w:docPartUnique/>
        </w:docPartObj>
      </w:sdtPr>
      <w:sdtEndPr>
        <w:rPr>
          <w:b/>
          <w:bCs/>
          <w:noProof/>
        </w:rPr>
      </w:sdtEndPr>
      <w:sdtContent>
        <w:p w14:paraId="5B03F5C9" w14:textId="70B47FEA" w:rsidR="00BC7E68" w:rsidRPr="00B16B28" w:rsidRDefault="00BC7E68" w:rsidP="00B16B28">
          <w:pPr>
            <w:pStyle w:val="TOCHeading"/>
            <w:jc w:val="center"/>
            <w:rPr>
              <w:rFonts w:asciiTheme="majorBidi" w:hAnsiTheme="majorBidi"/>
              <w:b/>
              <w:bCs/>
              <w:color w:val="000000"/>
              <w:sz w:val="28"/>
              <w:szCs w:val="28"/>
            </w:rPr>
          </w:pPr>
          <w:r>
            <w:rPr>
              <w:rFonts w:asciiTheme="majorBidi" w:hAnsiTheme="majorBidi"/>
              <w:b/>
              <w:bCs/>
              <w:color w:val="000000"/>
              <w:sz w:val="28"/>
              <w:szCs w:val="28"/>
            </w:rPr>
            <w:t>Contents</w:t>
          </w:r>
        </w:p>
        <w:p w14:paraId="29F9AF18" w14:textId="689B53F8" w:rsidR="00E47AE9" w:rsidRDefault="00BC7E68">
          <w:pPr>
            <w:pStyle w:val="TOC1"/>
            <w:tabs>
              <w:tab w:val="right" w:leader="dot" w:pos="9350"/>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0275107" w:history="1">
            <w:r w:rsidR="00E47AE9" w:rsidRPr="00F7205E">
              <w:rPr>
                <w:rStyle w:val="Hyperlink"/>
                <w:noProof/>
              </w:rPr>
              <w:t>Declaration</w:t>
            </w:r>
            <w:r w:rsidR="00E47AE9">
              <w:rPr>
                <w:noProof/>
                <w:webHidden/>
              </w:rPr>
              <w:tab/>
            </w:r>
            <w:r w:rsidR="00E47AE9">
              <w:rPr>
                <w:noProof/>
                <w:webHidden/>
              </w:rPr>
              <w:fldChar w:fldCharType="begin"/>
            </w:r>
            <w:r w:rsidR="00E47AE9">
              <w:rPr>
                <w:noProof/>
                <w:webHidden/>
              </w:rPr>
              <w:instrText xml:space="preserve"> PAGEREF _Toc230275107 \h </w:instrText>
            </w:r>
            <w:r w:rsidR="00E47AE9">
              <w:rPr>
                <w:noProof/>
                <w:webHidden/>
              </w:rPr>
            </w:r>
            <w:r w:rsidR="00E47AE9">
              <w:rPr>
                <w:noProof/>
                <w:webHidden/>
              </w:rPr>
              <w:fldChar w:fldCharType="separate"/>
            </w:r>
            <w:r w:rsidR="00E47AE9">
              <w:rPr>
                <w:noProof/>
                <w:webHidden/>
              </w:rPr>
              <w:t>2</w:t>
            </w:r>
            <w:r w:rsidR="00E47AE9">
              <w:rPr>
                <w:noProof/>
                <w:webHidden/>
              </w:rPr>
              <w:fldChar w:fldCharType="end"/>
            </w:r>
          </w:hyperlink>
        </w:p>
        <w:p w14:paraId="6ABF0555" w14:textId="2910AA8F" w:rsidR="00E47AE9" w:rsidRDefault="00E47AE9">
          <w:pPr>
            <w:pStyle w:val="TOC1"/>
            <w:tabs>
              <w:tab w:val="right" w:leader="dot" w:pos="9350"/>
            </w:tabs>
            <w:rPr>
              <w:rFonts w:asciiTheme="minorHAnsi" w:eastAsiaTheme="minorEastAsia" w:hAnsiTheme="minorHAnsi" w:cstheme="minorBidi"/>
              <w:noProof/>
              <w:kern w:val="2"/>
              <w14:ligatures w14:val="standardContextual"/>
            </w:rPr>
          </w:pPr>
          <w:hyperlink w:anchor="_Toc230275108" w:history="1">
            <w:r w:rsidRPr="00F7205E">
              <w:rPr>
                <w:rStyle w:val="Hyperlink"/>
                <w:noProof/>
              </w:rPr>
              <w:t>Abstract</w:t>
            </w:r>
            <w:r>
              <w:rPr>
                <w:noProof/>
                <w:webHidden/>
              </w:rPr>
              <w:tab/>
            </w:r>
            <w:r>
              <w:rPr>
                <w:noProof/>
                <w:webHidden/>
              </w:rPr>
              <w:fldChar w:fldCharType="begin"/>
            </w:r>
            <w:r>
              <w:rPr>
                <w:noProof/>
                <w:webHidden/>
              </w:rPr>
              <w:instrText xml:space="preserve"> PAGEREF _Toc230275108 \h </w:instrText>
            </w:r>
            <w:r>
              <w:rPr>
                <w:noProof/>
                <w:webHidden/>
              </w:rPr>
            </w:r>
            <w:r>
              <w:rPr>
                <w:noProof/>
                <w:webHidden/>
              </w:rPr>
              <w:fldChar w:fldCharType="separate"/>
            </w:r>
            <w:r>
              <w:rPr>
                <w:noProof/>
                <w:webHidden/>
              </w:rPr>
              <w:t>3</w:t>
            </w:r>
            <w:r>
              <w:rPr>
                <w:noProof/>
                <w:webHidden/>
              </w:rPr>
              <w:fldChar w:fldCharType="end"/>
            </w:r>
          </w:hyperlink>
        </w:p>
        <w:p w14:paraId="3D3C7102" w14:textId="6DF7251B" w:rsidR="00E47AE9" w:rsidRDefault="00E47AE9">
          <w:pPr>
            <w:pStyle w:val="TOC1"/>
            <w:tabs>
              <w:tab w:val="right" w:leader="dot" w:pos="9350"/>
            </w:tabs>
            <w:rPr>
              <w:rFonts w:asciiTheme="minorHAnsi" w:eastAsiaTheme="minorEastAsia" w:hAnsiTheme="minorHAnsi" w:cstheme="minorBidi"/>
              <w:noProof/>
              <w:kern w:val="2"/>
              <w14:ligatures w14:val="standardContextual"/>
            </w:rPr>
          </w:pPr>
          <w:hyperlink w:anchor="_Toc230275109" w:history="1">
            <w:r w:rsidRPr="00F7205E">
              <w:rPr>
                <w:rStyle w:val="Hyperlink"/>
                <w:noProof/>
              </w:rPr>
              <w:t>Acknowledgements</w:t>
            </w:r>
            <w:r>
              <w:rPr>
                <w:noProof/>
                <w:webHidden/>
              </w:rPr>
              <w:tab/>
            </w:r>
            <w:r>
              <w:rPr>
                <w:noProof/>
                <w:webHidden/>
              </w:rPr>
              <w:fldChar w:fldCharType="begin"/>
            </w:r>
            <w:r>
              <w:rPr>
                <w:noProof/>
                <w:webHidden/>
              </w:rPr>
              <w:instrText xml:space="preserve"> PAGEREF _Toc230275109 \h </w:instrText>
            </w:r>
            <w:r>
              <w:rPr>
                <w:noProof/>
                <w:webHidden/>
              </w:rPr>
            </w:r>
            <w:r>
              <w:rPr>
                <w:noProof/>
                <w:webHidden/>
              </w:rPr>
              <w:fldChar w:fldCharType="separate"/>
            </w:r>
            <w:r>
              <w:rPr>
                <w:noProof/>
                <w:webHidden/>
              </w:rPr>
              <w:t>4</w:t>
            </w:r>
            <w:r>
              <w:rPr>
                <w:noProof/>
                <w:webHidden/>
              </w:rPr>
              <w:fldChar w:fldCharType="end"/>
            </w:r>
          </w:hyperlink>
        </w:p>
        <w:p w14:paraId="52C83F7A" w14:textId="5D8F4E6D" w:rsidR="00E47AE9" w:rsidRDefault="00E47AE9">
          <w:pPr>
            <w:pStyle w:val="TOC1"/>
            <w:tabs>
              <w:tab w:val="right" w:leader="dot" w:pos="9350"/>
            </w:tabs>
            <w:rPr>
              <w:rFonts w:asciiTheme="minorHAnsi" w:eastAsiaTheme="minorEastAsia" w:hAnsiTheme="minorHAnsi" w:cstheme="minorBidi"/>
              <w:noProof/>
              <w:kern w:val="2"/>
              <w14:ligatures w14:val="standardContextual"/>
            </w:rPr>
          </w:pPr>
          <w:hyperlink w:anchor="_Toc230275110" w:history="1">
            <w:r w:rsidRPr="00F7205E">
              <w:rPr>
                <w:rStyle w:val="Hyperlink"/>
                <w:noProof/>
              </w:rPr>
              <w:t>List of Tables</w:t>
            </w:r>
            <w:r>
              <w:rPr>
                <w:noProof/>
                <w:webHidden/>
              </w:rPr>
              <w:tab/>
            </w:r>
            <w:r>
              <w:rPr>
                <w:noProof/>
                <w:webHidden/>
              </w:rPr>
              <w:fldChar w:fldCharType="begin"/>
            </w:r>
            <w:r>
              <w:rPr>
                <w:noProof/>
                <w:webHidden/>
              </w:rPr>
              <w:instrText xml:space="preserve"> PAGEREF _Toc230275110 \h </w:instrText>
            </w:r>
            <w:r>
              <w:rPr>
                <w:noProof/>
                <w:webHidden/>
              </w:rPr>
            </w:r>
            <w:r>
              <w:rPr>
                <w:noProof/>
                <w:webHidden/>
              </w:rPr>
              <w:fldChar w:fldCharType="separate"/>
            </w:r>
            <w:r>
              <w:rPr>
                <w:noProof/>
                <w:webHidden/>
              </w:rPr>
              <w:t>5</w:t>
            </w:r>
            <w:r>
              <w:rPr>
                <w:noProof/>
                <w:webHidden/>
              </w:rPr>
              <w:fldChar w:fldCharType="end"/>
            </w:r>
          </w:hyperlink>
        </w:p>
        <w:p w14:paraId="67381EC8" w14:textId="3F2D7B74" w:rsidR="00E47AE9" w:rsidRDefault="00E47AE9">
          <w:pPr>
            <w:pStyle w:val="TOC1"/>
            <w:tabs>
              <w:tab w:val="right" w:leader="dot" w:pos="9350"/>
            </w:tabs>
            <w:rPr>
              <w:rFonts w:asciiTheme="minorHAnsi" w:eastAsiaTheme="minorEastAsia" w:hAnsiTheme="minorHAnsi" w:cstheme="minorBidi"/>
              <w:noProof/>
              <w:kern w:val="2"/>
              <w14:ligatures w14:val="standardContextual"/>
            </w:rPr>
          </w:pPr>
          <w:hyperlink w:anchor="_Toc230275111" w:history="1">
            <w:r w:rsidRPr="00F7205E">
              <w:rPr>
                <w:rStyle w:val="Hyperlink"/>
                <w:noProof/>
              </w:rPr>
              <w:t>Chapter 1: Introduction and Background</w:t>
            </w:r>
            <w:r>
              <w:rPr>
                <w:noProof/>
                <w:webHidden/>
              </w:rPr>
              <w:tab/>
            </w:r>
            <w:r>
              <w:rPr>
                <w:noProof/>
                <w:webHidden/>
              </w:rPr>
              <w:fldChar w:fldCharType="begin"/>
            </w:r>
            <w:r>
              <w:rPr>
                <w:noProof/>
                <w:webHidden/>
              </w:rPr>
              <w:instrText xml:space="preserve"> PAGEREF _Toc230275111 \h </w:instrText>
            </w:r>
            <w:r>
              <w:rPr>
                <w:noProof/>
                <w:webHidden/>
              </w:rPr>
            </w:r>
            <w:r>
              <w:rPr>
                <w:noProof/>
                <w:webHidden/>
              </w:rPr>
              <w:fldChar w:fldCharType="separate"/>
            </w:r>
            <w:r>
              <w:rPr>
                <w:noProof/>
                <w:webHidden/>
              </w:rPr>
              <w:t>8</w:t>
            </w:r>
            <w:r>
              <w:rPr>
                <w:noProof/>
                <w:webHidden/>
              </w:rPr>
              <w:fldChar w:fldCharType="end"/>
            </w:r>
          </w:hyperlink>
        </w:p>
        <w:p w14:paraId="6F01DB56" w14:textId="6429DFBA"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12" w:history="1">
            <w:r w:rsidRPr="00F7205E">
              <w:rPr>
                <w:rStyle w:val="Hyperlink"/>
                <w:noProof/>
              </w:rPr>
              <w:t>1.1 Introduction</w:t>
            </w:r>
            <w:r>
              <w:rPr>
                <w:noProof/>
                <w:webHidden/>
              </w:rPr>
              <w:tab/>
            </w:r>
            <w:r>
              <w:rPr>
                <w:noProof/>
                <w:webHidden/>
              </w:rPr>
              <w:fldChar w:fldCharType="begin"/>
            </w:r>
            <w:r>
              <w:rPr>
                <w:noProof/>
                <w:webHidden/>
              </w:rPr>
              <w:instrText xml:space="preserve"> PAGEREF _Toc230275112 \h </w:instrText>
            </w:r>
            <w:r>
              <w:rPr>
                <w:noProof/>
                <w:webHidden/>
              </w:rPr>
            </w:r>
            <w:r>
              <w:rPr>
                <w:noProof/>
                <w:webHidden/>
              </w:rPr>
              <w:fldChar w:fldCharType="separate"/>
            </w:r>
            <w:r>
              <w:rPr>
                <w:noProof/>
                <w:webHidden/>
              </w:rPr>
              <w:t>8</w:t>
            </w:r>
            <w:r>
              <w:rPr>
                <w:noProof/>
                <w:webHidden/>
              </w:rPr>
              <w:fldChar w:fldCharType="end"/>
            </w:r>
          </w:hyperlink>
        </w:p>
        <w:p w14:paraId="354855AC" w14:textId="75D7E32E"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13" w:history="1">
            <w:r w:rsidRPr="00F7205E">
              <w:rPr>
                <w:rStyle w:val="Hyperlink"/>
                <w:noProof/>
              </w:rPr>
              <w:t>1.2 Background and Contextual Overview</w:t>
            </w:r>
            <w:r>
              <w:rPr>
                <w:noProof/>
                <w:webHidden/>
              </w:rPr>
              <w:tab/>
            </w:r>
            <w:r>
              <w:rPr>
                <w:noProof/>
                <w:webHidden/>
              </w:rPr>
              <w:fldChar w:fldCharType="begin"/>
            </w:r>
            <w:r>
              <w:rPr>
                <w:noProof/>
                <w:webHidden/>
              </w:rPr>
              <w:instrText xml:space="preserve"> PAGEREF _Toc230275113 \h </w:instrText>
            </w:r>
            <w:r>
              <w:rPr>
                <w:noProof/>
                <w:webHidden/>
              </w:rPr>
            </w:r>
            <w:r>
              <w:rPr>
                <w:noProof/>
                <w:webHidden/>
              </w:rPr>
              <w:fldChar w:fldCharType="separate"/>
            </w:r>
            <w:r>
              <w:rPr>
                <w:noProof/>
                <w:webHidden/>
              </w:rPr>
              <w:t>9</w:t>
            </w:r>
            <w:r>
              <w:rPr>
                <w:noProof/>
                <w:webHidden/>
              </w:rPr>
              <w:fldChar w:fldCharType="end"/>
            </w:r>
          </w:hyperlink>
        </w:p>
        <w:p w14:paraId="330B82D3" w14:textId="2C70C523"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14" w:history="1">
            <w:r w:rsidRPr="00F7205E">
              <w:rPr>
                <w:rStyle w:val="Hyperlink"/>
                <w:noProof/>
              </w:rPr>
              <w:t>1.3 Research Problem</w:t>
            </w:r>
            <w:r>
              <w:rPr>
                <w:noProof/>
                <w:webHidden/>
              </w:rPr>
              <w:tab/>
            </w:r>
            <w:r>
              <w:rPr>
                <w:noProof/>
                <w:webHidden/>
              </w:rPr>
              <w:fldChar w:fldCharType="begin"/>
            </w:r>
            <w:r>
              <w:rPr>
                <w:noProof/>
                <w:webHidden/>
              </w:rPr>
              <w:instrText xml:space="preserve"> PAGEREF _Toc230275114 \h </w:instrText>
            </w:r>
            <w:r>
              <w:rPr>
                <w:noProof/>
                <w:webHidden/>
              </w:rPr>
            </w:r>
            <w:r>
              <w:rPr>
                <w:noProof/>
                <w:webHidden/>
              </w:rPr>
              <w:fldChar w:fldCharType="separate"/>
            </w:r>
            <w:r>
              <w:rPr>
                <w:noProof/>
                <w:webHidden/>
              </w:rPr>
              <w:t>10</w:t>
            </w:r>
            <w:r>
              <w:rPr>
                <w:noProof/>
                <w:webHidden/>
              </w:rPr>
              <w:fldChar w:fldCharType="end"/>
            </w:r>
          </w:hyperlink>
        </w:p>
        <w:p w14:paraId="5BA69C3C" w14:textId="3EC81AB6"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15" w:history="1">
            <w:r w:rsidRPr="00F7205E">
              <w:rPr>
                <w:rStyle w:val="Hyperlink"/>
                <w:noProof/>
              </w:rPr>
              <w:t>1.4 Research Aim and Objectives</w:t>
            </w:r>
            <w:r>
              <w:rPr>
                <w:noProof/>
                <w:webHidden/>
              </w:rPr>
              <w:tab/>
            </w:r>
            <w:r>
              <w:rPr>
                <w:noProof/>
                <w:webHidden/>
              </w:rPr>
              <w:fldChar w:fldCharType="begin"/>
            </w:r>
            <w:r>
              <w:rPr>
                <w:noProof/>
                <w:webHidden/>
              </w:rPr>
              <w:instrText xml:space="preserve"> PAGEREF _Toc230275115 \h </w:instrText>
            </w:r>
            <w:r>
              <w:rPr>
                <w:noProof/>
                <w:webHidden/>
              </w:rPr>
            </w:r>
            <w:r>
              <w:rPr>
                <w:noProof/>
                <w:webHidden/>
              </w:rPr>
              <w:fldChar w:fldCharType="separate"/>
            </w:r>
            <w:r>
              <w:rPr>
                <w:noProof/>
                <w:webHidden/>
              </w:rPr>
              <w:t>10</w:t>
            </w:r>
            <w:r>
              <w:rPr>
                <w:noProof/>
                <w:webHidden/>
              </w:rPr>
              <w:fldChar w:fldCharType="end"/>
            </w:r>
          </w:hyperlink>
        </w:p>
        <w:p w14:paraId="21C4A3DB" w14:textId="57854E81"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16" w:history="1">
            <w:r w:rsidRPr="00F7205E">
              <w:rPr>
                <w:rStyle w:val="Hyperlink"/>
                <w:noProof/>
              </w:rPr>
              <w:t>1.5 Research Question</w:t>
            </w:r>
            <w:r>
              <w:rPr>
                <w:noProof/>
                <w:webHidden/>
              </w:rPr>
              <w:tab/>
            </w:r>
            <w:r>
              <w:rPr>
                <w:noProof/>
                <w:webHidden/>
              </w:rPr>
              <w:fldChar w:fldCharType="begin"/>
            </w:r>
            <w:r>
              <w:rPr>
                <w:noProof/>
                <w:webHidden/>
              </w:rPr>
              <w:instrText xml:space="preserve"> PAGEREF _Toc230275116 \h </w:instrText>
            </w:r>
            <w:r>
              <w:rPr>
                <w:noProof/>
                <w:webHidden/>
              </w:rPr>
            </w:r>
            <w:r>
              <w:rPr>
                <w:noProof/>
                <w:webHidden/>
              </w:rPr>
              <w:fldChar w:fldCharType="separate"/>
            </w:r>
            <w:r>
              <w:rPr>
                <w:noProof/>
                <w:webHidden/>
              </w:rPr>
              <w:t>11</w:t>
            </w:r>
            <w:r>
              <w:rPr>
                <w:noProof/>
                <w:webHidden/>
              </w:rPr>
              <w:fldChar w:fldCharType="end"/>
            </w:r>
          </w:hyperlink>
        </w:p>
        <w:p w14:paraId="0FCEDE48" w14:textId="14735675"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17" w:history="1">
            <w:r w:rsidRPr="00F7205E">
              <w:rPr>
                <w:rStyle w:val="Hyperlink"/>
                <w:noProof/>
              </w:rPr>
              <w:t>1.6 Research Significance</w:t>
            </w:r>
            <w:r>
              <w:rPr>
                <w:noProof/>
                <w:webHidden/>
              </w:rPr>
              <w:tab/>
            </w:r>
            <w:r>
              <w:rPr>
                <w:noProof/>
                <w:webHidden/>
              </w:rPr>
              <w:fldChar w:fldCharType="begin"/>
            </w:r>
            <w:r>
              <w:rPr>
                <w:noProof/>
                <w:webHidden/>
              </w:rPr>
              <w:instrText xml:space="preserve"> PAGEREF _Toc230275117 \h </w:instrText>
            </w:r>
            <w:r>
              <w:rPr>
                <w:noProof/>
                <w:webHidden/>
              </w:rPr>
            </w:r>
            <w:r>
              <w:rPr>
                <w:noProof/>
                <w:webHidden/>
              </w:rPr>
              <w:fldChar w:fldCharType="separate"/>
            </w:r>
            <w:r>
              <w:rPr>
                <w:noProof/>
                <w:webHidden/>
              </w:rPr>
              <w:t>11</w:t>
            </w:r>
            <w:r>
              <w:rPr>
                <w:noProof/>
                <w:webHidden/>
              </w:rPr>
              <w:fldChar w:fldCharType="end"/>
            </w:r>
          </w:hyperlink>
        </w:p>
        <w:p w14:paraId="0E321BD8" w14:textId="5277D2C9"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18" w:history="1">
            <w:r w:rsidRPr="00F7205E">
              <w:rPr>
                <w:rStyle w:val="Hyperlink"/>
                <w:noProof/>
              </w:rPr>
              <w:t>1.7 Structure of the Study</w:t>
            </w:r>
            <w:r>
              <w:rPr>
                <w:noProof/>
                <w:webHidden/>
              </w:rPr>
              <w:tab/>
            </w:r>
            <w:r>
              <w:rPr>
                <w:noProof/>
                <w:webHidden/>
              </w:rPr>
              <w:fldChar w:fldCharType="begin"/>
            </w:r>
            <w:r>
              <w:rPr>
                <w:noProof/>
                <w:webHidden/>
              </w:rPr>
              <w:instrText xml:space="preserve"> PAGEREF _Toc230275118 \h </w:instrText>
            </w:r>
            <w:r>
              <w:rPr>
                <w:noProof/>
                <w:webHidden/>
              </w:rPr>
            </w:r>
            <w:r>
              <w:rPr>
                <w:noProof/>
                <w:webHidden/>
              </w:rPr>
              <w:fldChar w:fldCharType="separate"/>
            </w:r>
            <w:r>
              <w:rPr>
                <w:noProof/>
                <w:webHidden/>
              </w:rPr>
              <w:t>12</w:t>
            </w:r>
            <w:r>
              <w:rPr>
                <w:noProof/>
                <w:webHidden/>
              </w:rPr>
              <w:fldChar w:fldCharType="end"/>
            </w:r>
          </w:hyperlink>
        </w:p>
        <w:p w14:paraId="3362DCF9" w14:textId="3D9E1045" w:rsidR="00E47AE9" w:rsidRDefault="00E47AE9">
          <w:pPr>
            <w:pStyle w:val="TOC1"/>
            <w:tabs>
              <w:tab w:val="right" w:leader="dot" w:pos="9350"/>
            </w:tabs>
            <w:rPr>
              <w:rFonts w:asciiTheme="minorHAnsi" w:eastAsiaTheme="minorEastAsia" w:hAnsiTheme="minorHAnsi" w:cstheme="minorBidi"/>
              <w:noProof/>
              <w:kern w:val="2"/>
              <w14:ligatures w14:val="standardContextual"/>
            </w:rPr>
          </w:pPr>
          <w:hyperlink w:anchor="_Toc230275119" w:history="1">
            <w:r w:rsidRPr="00F7205E">
              <w:rPr>
                <w:rStyle w:val="Hyperlink"/>
                <w:noProof/>
              </w:rPr>
              <w:t>Chapter 2: Literature Review</w:t>
            </w:r>
            <w:r>
              <w:rPr>
                <w:noProof/>
                <w:webHidden/>
              </w:rPr>
              <w:tab/>
            </w:r>
            <w:r>
              <w:rPr>
                <w:noProof/>
                <w:webHidden/>
              </w:rPr>
              <w:fldChar w:fldCharType="begin"/>
            </w:r>
            <w:r>
              <w:rPr>
                <w:noProof/>
                <w:webHidden/>
              </w:rPr>
              <w:instrText xml:space="preserve"> PAGEREF _Toc230275119 \h </w:instrText>
            </w:r>
            <w:r>
              <w:rPr>
                <w:noProof/>
                <w:webHidden/>
              </w:rPr>
            </w:r>
            <w:r>
              <w:rPr>
                <w:noProof/>
                <w:webHidden/>
              </w:rPr>
              <w:fldChar w:fldCharType="separate"/>
            </w:r>
            <w:r>
              <w:rPr>
                <w:noProof/>
                <w:webHidden/>
              </w:rPr>
              <w:t>13</w:t>
            </w:r>
            <w:r>
              <w:rPr>
                <w:noProof/>
                <w:webHidden/>
              </w:rPr>
              <w:fldChar w:fldCharType="end"/>
            </w:r>
          </w:hyperlink>
        </w:p>
        <w:p w14:paraId="72C41C70" w14:textId="63DDB606"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20" w:history="1">
            <w:r w:rsidRPr="00F7205E">
              <w:rPr>
                <w:rStyle w:val="Hyperlink"/>
                <w:noProof/>
              </w:rPr>
              <w:t>2.1 Introduction</w:t>
            </w:r>
            <w:r>
              <w:rPr>
                <w:noProof/>
                <w:webHidden/>
              </w:rPr>
              <w:tab/>
            </w:r>
            <w:r>
              <w:rPr>
                <w:noProof/>
                <w:webHidden/>
              </w:rPr>
              <w:fldChar w:fldCharType="begin"/>
            </w:r>
            <w:r>
              <w:rPr>
                <w:noProof/>
                <w:webHidden/>
              </w:rPr>
              <w:instrText xml:space="preserve"> PAGEREF _Toc230275120 \h </w:instrText>
            </w:r>
            <w:r>
              <w:rPr>
                <w:noProof/>
                <w:webHidden/>
              </w:rPr>
            </w:r>
            <w:r>
              <w:rPr>
                <w:noProof/>
                <w:webHidden/>
              </w:rPr>
              <w:fldChar w:fldCharType="separate"/>
            </w:r>
            <w:r>
              <w:rPr>
                <w:noProof/>
                <w:webHidden/>
              </w:rPr>
              <w:t>13</w:t>
            </w:r>
            <w:r>
              <w:rPr>
                <w:noProof/>
                <w:webHidden/>
              </w:rPr>
              <w:fldChar w:fldCharType="end"/>
            </w:r>
          </w:hyperlink>
        </w:p>
        <w:p w14:paraId="6883E8AD" w14:textId="5FA18D96"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21" w:history="1">
            <w:r w:rsidRPr="00F7205E">
              <w:rPr>
                <w:rStyle w:val="Hyperlink"/>
                <w:noProof/>
              </w:rPr>
              <w:t>2.2 Theoretical Frameworks</w:t>
            </w:r>
            <w:r>
              <w:rPr>
                <w:noProof/>
                <w:webHidden/>
              </w:rPr>
              <w:tab/>
            </w:r>
            <w:r>
              <w:rPr>
                <w:noProof/>
                <w:webHidden/>
              </w:rPr>
              <w:fldChar w:fldCharType="begin"/>
            </w:r>
            <w:r>
              <w:rPr>
                <w:noProof/>
                <w:webHidden/>
              </w:rPr>
              <w:instrText xml:space="preserve"> PAGEREF _Toc230275121 \h </w:instrText>
            </w:r>
            <w:r>
              <w:rPr>
                <w:noProof/>
                <w:webHidden/>
              </w:rPr>
            </w:r>
            <w:r>
              <w:rPr>
                <w:noProof/>
                <w:webHidden/>
              </w:rPr>
              <w:fldChar w:fldCharType="separate"/>
            </w:r>
            <w:r>
              <w:rPr>
                <w:noProof/>
                <w:webHidden/>
              </w:rPr>
              <w:t>13</w:t>
            </w:r>
            <w:r>
              <w:rPr>
                <w:noProof/>
                <w:webHidden/>
              </w:rPr>
              <w:fldChar w:fldCharType="end"/>
            </w:r>
          </w:hyperlink>
        </w:p>
        <w:p w14:paraId="27821595" w14:textId="4465FB65" w:rsidR="00E47AE9" w:rsidRDefault="00E47AE9">
          <w:pPr>
            <w:pStyle w:val="TOC3"/>
            <w:tabs>
              <w:tab w:val="right" w:leader="dot" w:pos="9350"/>
            </w:tabs>
            <w:rPr>
              <w:rFonts w:asciiTheme="minorHAnsi" w:eastAsiaTheme="minorEastAsia" w:hAnsiTheme="minorHAnsi" w:cstheme="minorBidi"/>
              <w:noProof/>
              <w:kern w:val="2"/>
              <w14:ligatures w14:val="standardContextual"/>
            </w:rPr>
          </w:pPr>
          <w:hyperlink w:anchor="_Toc230275122" w:history="1">
            <w:r w:rsidRPr="00F7205E">
              <w:rPr>
                <w:rStyle w:val="Hyperlink"/>
                <w:noProof/>
              </w:rPr>
              <w:t>2.2.1 Media Framing Theory</w:t>
            </w:r>
            <w:r>
              <w:rPr>
                <w:noProof/>
                <w:webHidden/>
              </w:rPr>
              <w:tab/>
            </w:r>
            <w:r>
              <w:rPr>
                <w:noProof/>
                <w:webHidden/>
              </w:rPr>
              <w:fldChar w:fldCharType="begin"/>
            </w:r>
            <w:r>
              <w:rPr>
                <w:noProof/>
                <w:webHidden/>
              </w:rPr>
              <w:instrText xml:space="preserve"> PAGEREF _Toc230275122 \h </w:instrText>
            </w:r>
            <w:r>
              <w:rPr>
                <w:noProof/>
                <w:webHidden/>
              </w:rPr>
            </w:r>
            <w:r>
              <w:rPr>
                <w:noProof/>
                <w:webHidden/>
              </w:rPr>
              <w:fldChar w:fldCharType="separate"/>
            </w:r>
            <w:r>
              <w:rPr>
                <w:noProof/>
                <w:webHidden/>
              </w:rPr>
              <w:t>13</w:t>
            </w:r>
            <w:r>
              <w:rPr>
                <w:noProof/>
                <w:webHidden/>
              </w:rPr>
              <w:fldChar w:fldCharType="end"/>
            </w:r>
          </w:hyperlink>
        </w:p>
        <w:p w14:paraId="4482BBB6" w14:textId="5E73D952" w:rsidR="00E47AE9" w:rsidRDefault="00E47AE9">
          <w:pPr>
            <w:pStyle w:val="TOC3"/>
            <w:tabs>
              <w:tab w:val="right" w:leader="dot" w:pos="9350"/>
            </w:tabs>
            <w:rPr>
              <w:rFonts w:asciiTheme="minorHAnsi" w:eastAsiaTheme="minorEastAsia" w:hAnsiTheme="minorHAnsi" w:cstheme="minorBidi"/>
              <w:noProof/>
              <w:kern w:val="2"/>
              <w14:ligatures w14:val="standardContextual"/>
            </w:rPr>
          </w:pPr>
          <w:hyperlink w:anchor="_Toc230275123" w:history="1">
            <w:r w:rsidRPr="00F7205E">
              <w:rPr>
                <w:rStyle w:val="Hyperlink"/>
                <w:noProof/>
              </w:rPr>
              <w:t>2.2.2 Symbolic Power</w:t>
            </w:r>
            <w:r>
              <w:rPr>
                <w:noProof/>
                <w:webHidden/>
              </w:rPr>
              <w:tab/>
            </w:r>
            <w:r>
              <w:rPr>
                <w:noProof/>
                <w:webHidden/>
              </w:rPr>
              <w:fldChar w:fldCharType="begin"/>
            </w:r>
            <w:r>
              <w:rPr>
                <w:noProof/>
                <w:webHidden/>
              </w:rPr>
              <w:instrText xml:space="preserve"> PAGEREF _Toc230275123 \h </w:instrText>
            </w:r>
            <w:r>
              <w:rPr>
                <w:noProof/>
                <w:webHidden/>
              </w:rPr>
            </w:r>
            <w:r>
              <w:rPr>
                <w:noProof/>
                <w:webHidden/>
              </w:rPr>
              <w:fldChar w:fldCharType="separate"/>
            </w:r>
            <w:r>
              <w:rPr>
                <w:noProof/>
                <w:webHidden/>
              </w:rPr>
              <w:t>14</w:t>
            </w:r>
            <w:r>
              <w:rPr>
                <w:noProof/>
                <w:webHidden/>
              </w:rPr>
              <w:fldChar w:fldCharType="end"/>
            </w:r>
          </w:hyperlink>
        </w:p>
        <w:p w14:paraId="66681300" w14:textId="45A8C9E7" w:rsidR="00E47AE9" w:rsidRDefault="00E47AE9">
          <w:pPr>
            <w:pStyle w:val="TOC3"/>
            <w:tabs>
              <w:tab w:val="right" w:leader="dot" w:pos="9350"/>
            </w:tabs>
            <w:rPr>
              <w:rFonts w:asciiTheme="minorHAnsi" w:eastAsiaTheme="minorEastAsia" w:hAnsiTheme="minorHAnsi" w:cstheme="minorBidi"/>
              <w:noProof/>
              <w:kern w:val="2"/>
              <w14:ligatures w14:val="standardContextual"/>
            </w:rPr>
          </w:pPr>
          <w:hyperlink w:anchor="_Toc230275124" w:history="1">
            <w:r w:rsidRPr="00F7205E">
              <w:rPr>
                <w:rStyle w:val="Hyperlink"/>
                <w:noProof/>
              </w:rPr>
              <w:t>2.2.3 Asymmetric Conflict and Non-Military Power</w:t>
            </w:r>
            <w:r>
              <w:rPr>
                <w:noProof/>
                <w:webHidden/>
              </w:rPr>
              <w:tab/>
            </w:r>
            <w:r>
              <w:rPr>
                <w:noProof/>
                <w:webHidden/>
              </w:rPr>
              <w:fldChar w:fldCharType="begin"/>
            </w:r>
            <w:r>
              <w:rPr>
                <w:noProof/>
                <w:webHidden/>
              </w:rPr>
              <w:instrText xml:space="preserve"> PAGEREF _Toc230275124 \h </w:instrText>
            </w:r>
            <w:r>
              <w:rPr>
                <w:noProof/>
                <w:webHidden/>
              </w:rPr>
            </w:r>
            <w:r>
              <w:rPr>
                <w:noProof/>
                <w:webHidden/>
              </w:rPr>
              <w:fldChar w:fldCharType="separate"/>
            </w:r>
            <w:r>
              <w:rPr>
                <w:noProof/>
                <w:webHidden/>
              </w:rPr>
              <w:t>15</w:t>
            </w:r>
            <w:r>
              <w:rPr>
                <w:noProof/>
                <w:webHidden/>
              </w:rPr>
              <w:fldChar w:fldCharType="end"/>
            </w:r>
          </w:hyperlink>
        </w:p>
        <w:p w14:paraId="41ADD7B1" w14:textId="4AAF7F26"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25" w:history="1">
            <w:r w:rsidRPr="00F7205E">
              <w:rPr>
                <w:rStyle w:val="Hyperlink"/>
                <w:noProof/>
              </w:rPr>
              <w:t>2.3 The Gaza Conflict: Empirical Literature</w:t>
            </w:r>
            <w:r>
              <w:rPr>
                <w:noProof/>
                <w:webHidden/>
              </w:rPr>
              <w:tab/>
            </w:r>
            <w:r>
              <w:rPr>
                <w:noProof/>
                <w:webHidden/>
              </w:rPr>
              <w:fldChar w:fldCharType="begin"/>
            </w:r>
            <w:r>
              <w:rPr>
                <w:noProof/>
                <w:webHidden/>
              </w:rPr>
              <w:instrText xml:space="preserve"> PAGEREF _Toc230275125 \h </w:instrText>
            </w:r>
            <w:r>
              <w:rPr>
                <w:noProof/>
                <w:webHidden/>
              </w:rPr>
            </w:r>
            <w:r>
              <w:rPr>
                <w:noProof/>
                <w:webHidden/>
              </w:rPr>
              <w:fldChar w:fldCharType="separate"/>
            </w:r>
            <w:r>
              <w:rPr>
                <w:noProof/>
                <w:webHidden/>
              </w:rPr>
              <w:t>16</w:t>
            </w:r>
            <w:r>
              <w:rPr>
                <w:noProof/>
                <w:webHidden/>
              </w:rPr>
              <w:fldChar w:fldCharType="end"/>
            </w:r>
          </w:hyperlink>
        </w:p>
        <w:p w14:paraId="45388255" w14:textId="29ACA39D" w:rsidR="00E47AE9" w:rsidRDefault="00E47AE9">
          <w:pPr>
            <w:pStyle w:val="TOC3"/>
            <w:tabs>
              <w:tab w:val="right" w:leader="dot" w:pos="9350"/>
            </w:tabs>
            <w:rPr>
              <w:rFonts w:asciiTheme="minorHAnsi" w:eastAsiaTheme="minorEastAsia" w:hAnsiTheme="minorHAnsi" w:cstheme="minorBidi"/>
              <w:noProof/>
              <w:kern w:val="2"/>
              <w14:ligatures w14:val="standardContextual"/>
            </w:rPr>
          </w:pPr>
          <w:hyperlink w:anchor="_Toc230275126" w:history="1">
            <w:r w:rsidRPr="00F7205E">
              <w:rPr>
                <w:rStyle w:val="Hyperlink"/>
                <w:noProof/>
              </w:rPr>
              <w:t>2.3.1 Structural Conditions and Political Economy</w:t>
            </w:r>
            <w:r>
              <w:rPr>
                <w:noProof/>
                <w:webHidden/>
              </w:rPr>
              <w:tab/>
            </w:r>
            <w:r>
              <w:rPr>
                <w:noProof/>
                <w:webHidden/>
              </w:rPr>
              <w:fldChar w:fldCharType="begin"/>
            </w:r>
            <w:r>
              <w:rPr>
                <w:noProof/>
                <w:webHidden/>
              </w:rPr>
              <w:instrText xml:space="preserve"> PAGEREF _Toc230275126 \h </w:instrText>
            </w:r>
            <w:r>
              <w:rPr>
                <w:noProof/>
                <w:webHidden/>
              </w:rPr>
            </w:r>
            <w:r>
              <w:rPr>
                <w:noProof/>
                <w:webHidden/>
              </w:rPr>
              <w:fldChar w:fldCharType="separate"/>
            </w:r>
            <w:r>
              <w:rPr>
                <w:noProof/>
                <w:webHidden/>
              </w:rPr>
              <w:t>16</w:t>
            </w:r>
            <w:r>
              <w:rPr>
                <w:noProof/>
                <w:webHidden/>
              </w:rPr>
              <w:fldChar w:fldCharType="end"/>
            </w:r>
          </w:hyperlink>
        </w:p>
        <w:p w14:paraId="23ECD956" w14:textId="222A3BDE" w:rsidR="00E47AE9" w:rsidRDefault="00E47AE9">
          <w:pPr>
            <w:pStyle w:val="TOC3"/>
            <w:tabs>
              <w:tab w:val="right" w:leader="dot" w:pos="9350"/>
            </w:tabs>
            <w:rPr>
              <w:rFonts w:asciiTheme="minorHAnsi" w:eastAsiaTheme="minorEastAsia" w:hAnsiTheme="minorHAnsi" w:cstheme="minorBidi"/>
              <w:noProof/>
              <w:kern w:val="2"/>
              <w14:ligatures w14:val="standardContextual"/>
            </w:rPr>
          </w:pPr>
          <w:hyperlink w:anchor="_Toc230275127" w:history="1">
            <w:r w:rsidRPr="00F7205E">
              <w:rPr>
                <w:rStyle w:val="Hyperlink"/>
                <w:noProof/>
              </w:rPr>
              <w:t>2.3.2 Media Representation of the Gaza Conflict</w:t>
            </w:r>
            <w:r>
              <w:rPr>
                <w:noProof/>
                <w:webHidden/>
              </w:rPr>
              <w:tab/>
            </w:r>
            <w:r>
              <w:rPr>
                <w:noProof/>
                <w:webHidden/>
              </w:rPr>
              <w:fldChar w:fldCharType="begin"/>
            </w:r>
            <w:r>
              <w:rPr>
                <w:noProof/>
                <w:webHidden/>
              </w:rPr>
              <w:instrText xml:space="preserve"> PAGEREF _Toc230275127 \h </w:instrText>
            </w:r>
            <w:r>
              <w:rPr>
                <w:noProof/>
                <w:webHidden/>
              </w:rPr>
            </w:r>
            <w:r>
              <w:rPr>
                <w:noProof/>
                <w:webHidden/>
              </w:rPr>
              <w:fldChar w:fldCharType="separate"/>
            </w:r>
            <w:r>
              <w:rPr>
                <w:noProof/>
                <w:webHidden/>
              </w:rPr>
              <w:t>17</w:t>
            </w:r>
            <w:r>
              <w:rPr>
                <w:noProof/>
                <w:webHidden/>
              </w:rPr>
              <w:fldChar w:fldCharType="end"/>
            </w:r>
          </w:hyperlink>
        </w:p>
        <w:p w14:paraId="505A85A4" w14:textId="553A720D" w:rsidR="00E47AE9" w:rsidRDefault="00E47AE9">
          <w:pPr>
            <w:pStyle w:val="TOC3"/>
            <w:tabs>
              <w:tab w:val="right" w:leader="dot" w:pos="9350"/>
            </w:tabs>
            <w:rPr>
              <w:rFonts w:asciiTheme="minorHAnsi" w:eastAsiaTheme="minorEastAsia" w:hAnsiTheme="minorHAnsi" w:cstheme="minorBidi"/>
              <w:noProof/>
              <w:kern w:val="2"/>
              <w14:ligatures w14:val="standardContextual"/>
            </w:rPr>
          </w:pPr>
          <w:hyperlink w:anchor="_Toc230275128" w:history="1">
            <w:r w:rsidRPr="00F7205E">
              <w:rPr>
                <w:rStyle w:val="Hyperlink"/>
                <w:noProof/>
              </w:rPr>
              <w:t>2.3.3 Social Media, Digital Witnessing, and the Changing Media Landscape</w:t>
            </w:r>
            <w:r>
              <w:rPr>
                <w:noProof/>
                <w:webHidden/>
              </w:rPr>
              <w:tab/>
            </w:r>
            <w:r>
              <w:rPr>
                <w:noProof/>
                <w:webHidden/>
              </w:rPr>
              <w:fldChar w:fldCharType="begin"/>
            </w:r>
            <w:r>
              <w:rPr>
                <w:noProof/>
                <w:webHidden/>
              </w:rPr>
              <w:instrText xml:space="preserve"> PAGEREF _Toc230275128 \h </w:instrText>
            </w:r>
            <w:r>
              <w:rPr>
                <w:noProof/>
                <w:webHidden/>
              </w:rPr>
            </w:r>
            <w:r>
              <w:rPr>
                <w:noProof/>
                <w:webHidden/>
              </w:rPr>
              <w:fldChar w:fldCharType="separate"/>
            </w:r>
            <w:r>
              <w:rPr>
                <w:noProof/>
                <w:webHidden/>
              </w:rPr>
              <w:t>18</w:t>
            </w:r>
            <w:r>
              <w:rPr>
                <w:noProof/>
                <w:webHidden/>
              </w:rPr>
              <w:fldChar w:fldCharType="end"/>
            </w:r>
          </w:hyperlink>
        </w:p>
        <w:p w14:paraId="3BC5D6C5" w14:textId="43C9221A" w:rsidR="00E47AE9" w:rsidRDefault="00E47AE9">
          <w:pPr>
            <w:pStyle w:val="TOC3"/>
            <w:tabs>
              <w:tab w:val="right" w:leader="dot" w:pos="9350"/>
            </w:tabs>
            <w:rPr>
              <w:rFonts w:asciiTheme="minorHAnsi" w:eastAsiaTheme="minorEastAsia" w:hAnsiTheme="minorHAnsi" w:cstheme="minorBidi"/>
              <w:noProof/>
              <w:kern w:val="2"/>
              <w14:ligatures w14:val="standardContextual"/>
            </w:rPr>
          </w:pPr>
          <w:hyperlink w:anchor="_Toc230275129" w:history="1">
            <w:r w:rsidRPr="00F7205E">
              <w:rPr>
                <w:rStyle w:val="Hyperlink"/>
                <w:noProof/>
              </w:rPr>
              <w:t>2.3.4 International Humanitarian and Legal Responses</w:t>
            </w:r>
            <w:r>
              <w:rPr>
                <w:noProof/>
                <w:webHidden/>
              </w:rPr>
              <w:tab/>
            </w:r>
            <w:r>
              <w:rPr>
                <w:noProof/>
                <w:webHidden/>
              </w:rPr>
              <w:fldChar w:fldCharType="begin"/>
            </w:r>
            <w:r>
              <w:rPr>
                <w:noProof/>
                <w:webHidden/>
              </w:rPr>
              <w:instrText xml:space="preserve"> PAGEREF _Toc230275129 \h </w:instrText>
            </w:r>
            <w:r>
              <w:rPr>
                <w:noProof/>
                <w:webHidden/>
              </w:rPr>
            </w:r>
            <w:r>
              <w:rPr>
                <w:noProof/>
                <w:webHidden/>
              </w:rPr>
              <w:fldChar w:fldCharType="separate"/>
            </w:r>
            <w:r>
              <w:rPr>
                <w:noProof/>
                <w:webHidden/>
              </w:rPr>
              <w:t>19</w:t>
            </w:r>
            <w:r>
              <w:rPr>
                <w:noProof/>
                <w:webHidden/>
              </w:rPr>
              <w:fldChar w:fldCharType="end"/>
            </w:r>
          </w:hyperlink>
        </w:p>
        <w:p w14:paraId="2FCD1683" w14:textId="00A6E18B"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30" w:history="1">
            <w:r w:rsidRPr="00F7205E">
              <w:rPr>
                <w:rStyle w:val="Hyperlink"/>
                <w:noProof/>
              </w:rPr>
              <w:t>2.4 Synthesis and Research Gap</w:t>
            </w:r>
            <w:r>
              <w:rPr>
                <w:noProof/>
                <w:webHidden/>
              </w:rPr>
              <w:tab/>
            </w:r>
            <w:r>
              <w:rPr>
                <w:noProof/>
                <w:webHidden/>
              </w:rPr>
              <w:fldChar w:fldCharType="begin"/>
            </w:r>
            <w:r>
              <w:rPr>
                <w:noProof/>
                <w:webHidden/>
              </w:rPr>
              <w:instrText xml:space="preserve"> PAGEREF _Toc230275130 \h </w:instrText>
            </w:r>
            <w:r>
              <w:rPr>
                <w:noProof/>
                <w:webHidden/>
              </w:rPr>
            </w:r>
            <w:r>
              <w:rPr>
                <w:noProof/>
                <w:webHidden/>
              </w:rPr>
              <w:fldChar w:fldCharType="separate"/>
            </w:r>
            <w:r>
              <w:rPr>
                <w:noProof/>
                <w:webHidden/>
              </w:rPr>
              <w:t>20</w:t>
            </w:r>
            <w:r>
              <w:rPr>
                <w:noProof/>
                <w:webHidden/>
              </w:rPr>
              <w:fldChar w:fldCharType="end"/>
            </w:r>
          </w:hyperlink>
        </w:p>
        <w:p w14:paraId="69E57C59" w14:textId="0426B1CF" w:rsidR="00E47AE9" w:rsidRDefault="00E47AE9">
          <w:pPr>
            <w:pStyle w:val="TOC1"/>
            <w:tabs>
              <w:tab w:val="right" w:leader="dot" w:pos="9350"/>
            </w:tabs>
            <w:rPr>
              <w:rFonts w:asciiTheme="minorHAnsi" w:eastAsiaTheme="minorEastAsia" w:hAnsiTheme="minorHAnsi" w:cstheme="minorBidi"/>
              <w:noProof/>
              <w:kern w:val="2"/>
              <w14:ligatures w14:val="standardContextual"/>
            </w:rPr>
          </w:pPr>
          <w:hyperlink w:anchor="_Toc230275131" w:history="1">
            <w:r w:rsidRPr="00F7205E">
              <w:rPr>
                <w:rStyle w:val="Hyperlink"/>
                <w:noProof/>
              </w:rPr>
              <w:t>Chapter 3: Methodology</w:t>
            </w:r>
            <w:r>
              <w:rPr>
                <w:noProof/>
                <w:webHidden/>
              </w:rPr>
              <w:tab/>
            </w:r>
            <w:r>
              <w:rPr>
                <w:noProof/>
                <w:webHidden/>
              </w:rPr>
              <w:fldChar w:fldCharType="begin"/>
            </w:r>
            <w:r>
              <w:rPr>
                <w:noProof/>
                <w:webHidden/>
              </w:rPr>
              <w:instrText xml:space="preserve"> PAGEREF _Toc230275131 \h </w:instrText>
            </w:r>
            <w:r>
              <w:rPr>
                <w:noProof/>
                <w:webHidden/>
              </w:rPr>
            </w:r>
            <w:r>
              <w:rPr>
                <w:noProof/>
                <w:webHidden/>
              </w:rPr>
              <w:fldChar w:fldCharType="separate"/>
            </w:r>
            <w:r>
              <w:rPr>
                <w:noProof/>
                <w:webHidden/>
              </w:rPr>
              <w:t>21</w:t>
            </w:r>
            <w:r>
              <w:rPr>
                <w:noProof/>
                <w:webHidden/>
              </w:rPr>
              <w:fldChar w:fldCharType="end"/>
            </w:r>
          </w:hyperlink>
        </w:p>
        <w:p w14:paraId="23E05D97" w14:textId="5AFD4D38"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32" w:history="1">
            <w:r w:rsidRPr="00F7205E">
              <w:rPr>
                <w:rStyle w:val="Hyperlink"/>
                <w:noProof/>
              </w:rPr>
              <w:t>3.1 Introduction</w:t>
            </w:r>
            <w:r>
              <w:rPr>
                <w:noProof/>
                <w:webHidden/>
              </w:rPr>
              <w:tab/>
            </w:r>
            <w:r>
              <w:rPr>
                <w:noProof/>
                <w:webHidden/>
              </w:rPr>
              <w:fldChar w:fldCharType="begin"/>
            </w:r>
            <w:r>
              <w:rPr>
                <w:noProof/>
                <w:webHidden/>
              </w:rPr>
              <w:instrText xml:space="preserve"> PAGEREF _Toc230275132 \h </w:instrText>
            </w:r>
            <w:r>
              <w:rPr>
                <w:noProof/>
                <w:webHidden/>
              </w:rPr>
            </w:r>
            <w:r>
              <w:rPr>
                <w:noProof/>
                <w:webHidden/>
              </w:rPr>
              <w:fldChar w:fldCharType="separate"/>
            </w:r>
            <w:r>
              <w:rPr>
                <w:noProof/>
                <w:webHidden/>
              </w:rPr>
              <w:t>21</w:t>
            </w:r>
            <w:r>
              <w:rPr>
                <w:noProof/>
                <w:webHidden/>
              </w:rPr>
              <w:fldChar w:fldCharType="end"/>
            </w:r>
          </w:hyperlink>
        </w:p>
        <w:p w14:paraId="71733BF9" w14:textId="006064BD"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33" w:history="1">
            <w:r w:rsidRPr="00F7205E">
              <w:rPr>
                <w:rStyle w:val="Hyperlink"/>
                <w:noProof/>
              </w:rPr>
              <w:t>3.2 Research Philosophy</w:t>
            </w:r>
            <w:r>
              <w:rPr>
                <w:noProof/>
                <w:webHidden/>
              </w:rPr>
              <w:tab/>
            </w:r>
            <w:r>
              <w:rPr>
                <w:noProof/>
                <w:webHidden/>
              </w:rPr>
              <w:fldChar w:fldCharType="begin"/>
            </w:r>
            <w:r>
              <w:rPr>
                <w:noProof/>
                <w:webHidden/>
              </w:rPr>
              <w:instrText xml:space="preserve"> PAGEREF _Toc230275133 \h </w:instrText>
            </w:r>
            <w:r>
              <w:rPr>
                <w:noProof/>
                <w:webHidden/>
              </w:rPr>
            </w:r>
            <w:r>
              <w:rPr>
                <w:noProof/>
                <w:webHidden/>
              </w:rPr>
              <w:fldChar w:fldCharType="separate"/>
            </w:r>
            <w:r>
              <w:rPr>
                <w:noProof/>
                <w:webHidden/>
              </w:rPr>
              <w:t>21</w:t>
            </w:r>
            <w:r>
              <w:rPr>
                <w:noProof/>
                <w:webHidden/>
              </w:rPr>
              <w:fldChar w:fldCharType="end"/>
            </w:r>
          </w:hyperlink>
        </w:p>
        <w:p w14:paraId="6CD0C2A7" w14:textId="22821554"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34" w:history="1">
            <w:r w:rsidRPr="00F7205E">
              <w:rPr>
                <w:rStyle w:val="Hyperlink"/>
                <w:noProof/>
              </w:rPr>
              <w:t>3.3 Research Design</w:t>
            </w:r>
            <w:r>
              <w:rPr>
                <w:noProof/>
                <w:webHidden/>
              </w:rPr>
              <w:tab/>
            </w:r>
            <w:r>
              <w:rPr>
                <w:noProof/>
                <w:webHidden/>
              </w:rPr>
              <w:fldChar w:fldCharType="begin"/>
            </w:r>
            <w:r>
              <w:rPr>
                <w:noProof/>
                <w:webHidden/>
              </w:rPr>
              <w:instrText xml:space="preserve"> PAGEREF _Toc230275134 \h </w:instrText>
            </w:r>
            <w:r>
              <w:rPr>
                <w:noProof/>
                <w:webHidden/>
              </w:rPr>
            </w:r>
            <w:r>
              <w:rPr>
                <w:noProof/>
                <w:webHidden/>
              </w:rPr>
              <w:fldChar w:fldCharType="separate"/>
            </w:r>
            <w:r>
              <w:rPr>
                <w:noProof/>
                <w:webHidden/>
              </w:rPr>
              <w:t>21</w:t>
            </w:r>
            <w:r>
              <w:rPr>
                <w:noProof/>
                <w:webHidden/>
              </w:rPr>
              <w:fldChar w:fldCharType="end"/>
            </w:r>
          </w:hyperlink>
        </w:p>
        <w:p w14:paraId="1FC882F8" w14:textId="03CF85F6"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35" w:history="1">
            <w:r w:rsidRPr="00F7205E">
              <w:rPr>
                <w:rStyle w:val="Hyperlink"/>
                <w:noProof/>
              </w:rPr>
              <w:t>3.4 Critical Discourse Analysis: Theoretical and Methodological Basis</w:t>
            </w:r>
            <w:r>
              <w:rPr>
                <w:noProof/>
                <w:webHidden/>
              </w:rPr>
              <w:tab/>
            </w:r>
            <w:r>
              <w:rPr>
                <w:noProof/>
                <w:webHidden/>
              </w:rPr>
              <w:fldChar w:fldCharType="begin"/>
            </w:r>
            <w:r>
              <w:rPr>
                <w:noProof/>
                <w:webHidden/>
              </w:rPr>
              <w:instrText xml:space="preserve"> PAGEREF _Toc230275135 \h </w:instrText>
            </w:r>
            <w:r>
              <w:rPr>
                <w:noProof/>
                <w:webHidden/>
              </w:rPr>
            </w:r>
            <w:r>
              <w:rPr>
                <w:noProof/>
                <w:webHidden/>
              </w:rPr>
              <w:fldChar w:fldCharType="separate"/>
            </w:r>
            <w:r>
              <w:rPr>
                <w:noProof/>
                <w:webHidden/>
              </w:rPr>
              <w:t>22</w:t>
            </w:r>
            <w:r>
              <w:rPr>
                <w:noProof/>
                <w:webHidden/>
              </w:rPr>
              <w:fldChar w:fldCharType="end"/>
            </w:r>
          </w:hyperlink>
        </w:p>
        <w:p w14:paraId="6A553923" w14:textId="47415B09"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36" w:history="1">
            <w:r w:rsidRPr="00F7205E">
              <w:rPr>
                <w:rStyle w:val="Hyperlink"/>
                <w:noProof/>
              </w:rPr>
              <w:t>3.5 Corpus Construction</w:t>
            </w:r>
            <w:r>
              <w:rPr>
                <w:noProof/>
                <w:webHidden/>
              </w:rPr>
              <w:tab/>
            </w:r>
            <w:r>
              <w:rPr>
                <w:noProof/>
                <w:webHidden/>
              </w:rPr>
              <w:fldChar w:fldCharType="begin"/>
            </w:r>
            <w:r>
              <w:rPr>
                <w:noProof/>
                <w:webHidden/>
              </w:rPr>
              <w:instrText xml:space="preserve"> PAGEREF _Toc230275136 \h </w:instrText>
            </w:r>
            <w:r>
              <w:rPr>
                <w:noProof/>
                <w:webHidden/>
              </w:rPr>
            </w:r>
            <w:r>
              <w:rPr>
                <w:noProof/>
                <w:webHidden/>
              </w:rPr>
              <w:fldChar w:fldCharType="separate"/>
            </w:r>
            <w:r>
              <w:rPr>
                <w:noProof/>
                <w:webHidden/>
              </w:rPr>
              <w:t>23</w:t>
            </w:r>
            <w:r>
              <w:rPr>
                <w:noProof/>
                <w:webHidden/>
              </w:rPr>
              <w:fldChar w:fldCharType="end"/>
            </w:r>
          </w:hyperlink>
        </w:p>
        <w:p w14:paraId="627DD3C5" w14:textId="22004135"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37" w:history="1">
            <w:r w:rsidRPr="00F7205E">
              <w:rPr>
                <w:rStyle w:val="Hyperlink"/>
                <w:noProof/>
              </w:rPr>
              <w:t>3.6 Analytical Procedure</w:t>
            </w:r>
            <w:r>
              <w:rPr>
                <w:noProof/>
                <w:webHidden/>
              </w:rPr>
              <w:tab/>
            </w:r>
            <w:r>
              <w:rPr>
                <w:noProof/>
                <w:webHidden/>
              </w:rPr>
              <w:fldChar w:fldCharType="begin"/>
            </w:r>
            <w:r>
              <w:rPr>
                <w:noProof/>
                <w:webHidden/>
              </w:rPr>
              <w:instrText xml:space="preserve"> PAGEREF _Toc230275137 \h </w:instrText>
            </w:r>
            <w:r>
              <w:rPr>
                <w:noProof/>
                <w:webHidden/>
              </w:rPr>
            </w:r>
            <w:r>
              <w:rPr>
                <w:noProof/>
                <w:webHidden/>
              </w:rPr>
              <w:fldChar w:fldCharType="separate"/>
            </w:r>
            <w:r>
              <w:rPr>
                <w:noProof/>
                <w:webHidden/>
              </w:rPr>
              <w:t>23</w:t>
            </w:r>
            <w:r>
              <w:rPr>
                <w:noProof/>
                <w:webHidden/>
              </w:rPr>
              <w:fldChar w:fldCharType="end"/>
            </w:r>
          </w:hyperlink>
        </w:p>
        <w:p w14:paraId="10322787" w14:textId="67AE40DF"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38" w:history="1">
            <w:r w:rsidRPr="00F7205E">
              <w:rPr>
                <w:rStyle w:val="Hyperlink"/>
                <w:noProof/>
              </w:rPr>
              <w:t>3.7 Assessment of Political Consequences</w:t>
            </w:r>
            <w:r>
              <w:rPr>
                <w:noProof/>
                <w:webHidden/>
              </w:rPr>
              <w:tab/>
            </w:r>
            <w:r>
              <w:rPr>
                <w:noProof/>
                <w:webHidden/>
              </w:rPr>
              <w:fldChar w:fldCharType="begin"/>
            </w:r>
            <w:r>
              <w:rPr>
                <w:noProof/>
                <w:webHidden/>
              </w:rPr>
              <w:instrText xml:space="preserve"> PAGEREF _Toc230275138 \h </w:instrText>
            </w:r>
            <w:r>
              <w:rPr>
                <w:noProof/>
                <w:webHidden/>
              </w:rPr>
            </w:r>
            <w:r>
              <w:rPr>
                <w:noProof/>
                <w:webHidden/>
              </w:rPr>
              <w:fldChar w:fldCharType="separate"/>
            </w:r>
            <w:r>
              <w:rPr>
                <w:noProof/>
                <w:webHidden/>
              </w:rPr>
              <w:t>24</w:t>
            </w:r>
            <w:r>
              <w:rPr>
                <w:noProof/>
                <w:webHidden/>
              </w:rPr>
              <w:fldChar w:fldCharType="end"/>
            </w:r>
          </w:hyperlink>
        </w:p>
        <w:p w14:paraId="6F231C4A" w14:textId="2C06AD1A"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39" w:history="1">
            <w:r w:rsidRPr="00F7205E">
              <w:rPr>
                <w:rStyle w:val="Hyperlink"/>
                <w:noProof/>
              </w:rPr>
              <w:t>3.8 Ethical Considerations</w:t>
            </w:r>
            <w:r>
              <w:rPr>
                <w:noProof/>
                <w:webHidden/>
              </w:rPr>
              <w:tab/>
            </w:r>
            <w:r>
              <w:rPr>
                <w:noProof/>
                <w:webHidden/>
              </w:rPr>
              <w:fldChar w:fldCharType="begin"/>
            </w:r>
            <w:r>
              <w:rPr>
                <w:noProof/>
                <w:webHidden/>
              </w:rPr>
              <w:instrText xml:space="preserve"> PAGEREF _Toc230275139 \h </w:instrText>
            </w:r>
            <w:r>
              <w:rPr>
                <w:noProof/>
                <w:webHidden/>
              </w:rPr>
            </w:r>
            <w:r>
              <w:rPr>
                <w:noProof/>
                <w:webHidden/>
              </w:rPr>
              <w:fldChar w:fldCharType="separate"/>
            </w:r>
            <w:r>
              <w:rPr>
                <w:noProof/>
                <w:webHidden/>
              </w:rPr>
              <w:t>25</w:t>
            </w:r>
            <w:r>
              <w:rPr>
                <w:noProof/>
                <w:webHidden/>
              </w:rPr>
              <w:fldChar w:fldCharType="end"/>
            </w:r>
          </w:hyperlink>
        </w:p>
        <w:p w14:paraId="31013034" w14:textId="7CC34E1B"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40" w:history="1">
            <w:r w:rsidRPr="00F7205E">
              <w:rPr>
                <w:rStyle w:val="Hyperlink"/>
                <w:noProof/>
              </w:rPr>
              <w:t>3.9 Limitations</w:t>
            </w:r>
            <w:r>
              <w:rPr>
                <w:noProof/>
                <w:webHidden/>
              </w:rPr>
              <w:tab/>
            </w:r>
            <w:r>
              <w:rPr>
                <w:noProof/>
                <w:webHidden/>
              </w:rPr>
              <w:fldChar w:fldCharType="begin"/>
            </w:r>
            <w:r>
              <w:rPr>
                <w:noProof/>
                <w:webHidden/>
              </w:rPr>
              <w:instrText xml:space="preserve"> PAGEREF _Toc230275140 \h </w:instrText>
            </w:r>
            <w:r>
              <w:rPr>
                <w:noProof/>
                <w:webHidden/>
              </w:rPr>
            </w:r>
            <w:r>
              <w:rPr>
                <w:noProof/>
                <w:webHidden/>
              </w:rPr>
              <w:fldChar w:fldCharType="separate"/>
            </w:r>
            <w:r>
              <w:rPr>
                <w:noProof/>
                <w:webHidden/>
              </w:rPr>
              <w:t>25</w:t>
            </w:r>
            <w:r>
              <w:rPr>
                <w:noProof/>
                <w:webHidden/>
              </w:rPr>
              <w:fldChar w:fldCharType="end"/>
            </w:r>
          </w:hyperlink>
        </w:p>
        <w:p w14:paraId="15A31555" w14:textId="4D42FDE0" w:rsidR="00E47AE9" w:rsidRDefault="00E47AE9">
          <w:pPr>
            <w:pStyle w:val="TOC1"/>
            <w:tabs>
              <w:tab w:val="right" w:leader="dot" w:pos="9350"/>
            </w:tabs>
            <w:rPr>
              <w:rFonts w:asciiTheme="minorHAnsi" w:eastAsiaTheme="minorEastAsia" w:hAnsiTheme="minorHAnsi" w:cstheme="minorBidi"/>
              <w:noProof/>
              <w:kern w:val="2"/>
              <w14:ligatures w14:val="standardContextual"/>
            </w:rPr>
          </w:pPr>
          <w:hyperlink w:anchor="_Toc230275141" w:history="1">
            <w:r w:rsidRPr="00F7205E">
              <w:rPr>
                <w:rStyle w:val="Hyperlink"/>
                <w:noProof/>
              </w:rPr>
              <w:t>Chapter 4: Data Analysis and Findings</w:t>
            </w:r>
            <w:r>
              <w:rPr>
                <w:noProof/>
                <w:webHidden/>
              </w:rPr>
              <w:tab/>
            </w:r>
            <w:r>
              <w:rPr>
                <w:noProof/>
                <w:webHidden/>
              </w:rPr>
              <w:fldChar w:fldCharType="begin"/>
            </w:r>
            <w:r>
              <w:rPr>
                <w:noProof/>
                <w:webHidden/>
              </w:rPr>
              <w:instrText xml:space="preserve"> PAGEREF _Toc230275141 \h </w:instrText>
            </w:r>
            <w:r>
              <w:rPr>
                <w:noProof/>
                <w:webHidden/>
              </w:rPr>
            </w:r>
            <w:r>
              <w:rPr>
                <w:noProof/>
                <w:webHidden/>
              </w:rPr>
              <w:fldChar w:fldCharType="separate"/>
            </w:r>
            <w:r>
              <w:rPr>
                <w:noProof/>
                <w:webHidden/>
              </w:rPr>
              <w:t>26</w:t>
            </w:r>
            <w:r>
              <w:rPr>
                <w:noProof/>
                <w:webHidden/>
              </w:rPr>
              <w:fldChar w:fldCharType="end"/>
            </w:r>
          </w:hyperlink>
        </w:p>
        <w:p w14:paraId="2C761A93" w14:textId="3FF096C2"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42" w:history="1">
            <w:r w:rsidRPr="00F7205E">
              <w:rPr>
                <w:rStyle w:val="Hyperlink"/>
                <w:noProof/>
              </w:rPr>
              <w:t>4.1 Introduction</w:t>
            </w:r>
            <w:r>
              <w:rPr>
                <w:noProof/>
                <w:webHidden/>
              </w:rPr>
              <w:tab/>
            </w:r>
            <w:r>
              <w:rPr>
                <w:noProof/>
                <w:webHidden/>
              </w:rPr>
              <w:fldChar w:fldCharType="begin"/>
            </w:r>
            <w:r>
              <w:rPr>
                <w:noProof/>
                <w:webHidden/>
              </w:rPr>
              <w:instrText xml:space="preserve"> PAGEREF _Toc230275142 \h </w:instrText>
            </w:r>
            <w:r>
              <w:rPr>
                <w:noProof/>
                <w:webHidden/>
              </w:rPr>
            </w:r>
            <w:r>
              <w:rPr>
                <w:noProof/>
                <w:webHidden/>
              </w:rPr>
              <w:fldChar w:fldCharType="separate"/>
            </w:r>
            <w:r>
              <w:rPr>
                <w:noProof/>
                <w:webHidden/>
              </w:rPr>
              <w:t>26</w:t>
            </w:r>
            <w:r>
              <w:rPr>
                <w:noProof/>
                <w:webHidden/>
              </w:rPr>
              <w:fldChar w:fldCharType="end"/>
            </w:r>
          </w:hyperlink>
        </w:p>
        <w:p w14:paraId="49E631D3" w14:textId="6C8153CE"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43" w:history="1">
            <w:r w:rsidRPr="00F7205E">
              <w:rPr>
                <w:rStyle w:val="Hyperlink"/>
                <w:noProof/>
              </w:rPr>
              <w:t>4.2 Quantitative Profile of Gaza's Material Conditions</w:t>
            </w:r>
            <w:r>
              <w:rPr>
                <w:noProof/>
                <w:webHidden/>
              </w:rPr>
              <w:tab/>
            </w:r>
            <w:r>
              <w:rPr>
                <w:noProof/>
                <w:webHidden/>
              </w:rPr>
              <w:fldChar w:fldCharType="begin"/>
            </w:r>
            <w:r>
              <w:rPr>
                <w:noProof/>
                <w:webHidden/>
              </w:rPr>
              <w:instrText xml:space="preserve"> PAGEREF _Toc230275143 \h </w:instrText>
            </w:r>
            <w:r>
              <w:rPr>
                <w:noProof/>
                <w:webHidden/>
              </w:rPr>
            </w:r>
            <w:r>
              <w:rPr>
                <w:noProof/>
                <w:webHidden/>
              </w:rPr>
              <w:fldChar w:fldCharType="separate"/>
            </w:r>
            <w:r>
              <w:rPr>
                <w:noProof/>
                <w:webHidden/>
              </w:rPr>
              <w:t>26</w:t>
            </w:r>
            <w:r>
              <w:rPr>
                <w:noProof/>
                <w:webHidden/>
              </w:rPr>
              <w:fldChar w:fldCharType="end"/>
            </w:r>
          </w:hyperlink>
        </w:p>
        <w:p w14:paraId="1F123CE0" w14:textId="14F80A3F"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44" w:history="1">
            <w:r w:rsidRPr="00F7205E">
              <w:rPr>
                <w:rStyle w:val="Hyperlink"/>
                <w:noProof/>
              </w:rPr>
              <w:t>4.3 Frame Analysis: Dominant and Contested Frames</w:t>
            </w:r>
            <w:r>
              <w:rPr>
                <w:noProof/>
                <w:webHidden/>
              </w:rPr>
              <w:tab/>
            </w:r>
            <w:r>
              <w:rPr>
                <w:noProof/>
                <w:webHidden/>
              </w:rPr>
              <w:fldChar w:fldCharType="begin"/>
            </w:r>
            <w:r>
              <w:rPr>
                <w:noProof/>
                <w:webHidden/>
              </w:rPr>
              <w:instrText xml:space="preserve"> PAGEREF _Toc230275144 \h </w:instrText>
            </w:r>
            <w:r>
              <w:rPr>
                <w:noProof/>
                <w:webHidden/>
              </w:rPr>
            </w:r>
            <w:r>
              <w:rPr>
                <w:noProof/>
                <w:webHidden/>
              </w:rPr>
              <w:fldChar w:fldCharType="separate"/>
            </w:r>
            <w:r>
              <w:rPr>
                <w:noProof/>
                <w:webHidden/>
              </w:rPr>
              <w:t>28</w:t>
            </w:r>
            <w:r>
              <w:rPr>
                <w:noProof/>
                <w:webHidden/>
              </w:rPr>
              <w:fldChar w:fldCharType="end"/>
            </w:r>
          </w:hyperlink>
        </w:p>
        <w:p w14:paraId="19B63352" w14:textId="48BC42A7" w:rsidR="00E47AE9" w:rsidRDefault="00E47AE9">
          <w:pPr>
            <w:pStyle w:val="TOC3"/>
            <w:tabs>
              <w:tab w:val="right" w:leader="dot" w:pos="9350"/>
            </w:tabs>
            <w:rPr>
              <w:rFonts w:asciiTheme="minorHAnsi" w:eastAsiaTheme="minorEastAsia" w:hAnsiTheme="minorHAnsi" w:cstheme="minorBidi"/>
              <w:noProof/>
              <w:kern w:val="2"/>
              <w14:ligatures w14:val="standardContextual"/>
            </w:rPr>
          </w:pPr>
          <w:hyperlink w:anchor="_Toc230275145" w:history="1">
            <w:r w:rsidRPr="00F7205E">
              <w:rPr>
                <w:rStyle w:val="Hyperlink"/>
                <w:noProof/>
              </w:rPr>
              <w:t>4.3.1 The Humanitarian Catastrophe Frame</w:t>
            </w:r>
            <w:r>
              <w:rPr>
                <w:noProof/>
                <w:webHidden/>
              </w:rPr>
              <w:tab/>
            </w:r>
            <w:r>
              <w:rPr>
                <w:noProof/>
                <w:webHidden/>
              </w:rPr>
              <w:fldChar w:fldCharType="begin"/>
            </w:r>
            <w:r>
              <w:rPr>
                <w:noProof/>
                <w:webHidden/>
              </w:rPr>
              <w:instrText xml:space="preserve"> PAGEREF _Toc230275145 \h </w:instrText>
            </w:r>
            <w:r>
              <w:rPr>
                <w:noProof/>
                <w:webHidden/>
              </w:rPr>
            </w:r>
            <w:r>
              <w:rPr>
                <w:noProof/>
                <w:webHidden/>
              </w:rPr>
              <w:fldChar w:fldCharType="separate"/>
            </w:r>
            <w:r>
              <w:rPr>
                <w:noProof/>
                <w:webHidden/>
              </w:rPr>
              <w:t>28</w:t>
            </w:r>
            <w:r>
              <w:rPr>
                <w:noProof/>
                <w:webHidden/>
              </w:rPr>
              <w:fldChar w:fldCharType="end"/>
            </w:r>
          </w:hyperlink>
        </w:p>
        <w:p w14:paraId="7DDB9160" w14:textId="6FB4C77D" w:rsidR="00E47AE9" w:rsidRDefault="00E47AE9">
          <w:pPr>
            <w:pStyle w:val="TOC3"/>
            <w:tabs>
              <w:tab w:val="right" w:leader="dot" w:pos="9350"/>
            </w:tabs>
            <w:rPr>
              <w:rFonts w:asciiTheme="minorHAnsi" w:eastAsiaTheme="minorEastAsia" w:hAnsiTheme="minorHAnsi" w:cstheme="minorBidi"/>
              <w:noProof/>
              <w:kern w:val="2"/>
              <w14:ligatures w14:val="standardContextual"/>
            </w:rPr>
          </w:pPr>
          <w:hyperlink w:anchor="_Toc230275146" w:history="1">
            <w:r w:rsidRPr="00F7205E">
              <w:rPr>
                <w:rStyle w:val="Hyperlink"/>
                <w:noProof/>
              </w:rPr>
              <w:t>4.3.2 The International Law Violation Frame</w:t>
            </w:r>
            <w:r>
              <w:rPr>
                <w:noProof/>
                <w:webHidden/>
              </w:rPr>
              <w:tab/>
            </w:r>
            <w:r>
              <w:rPr>
                <w:noProof/>
                <w:webHidden/>
              </w:rPr>
              <w:fldChar w:fldCharType="begin"/>
            </w:r>
            <w:r>
              <w:rPr>
                <w:noProof/>
                <w:webHidden/>
              </w:rPr>
              <w:instrText xml:space="preserve"> PAGEREF _Toc230275146 \h </w:instrText>
            </w:r>
            <w:r>
              <w:rPr>
                <w:noProof/>
                <w:webHidden/>
              </w:rPr>
            </w:r>
            <w:r>
              <w:rPr>
                <w:noProof/>
                <w:webHidden/>
              </w:rPr>
              <w:fldChar w:fldCharType="separate"/>
            </w:r>
            <w:r>
              <w:rPr>
                <w:noProof/>
                <w:webHidden/>
              </w:rPr>
              <w:t>29</w:t>
            </w:r>
            <w:r>
              <w:rPr>
                <w:noProof/>
                <w:webHidden/>
              </w:rPr>
              <w:fldChar w:fldCharType="end"/>
            </w:r>
          </w:hyperlink>
        </w:p>
        <w:p w14:paraId="6B64FFBE" w14:textId="4DADA4C9" w:rsidR="00E47AE9" w:rsidRDefault="00E47AE9">
          <w:pPr>
            <w:pStyle w:val="TOC3"/>
            <w:tabs>
              <w:tab w:val="right" w:leader="dot" w:pos="9350"/>
            </w:tabs>
            <w:rPr>
              <w:rFonts w:asciiTheme="minorHAnsi" w:eastAsiaTheme="minorEastAsia" w:hAnsiTheme="minorHAnsi" w:cstheme="minorBidi"/>
              <w:noProof/>
              <w:kern w:val="2"/>
              <w14:ligatures w14:val="standardContextual"/>
            </w:rPr>
          </w:pPr>
          <w:hyperlink w:anchor="_Toc230275147" w:history="1">
            <w:r w:rsidRPr="00F7205E">
              <w:rPr>
                <w:rStyle w:val="Hyperlink"/>
                <w:noProof/>
              </w:rPr>
              <w:t>4.3.3 The Asymmetric Resistance Frame</w:t>
            </w:r>
            <w:r>
              <w:rPr>
                <w:noProof/>
                <w:webHidden/>
              </w:rPr>
              <w:tab/>
            </w:r>
            <w:r>
              <w:rPr>
                <w:noProof/>
                <w:webHidden/>
              </w:rPr>
              <w:fldChar w:fldCharType="begin"/>
            </w:r>
            <w:r>
              <w:rPr>
                <w:noProof/>
                <w:webHidden/>
              </w:rPr>
              <w:instrText xml:space="preserve"> PAGEREF _Toc230275147 \h </w:instrText>
            </w:r>
            <w:r>
              <w:rPr>
                <w:noProof/>
                <w:webHidden/>
              </w:rPr>
            </w:r>
            <w:r>
              <w:rPr>
                <w:noProof/>
                <w:webHidden/>
              </w:rPr>
              <w:fldChar w:fldCharType="separate"/>
            </w:r>
            <w:r>
              <w:rPr>
                <w:noProof/>
                <w:webHidden/>
              </w:rPr>
              <w:t>30</w:t>
            </w:r>
            <w:r>
              <w:rPr>
                <w:noProof/>
                <w:webHidden/>
              </w:rPr>
              <w:fldChar w:fldCharType="end"/>
            </w:r>
          </w:hyperlink>
        </w:p>
        <w:p w14:paraId="1CB3FD35" w14:textId="668ABF83" w:rsidR="00E47AE9" w:rsidRDefault="00E47AE9">
          <w:pPr>
            <w:pStyle w:val="TOC3"/>
            <w:tabs>
              <w:tab w:val="right" w:leader="dot" w:pos="9350"/>
            </w:tabs>
            <w:rPr>
              <w:rFonts w:asciiTheme="minorHAnsi" w:eastAsiaTheme="minorEastAsia" w:hAnsiTheme="minorHAnsi" w:cstheme="minorBidi"/>
              <w:noProof/>
              <w:kern w:val="2"/>
              <w14:ligatures w14:val="standardContextual"/>
            </w:rPr>
          </w:pPr>
          <w:hyperlink w:anchor="_Toc230275148" w:history="1">
            <w:r w:rsidRPr="00F7205E">
              <w:rPr>
                <w:rStyle w:val="Hyperlink"/>
                <w:noProof/>
              </w:rPr>
              <w:t>4.3.4 The Israeli Security Counter-Frame</w:t>
            </w:r>
            <w:r>
              <w:rPr>
                <w:noProof/>
                <w:webHidden/>
              </w:rPr>
              <w:tab/>
            </w:r>
            <w:r>
              <w:rPr>
                <w:noProof/>
                <w:webHidden/>
              </w:rPr>
              <w:fldChar w:fldCharType="begin"/>
            </w:r>
            <w:r>
              <w:rPr>
                <w:noProof/>
                <w:webHidden/>
              </w:rPr>
              <w:instrText xml:space="preserve"> PAGEREF _Toc230275148 \h </w:instrText>
            </w:r>
            <w:r>
              <w:rPr>
                <w:noProof/>
                <w:webHidden/>
              </w:rPr>
            </w:r>
            <w:r>
              <w:rPr>
                <w:noProof/>
                <w:webHidden/>
              </w:rPr>
              <w:fldChar w:fldCharType="separate"/>
            </w:r>
            <w:r>
              <w:rPr>
                <w:noProof/>
                <w:webHidden/>
              </w:rPr>
              <w:t>30</w:t>
            </w:r>
            <w:r>
              <w:rPr>
                <w:noProof/>
                <w:webHidden/>
              </w:rPr>
              <w:fldChar w:fldCharType="end"/>
            </w:r>
          </w:hyperlink>
        </w:p>
        <w:p w14:paraId="4005A45C" w14:textId="4085956D"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49" w:history="1">
            <w:r w:rsidRPr="00F7205E">
              <w:rPr>
                <w:rStyle w:val="Hyperlink"/>
                <w:noProof/>
              </w:rPr>
              <w:t>4.4 Frame Evolution Across the Three Escalation Periods</w:t>
            </w:r>
            <w:r>
              <w:rPr>
                <w:noProof/>
                <w:webHidden/>
              </w:rPr>
              <w:tab/>
            </w:r>
            <w:r>
              <w:rPr>
                <w:noProof/>
                <w:webHidden/>
              </w:rPr>
              <w:fldChar w:fldCharType="begin"/>
            </w:r>
            <w:r>
              <w:rPr>
                <w:noProof/>
                <w:webHidden/>
              </w:rPr>
              <w:instrText xml:space="preserve"> PAGEREF _Toc230275149 \h </w:instrText>
            </w:r>
            <w:r>
              <w:rPr>
                <w:noProof/>
                <w:webHidden/>
              </w:rPr>
            </w:r>
            <w:r>
              <w:rPr>
                <w:noProof/>
                <w:webHidden/>
              </w:rPr>
              <w:fldChar w:fldCharType="separate"/>
            </w:r>
            <w:r>
              <w:rPr>
                <w:noProof/>
                <w:webHidden/>
              </w:rPr>
              <w:t>31</w:t>
            </w:r>
            <w:r>
              <w:rPr>
                <w:noProof/>
                <w:webHidden/>
              </w:rPr>
              <w:fldChar w:fldCharType="end"/>
            </w:r>
          </w:hyperlink>
        </w:p>
        <w:p w14:paraId="337F298D" w14:textId="3E6C1526"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50" w:history="1">
            <w:r w:rsidRPr="00F7205E">
              <w:rPr>
                <w:rStyle w:val="Hyperlink"/>
                <w:noProof/>
              </w:rPr>
              <w:t>4.5 Political Consequences of Dominant Frames</w:t>
            </w:r>
            <w:r>
              <w:rPr>
                <w:noProof/>
                <w:webHidden/>
              </w:rPr>
              <w:tab/>
            </w:r>
            <w:r>
              <w:rPr>
                <w:noProof/>
                <w:webHidden/>
              </w:rPr>
              <w:fldChar w:fldCharType="begin"/>
            </w:r>
            <w:r>
              <w:rPr>
                <w:noProof/>
                <w:webHidden/>
              </w:rPr>
              <w:instrText xml:space="preserve"> PAGEREF _Toc230275150 \h </w:instrText>
            </w:r>
            <w:r>
              <w:rPr>
                <w:noProof/>
                <w:webHidden/>
              </w:rPr>
            </w:r>
            <w:r>
              <w:rPr>
                <w:noProof/>
                <w:webHidden/>
              </w:rPr>
              <w:fldChar w:fldCharType="separate"/>
            </w:r>
            <w:r>
              <w:rPr>
                <w:noProof/>
                <w:webHidden/>
              </w:rPr>
              <w:t>32</w:t>
            </w:r>
            <w:r>
              <w:rPr>
                <w:noProof/>
                <w:webHidden/>
              </w:rPr>
              <w:fldChar w:fldCharType="end"/>
            </w:r>
          </w:hyperlink>
        </w:p>
        <w:p w14:paraId="3069CEAE" w14:textId="2D03AF0B" w:rsidR="00E47AE9" w:rsidRDefault="00E47AE9">
          <w:pPr>
            <w:pStyle w:val="TOC1"/>
            <w:tabs>
              <w:tab w:val="right" w:leader="dot" w:pos="9350"/>
            </w:tabs>
            <w:rPr>
              <w:rFonts w:asciiTheme="minorHAnsi" w:eastAsiaTheme="minorEastAsia" w:hAnsiTheme="minorHAnsi" w:cstheme="minorBidi"/>
              <w:noProof/>
              <w:kern w:val="2"/>
              <w14:ligatures w14:val="standardContextual"/>
            </w:rPr>
          </w:pPr>
          <w:hyperlink w:anchor="_Toc230275151" w:history="1">
            <w:r w:rsidRPr="00F7205E">
              <w:rPr>
                <w:rStyle w:val="Hyperlink"/>
                <w:noProof/>
              </w:rPr>
              <w:t>Chapter 5: Discussion</w:t>
            </w:r>
            <w:r>
              <w:rPr>
                <w:noProof/>
                <w:webHidden/>
              </w:rPr>
              <w:tab/>
            </w:r>
            <w:r>
              <w:rPr>
                <w:noProof/>
                <w:webHidden/>
              </w:rPr>
              <w:fldChar w:fldCharType="begin"/>
            </w:r>
            <w:r>
              <w:rPr>
                <w:noProof/>
                <w:webHidden/>
              </w:rPr>
              <w:instrText xml:space="preserve"> PAGEREF _Toc230275151 \h </w:instrText>
            </w:r>
            <w:r>
              <w:rPr>
                <w:noProof/>
                <w:webHidden/>
              </w:rPr>
            </w:r>
            <w:r>
              <w:rPr>
                <w:noProof/>
                <w:webHidden/>
              </w:rPr>
              <w:fldChar w:fldCharType="separate"/>
            </w:r>
            <w:r>
              <w:rPr>
                <w:noProof/>
                <w:webHidden/>
              </w:rPr>
              <w:t>34</w:t>
            </w:r>
            <w:r>
              <w:rPr>
                <w:noProof/>
                <w:webHidden/>
              </w:rPr>
              <w:fldChar w:fldCharType="end"/>
            </w:r>
          </w:hyperlink>
        </w:p>
        <w:p w14:paraId="662AB57C" w14:textId="34F58959"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52" w:history="1">
            <w:r w:rsidRPr="00F7205E">
              <w:rPr>
                <w:rStyle w:val="Hyperlink"/>
                <w:noProof/>
              </w:rPr>
              <w:t>5.1 Introduction</w:t>
            </w:r>
            <w:r>
              <w:rPr>
                <w:noProof/>
                <w:webHidden/>
              </w:rPr>
              <w:tab/>
            </w:r>
            <w:r>
              <w:rPr>
                <w:noProof/>
                <w:webHidden/>
              </w:rPr>
              <w:fldChar w:fldCharType="begin"/>
            </w:r>
            <w:r>
              <w:rPr>
                <w:noProof/>
                <w:webHidden/>
              </w:rPr>
              <w:instrText xml:space="preserve"> PAGEREF _Toc230275152 \h </w:instrText>
            </w:r>
            <w:r>
              <w:rPr>
                <w:noProof/>
                <w:webHidden/>
              </w:rPr>
            </w:r>
            <w:r>
              <w:rPr>
                <w:noProof/>
                <w:webHidden/>
              </w:rPr>
              <w:fldChar w:fldCharType="separate"/>
            </w:r>
            <w:r>
              <w:rPr>
                <w:noProof/>
                <w:webHidden/>
              </w:rPr>
              <w:t>34</w:t>
            </w:r>
            <w:r>
              <w:rPr>
                <w:noProof/>
                <w:webHidden/>
              </w:rPr>
              <w:fldChar w:fldCharType="end"/>
            </w:r>
          </w:hyperlink>
        </w:p>
        <w:p w14:paraId="0F8152CE" w14:textId="69BE297B"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53" w:history="1">
            <w:r w:rsidRPr="00F7205E">
              <w:rPr>
                <w:rStyle w:val="Hyperlink"/>
                <w:noProof/>
              </w:rPr>
              <w:t>5.2 Media Framing and the Construction of Symbolic Power</w:t>
            </w:r>
            <w:r>
              <w:rPr>
                <w:noProof/>
                <w:webHidden/>
              </w:rPr>
              <w:tab/>
            </w:r>
            <w:r>
              <w:rPr>
                <w:noProof/>
                <w:webHidden/>
              </w:rPr>
              <w:fldChar w:fldCharType="begin"/>
            </w:r>
            <w:r>
              <w:rPr>
                <w:noProof/>
                <w:webHidden/>
              </w:rPr>
              <w:instrText xml:space="preserve"> PAGEREF _Toc230275153 \h </w:instrText>
            </w:r>
            <w:r>
              <w:rPr>
                <w:noProof/>
                <w:webHidden/>
              </w:rPr>
            </w:r>
            <w:r>
              <w:rPr>
                <w:noProof/>
                <w:webHidden/>
              </w:rPr>
              <w:fldChar w:fldCharType="separate"/>
            </w:r>
            <w:r>
              <w:rPr>
                <w:noProof/>
                <w:webHidden/>
              </w:rPr>
              <w:t>34</w:t>
            </w:r>
            <w:r>
              <w:rPr>
                <w:noProof/>
                <w:webHidden/>
              </w:rPr>
              <w:fldChar w:fldCharType="end"/>
            </w:r>
          </w:hyperlink>
        </w:p>
        <w:p w14:paraId="6F526CDE" w14:textId="2098279D"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54" w:history="1">
            <w:r w:rsidRPr="00F7205E">
              <w:rPr>
                <w:rStyle w:val="Hyperlink"/>
                <w:noProof/>
              </w:rPr>
              <w:t>5.3 The Role of Evolving Media Landscapes</w:t>
            </w:r>
            <w:r>
              <w:rPr>
                <w:noProof/>
                <w:webHidden/>
              </w:rPr>
              <w:tab/>
            </w:r>
            <w:r>
              <w:rPr>
                <w:noProof/>
                <w:webHidden/>
              </w:rPr>
              <w:fldChar w:fldCharType="begin"/>
            </w:r>
            <w:r>
              <w:rPr>
                <w:noProof/>
                <w:webHidden/>
              </w:rPr>
              <w:instrText xml:space="preserve"> PAGEREF _Toc230275154 \h </w:instrText>
            </w:r>
            <w:r>
              <w:rPr>
                <w:noProof/>
                <w:webHidden/>
              </w:rPr>
            </w:r>
            <w:r>
              <w:rPr>
                <w:noProof/>
                <w:webHidden/>
              </w:rPr>
              <w:fldChar w:fldCharType="separate"/>
            </w:r>
            <w:r>
              <w:rPr>
                <w:noProof/>
                <w:webHidden/>
              </w:rPr>
              <w:t>35</w:t>
            </w:r>
            <w:r>
              <w:rPr>
                <w:noProof/>
                <w:webHidden/>
              </w:rPr>
              <w:fldChar w:fldCharType="end"/>
            </w:r>
          </w:hyperlink>
        </w:p>
        <w:p w14:paraId="48277E27" w14:textId="611DD69C"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55" w:history="1">
            <w:r w:rsidRPr="00F7205E">
              <w:rPr>
                <w:rStyle w:val="Hyperlink"/>
                <w:noProof/>
              </w:rPr>
              <w:t>5.4 Political Consequences: Extent and Limits</w:t>
            </w:r>
            <w:r>
              <w:rPr>
                <w:noProof/>
                <w:webHidden/>
              </w:rPr>
              <w:tab/>
            </w:r>
            <w:r>
              <w:rPr>
                <w:noProof/>
                <w:webHidden/>
              </w:rPr>
              <w:fldChar w:fldCharType="begin"/>
            </w:r>
            <w:r>
              <w:rPr>
                <w:noProof/>
                <w:webHidden/>
              </w:rPr>
              <w:instrText xml:space="preserve"> PAGEREF _Toc230275155 \h </w:instrText>
            </w:r>
            <w:r>
              <w:rPr>
                <w:noProof/>
                <w:webHidden/>
              </w:rPr>
            </w:r>
            <w:r>
              <w:rPr>
                <w:noProof/>
                <w:webHidden/>
              </w:rPr>
              <w:fldChar w:fldCharType="separate"/>
            </w:r>
            <w:r>
              <w:rPr>
                <w:noProof/>
                <w:webHidden/>
              </w:rPr>
              <w:t>36</w:t>
            </w:r>
            <w:r>
              <w:rPr>
                <w:noProof/>
                <w:webHidden/>
              </w:rPr>
              <w:fldChar w:fldCharType="end"/>
            </w:r>
          </w:hyperlink>
        </w:p>
        <w:p w14:paraId="2E1F8199" w14:textId="49B526BC"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56" w:history="1">
            <w:r w:rsidRPr="00F7205E">
              <w:rPr>
                <w:rStyle w:val="Hyperlink"/>
                <w:noProof/>
              </w:rPr>
              <w:t>5.5 Contribution to the Literature</w:t>
            </w:r>
            <w:r>
              <w:rPr>
                <w:noProof/>
                <w:webHidden/>
              </w:rPr>
              <w:tab/>
            </w:r>
            <w:r>
              <w:rPr>
                <w:noProof/>
                <w:webHidden/>
              </w:rPr>
              <w:fldChar w:fldCharType="begin"/>
            </w:r>
            <w:r>
              <w:rPr>
                <w:noProof/>
                <w:webHidden/>
              </w:rPr>
              <w:instrText xml:space="preserve"> PAGEREF _Toc230275156 \h </w:instrText>
            </w:r>
            <w:r>
              <w:rPr>
                <w:noProof/>
                <w:webHidden/>
              </w:rPr>
            </w:r>
            <w:r>
              <w:rPr>
                <w:noProof/>
                <w:webHidden/>
              </w:rPr>
              <w:fldChar w:fldCharType="separate"/>
            </w:r>
            <w:r>
              <w:rPr>
                <w:noProof/>
                <w:webHidden/>
              </w:rPr>
              <w:t>36</w:t>
            </w:r>
            <w:r>
              <w:rPr>
                <w:noProof/>
                <w:webHidden/>
              </w:rPr>
              <w:fldChar w:fldCharType="end"/>
            </w:r>
          </w:hyperlink>
        </w:p>
        <w:p w14:paraId="09BBA5D9" w14:textId="07766542" w:rsidR="00E47AE9" w:rsidRDefault="00E47AE9">
          <w:pPr>
            <w:pStyle w:val="TOC1"/>
            <w:tabs>
              <w:tab w:val="right" w:leader="dot" w:pos="9350"/>
            </w:tabs>
            <w:rPr>
              <w:rFonts w:asciiTheme="minorHAnsi" w:eastAsiaTheme="minorEastAsia" w:hAnsiTheme="minorHAnsi" w:cstheme="minorBidi"/>
              <w:noProof/>
              <w:kern w:val="2"/>
              <w14:ligatures w14:val="standardContextual"/>
            </w:rPr>
          </w:pPr>
          <w:hyperlink w:anchor="_Toc230275157" w:history="1">
            <w:r w:rsidRPr="00F7205E">
              <w:rPr>
                <w:rStyle w:val="Hyperlink"/>
                <w:noProof/>
              </w:rPr>
              <w:t>Chapter 6: Conclusion and Recommendations</w:t>
            </w:r>
            <w:r>
              <w:rPr>
                <w:noProof/>
                <w:webHidden/>
              </w:rPr>
              <w:tab/>
            </w:r>
            <w:r>
              <w:rPr>
                <w:noProof/>
                <w:webHidden/>
              </w:rPr>
              <w:fldChar w:fldCharType="begin"/>
            </w:r>
            <w:r>
              <w:rPr>
                <w:noProof/>
                <w:webHidden/>
              </w:rPr>
              <w:instrText xml:space="preserve"> PAGEREF _Toc230275157 \h </w:instrText>
            </w:r>
            <w:r>
              <w:rPr>
                <w:noProof/>
                <w:webHidden/>
              </w:rPr>
            </w:r>
            <w:r>
              <w:rPr>
                <w:noProof/>
                <w:webHidden/>
              </w:rPr>
              <w:fldChar w:fldCharType="separate"/>
            </w:r>
            <w:r>
              <w:rPr>
                <w:noProof/>
                <w:webHidden/>
              </w:rPr>
              <w:t>38</w:t>
            </w:r>
            <w:r>
              <w:rPr>
                <w:noProof/>
                <w:webHidden/>
              </w:rPr>
              <w:fldChar w:fldCharType="end"/>
            </w:r>
          </w:hyperlink>
        </w:p>
        <w:p w14:paraId="7ED63272" w14:textId="6EAD6001"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58" w:history="1">
            <w:r w:rsidRPr="00F7205E">
              <w:rPr>
                <w:rStyle w:val="Hyperlink"/>
                <w:noProof/>
              </w:rPr>
              <w:t>6.1 Summary of Findings</w:t>
            </w:r>
            <w:r>
              <w:rPr>
                <w:noProof/>
                <w:webHidden/>
              </w:rPr>
              <w:tab/>
            </w:r>
            <w:r>
              <w:rPr>
                <w:noProof/>
                <w:webHidden/>
              </w:rPr>
              <w:fldChar w:fldCharType="begin"/>
            </w:r>
            <w:r>
              <w:rPr>
                <w:noProof/>
                <w:webHidden/>
              </w:rPr>
              <w:instrText xml:space="preserve"> PAGEREF _Toc230275158 \h </w:instrText>
            </w:r>
            <w:r>
              <w:rPr>
                <w:noProof/>
                <w:webHidden/>
              </w:rPr>
            </w:r>
            <w:r>
              <w:rPr>
                <w:noProof/>
                <w:webHidden/>
              </w:rPr>
              <w:fldChar w:fldCharType="separate"/>
            </w:r>
            <w:r>
              <w:rPr>
                <w:noProof/>
                <w:webHidden/>
              </w:rPr>
              <w:t>38</w:t>
            </w:r>
            <w:r>
              <w:rPr>
                <w:noProof/>
                <w:webHidden/>
              </w:rPr>
              <w:fldChar w:fldCharType="end"/>
            </w:r>
          </w:hyperlink>
        </w:p>
        <w:p w14:paraId="7A5A3D97" w14:textId="67EFA175"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59" w:history="1">
            <w:r w:rsidRPr="00F7205E">
              <w:rPr>
                <w:rStyle w:val="Hyperlink"/>
                <w:noProof/>
              </w:rPr>
              <w:t>6.2 Theoretical Contributions</w:t>
            </w:r>
            <w:r>
              <w:rPr>
                <w:noProof/>
                <w:webHidden/>
              </w:rPr>
              <w:tab/>
            </w:r>
            <w:r>
              <w:rPr>
                <w:noProof/>
                <w:webHidden/>
              </w:rPr>
              <w:fldChar w:fldCharType="begin"/>
            </w:r>
            <w:r>
              <w:rPr>
                <w:noProof/>
                <w:webHidden/>
              </w:rPr>
              <w:instrText xml:space="preserve"> PAGEREF _Toc230275159 \h </w:instrText>
            </w:r>
            <w:r>
              <w:rPr>
                <w:noProof/>
                <w:webHidden/>
              </w:rPr>
            </w:r>
            <w:r>
              <w:rPr>
                <w:noProof/>
                <w:webHidden/>
              </w:rPr>
              <w:fldChar w:fldCharType="separate"/>
            </w:r>
            <w:r>
              <w:rPr>
                <w:noProof/>
                <w:webHidden/>
              </w:rPr>
              <w:t>38</w:t>
            </w:r>
            <w:r>
              <w:rPr>
                <w:noProof/>
                <w:webHidden/>
              </w:rPr>
              <w:fldChar w:fldCharType="end"/>
            </w:r>
          </w:hyperlink>
        </w:p>
        <w:p w14:paraId="72F9C58F" w14:textId="20D96948"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60" w:history="1">
            <w:r w:rsidRPr="00F7205E">
              <w:rPr>
                <w:rStyle w:val="Hyperlink"/>
                <w:noProof/>
              </w:rPr>
              <w:t>6.3 Policy Implications</w:t>
            </w:r>
            <w:r>
              <w:rPr>
                <w:noProof/>
                <w:webHidden/>
              </w:rPr>
              <w:tab/>
            </w:r>
            <w:r>
              <w:rPr>
                <w:noProof/>
                <w:webHidden/>
              </w:rPr>
              <w:fldChar w:fldCharType="begin"/>
            </w:r>
            <w:r>
              <w:rPr>
                <w:noProof/>
                <w:webHidden/>
              </w:rPr>
              <w:instrText xml:space="preserve"> PAGEREF _Toc230275160 \h </w:instrText>
            </w:r>
            <w:r>
              <w:rPr>
                <w:noProof/>
                <w:webHidden/>
              </w:rPr>
            </w:r>
            <w:r>
              <w:rPr>
                <w:noProof/>
                <w:webHidden/>
              </w:rPr>
              <w:fldChar w:fldCharType="separate"/>
            </w:r>
            <w:r>
              <w:rPr>
                <w:noProof/>
                <w:webHidden/>
              </w:rPr>
              <w:t>39</w:t>
            </w:r>
            <w:r>
              <w:rPr>
                <w:noProof/>
                <w:webHidden/>
              </w:rPr>
              <w:fldChar w:fldCharType="end"/>
            </w:r>
          </w:hyperlink>
        </w:p>
        <w:p w14:paraId="731CFAF4" w14:textId="17620543"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61" w:history="1">
            <w:r w:rsidRPr="00F7205E">
              <w:rPr>
                <w:rStyle w:val="Hyperlink"/>
                <w:noProof/>
              </w:rPr>
              <w:t>6.4 Recommendations for Future Research</w:t>
            </w:r>
            <w:r>
              <w:rPr>
                <w:noProof/>
                <w:webHidden/>
              </w:rPr>
              <w:tab/>
            </w:r>
            <w:r>
              <w:rPr>
                <w:noProof/>
                <w:webHidden/>
              </w:rPr>
              <w:fldChar w:fldCharType="begin"/>
            </w:r>
            <w:r>
              <w:rPr>
                <w:noProof/>
                <w:webHidden/>
              </w:rPr>
              <w:instrText xml:space="preserve"> PAGEREF _Toc230275161 \h </w:instrText>
            </w:r>
            <w:r>
              <w:rPr>
                <w:noProof/>
                <w:webHidden/>
              </w:rPr>
            </w:r>
            <w:r>
              <w:rPr>
                <w:noProof/>
                <w:webHidden/>
              </w:rPr>
              <w:fldChar w:fldCharType="separate"/>
            </w:r>
            <w:r>
              <w:rPr>
                <w:noProof/>
                <w:webHidden/>
              </w:rPr>
              <w:t>39</w:t>
            </w:r>
            <w:r>
              <w:rPr>
                <w:noProof/>
                <w:webHidden/>
              </w:rPr>
              <w:fldChar w:fldCharType="end"/>
            </w:r>
          </w:hyperlink>
        </w:p>
        <w:p w14:paraId="39D45428" w14:textId="49629FBB" w:rsidR="00E47AE9" w:rsidRDefault="00E47AE9">
          <w:pPr>
            <w:pStyle w:val="TOC2"/>
            <w:tabs>
              <w:tab w:val="right" w:leader="dot" w:pos="9350"/>
            </w:tabs>
            <w:rPr>
              <w:rFonts w:asciiTheme="minorHAnsi" w:eastAsiaTheme="minorEastAsia" w:hAnsiTheme="minorHAnsi" w:cstheme="minorBidi"/>
              <w:noProof/>
              <w:kern w:val="2"/>
              <w14:ligatures w14:val="standardContextual"/>
            </w:rPr>
          </w:pPr>
          <w:hyperlink w:anchor="_Toc230275162" w:history="1">
            <w:r w:rsidRPr="00F7205E">
              <w:rPr>
                <w:rStyle w:val="Hyperlink"/>
                <w:noProof/>
              </w:rPr>
              <w:t>6.5 Concluding Remarks</w:t>
            </w:r>
            <w:r>
              <w:rPr>
                <w:noProof/>
                <w:webHidden/>
              </w:rPr>
              <w:tab/>
            </w:r>
            <w:r>
              <w:rPr>
                <w:noProof/>
                <w:webHidden/>
              </w:rPr>
              <w:fldChar w:fldCharType="begin"/>
            </w:r>
            <w:r>
              <w:rPr>
                <w:noProof/>
                <w:webHidden/>
              </w:rPr>
              <w:instrText xml:space="preserve"> PAGEREF _Toc230275162 \h </w:instrText>
            </w:r>
            <w:r>
              <w:rPr>
                <w:noProof/>
                <w:webHidden/>
              </w:rPr>
            </w:r>
            <w:r>
              <w:rPr>
                <w:noProof/>
                <w:webHidden/>
              </w:rPr>
              <w:fldChar w:fldCharType="separate"/>
            </w:r>
            <w:r>
              <w:rPr>
                <w:noProof/>
                <w:webHidden/>
              </w:rPr>
              <w:t>40</w:t>
            </w:r>
            <w:r>
              <w:rPr>
                <w:noProof/>
                <w:webHidden/>
              </w:rPr>
              <w:fldChar w:fldCharType="end"/>
            </w:r>
          </w:hyperlink>
        </w:p>
        <w:p w14:paraId="21AD6391" w14:textId="1BD4F63D" w:rsidR="00E47AE9" w:rsidRDefault="00E47AE9">
          <w:pPr>
            <w:pStyle w:val="TOC1"/>
            <w:tabs>
              <w:tab w:val="right" w:leader="dot" w:pos="9350"/>
            </w:tabs>
            <w:rPr>
              <w:rFonts w:asciiTheme="minorHAnsi" w:eastAsiaTheme="minorEastAsia" w:hAnsiTheme="minorHAnsi" w:cstheme="minorBidi"/>
              <w:noProof/>
              <w:kern w:val="2"/>
              <w14:ligatures w14:val="standardContextual"/>
            </w:rPr>
          </w:pPr>
          <w:hyperlink w:anchor="_Toc230275163" w:history="1">
            <w:r w:rsidRPr="00F7205E">
              <w:rPr>
                <w:rStyle w:val="Hyperlink"/>
                <w:noProof/>
              </w:rPr>
              <w:t>References</w:t>
            </w:r>
            <w:r>
              <w:rPr>
                <w:noProof/>
                <w:webHidden/>
              </w:rPr>
              <w:tab/>
            </w:r>
            <w:r>
              <w:rPr>
                <w:noProof/>
                <w:webHidden/>
              </w:rPr>
              <w:fldChar w:fldCharType="begin"/>
            </w:r>
            <w:r>
              <w:rPr>
                <w:noProof/>
                <w:webHidden/>
              </w:rPr>
              <w:instrText xml:space="preserve"> PAGEREF _Toc230275163 \h </w:instrText>
            </w:r>
            <w:r>
              <w:rPr>
                <w:noProof/>
                <w:webHidden/>
              </w:rPr>
            </w:r>
            <w:r>
              <w:rPr>
                <w:noProof/>
                <w:webHidden/>
              </w:rPr>
              <w:fldChar w:fldCharType="separate"/>
            </w:r>
            <w:r>
              <w:rPr>
                <w:noProof/>
                <w:webHidden/>
              </w:rPr>
              <w:t>41</w:t>
            </w:r>
            <w:r>
              <w:rPr>
                <w:noProof/>
                <w:webHidden/>
              </w:rPr>
              <w:fldChar w:fldCharType="end"/>
            </w:r>
          </w:hyperlink>
        </w:p>
        <w:p w14:paraId="41F90E9D" w14:textId="13D16DC5" w:rsidR="00BC7E68" w:rsidRDefault="00BC7E68">
          <w:r>
            <w:rPr>
              <w:b/>
              <w:bCs/>
              <w:noProof/>
            </w:rPr>
            <w:fldChar w:fldCharType="end"/>
          </w:r>
        </w:p>
      </w:sdtContent>
    </w:sdt>
    <w:p w14:paraId="66971FD6" w14:textId="77777777" w:rsidR="00B43DDC" w:rsidRDefault="00B43DDC">
      <w:pPr>
        <w:spacing w:after="160" w:line="360" w:lineRule="auto"/>
        <w:jc w:val="both"/>
      </w:pPr>
    </w:p>
    <w:p w14:paraId="46F39DD9" w14:textId="77777777" w:rsidR="00B43DDC" w:rsidRDefault="00000000">
      <w:r>
        <w:br w:type="page"/>
      </w:r>
    </w:p>
    <w:p w14:paraId="0AFB6966" w14:textId="77777777" w:rsidR="00B43DDC" w:rsidRDefault="00000000">
      <w:pPr>
        <w:pStyle w:val="Heading1"/>
      </w:pPr>
      <w:bookmarkStart w:id="5" w:name="_Toc230275111"/>
      <w:r>
        <w:lastRenderedPageBreak/>
        <w:t>Chapter 1: Introduction and Background</w:t>
      </w:r>
      <w:bookmarkEnd w:id="5"/>
    </w:p>
    <w:p w14:paraId="6A07202E" w14:textId="77777777" w:rsidR="00B43DDC" w:rsidRDefault="00000000">
      <w:pPr>
        <w:pStyle w:val="Heading2"/>
      </w:pPr>
      <w:bookmarkStart w:id="6" w:name="_Toc230275112"/>
      <w:r>
        <w:t>1.1 Introduction</w:t>
      </w:r>
      <w:bookmarkEnd w:id="6"/>
    </w:p>
    <w:p w14:paraId="2A8C1EB8" w14:textId="77777777" w:rsidR="00F94889" w:rsidRDefault="00F94889" w:rsidP="00F94889">
      <w:pPr>
        <w:spacing w:after="160" w:line="360" w:lineRule="auto"/>
        <w:jc w:val="both"/>
      </w:pPr>
      <w:r>
        <w:t>The international relations scholarship on the Israeli-Palestinian conflict is vast, but there is a relative dearth of systematic work on the particular issue of why the Gaza Strip has such a prominent and contentious role in global political discourse. Gaza is a small coastal enclave of 365 km², with a population of around 2.3 million that has been under an Israeli-imposed land, air and sea blockade since June 2007, after the Hamas group took control of the administrative functions of the area (OCHA, 2024; Roy, 2016). Since 2008, there have been five major military escalations in the territory, causing large numbers of civilian deaths and damage to infrastructure, all of which have involved extensive media coverage, diplomatic efforts and civil society mobilisation internationally (B'Tselem, 2024).</w:t>
      </w:r>
    </w:p>
    <w:p w14:paraId="5C833DED" w14:textId="77777777" w:rsidR="00F94889" w:rsidRDefault="00F94889" w:rsidP="00F94889">
      <w:pPr>
        <w:spacing w:after="160" w:line="360" w:lineRule="auto"/>
        <w:jc w:val="both"/>
      </w:pPr>
      <w:r>
        <w:t>What is analytically significant about Gaza, and what is motivating the research, is the degree to which the international media coverage of the conflict has engendered a certain level of political and humanitarian engagement that would not be expected based on the size of the population or the geographical expanse. A comparison with other concurrent conflicts is telling: Yemen has yielded much larger absolute numbers of casualties as well as a more severe humanitarian crisis across a range of quantitative benchmarks than Gaza (OCHA, 2023; Weiss, 2007). So, too, the Democratic Republic of Congo, where it is estimated that more people have lost their lives through conflict-related causes since 1998 than in any other conflict in history (Galtung and Ruge, 1965). The next question that arises from this comparison is not whether the suffering of the Palestinians in Gaza is worse or better than that in another conflict (which would be morally distasteful and analytically unproductive), but whose particular attributes of its media coverage have generated the current pattern of international attention.</w:t>
      </w:r>
    </w:p>
    <w:p w14:paraId="67262F5B" w14:textId="48FAE737" w:rsidR="00F94889" w:rsidRDefault="00F94889" w:rsidP="00F94889">
      <w:pPr>
        <w:spacing w:after="160" w:line="360" w:lineRule="auto"/>
        <w:jc w:val="both"/>
      </w:pPr>
      <w:r>
        <w:t xml:space="preserve">This study suggests that the answer is to be found in the way, primarily, in which media framing – defined as the process of ‘selecting some aspects of a perceived reality and making them more salient in a communicating text’ (Entman 1993, p.52) – works. The research suggests that international media reporting on Gaza has consistently used a number of recurring and reinforcing frames (humanitarian catastrophe, violation of international law, asymmetric resistance) that together have created Gaza as a symbolically powerful space in global political discourse (Bourdieu, 1991). This symbolic construct has been clearly politically impactful, affecting </w:t>
      </w:r>
      <w:r>
        <w:lastRenderedPageBreak/>
        <w:t>humanitarian funding dynamics, diplomatic pledges, civil society mobilisation, and, more recently, litigation before the International Court of Justice (ICJ, 2024).</w:t>
      </w:r>
    </w:p>
    <w:p w14:paraId="4C554216" w14:textId="77777777" w:rsidR="00B43DDC" w:rsidRDefault="00000000">
      <w:pPr>
        <w:pStyle w:val="Heading2"/>
      </w:pPr>
      <w:bookmarkStart w:id="7" w:name="_Toc230275113"/>
      <w:r>
        <w:t>1.2 Background and Contextual Overview</w:t>
      </w:r>
      <w:bookmarkEnd w:id="7"/>
    </w:p>
    <w:p w14:paraId="740F57E0" w14:textId="77777777" w:rsidR="00F94889" w:rsidRDefault="00F94889" w:rsidP="00F94889">
      <w:pPr>
        <w:spacing w:after="160" w:line="360" w:lineRule="auto"/>
        <w:jc w:val="both"/>
      </w:pPr>
      <w:r>
        <w:t>An adequate discourse of Gaza's place within international discourse must be based on the structural history of the territory. The current humanitarian and political situation in Gaza is not just the result of recent military incursions, but rather the result of a long-term process of displacement, occupation and systematic de-development, which significantly antedates the rise of Hamas in 2007. Sara Roy's (2016) groundbreaking study of the political economy of Gaza has shown that "de-development" of the territory's economic potential was a deliberate political choice during Israel's administrative rule over Gaza during the 1967-1991 occupation period. This book, based on thorough fieldwork and documentary research, offers much in the way of a corrective to analyses which consider the humanitarian situation in Gaza to be the result of recent military activity.</w:t>
      </w:r>
    </w:p>
    <w:p w14:paraId="0BAB1A99" w14:textId="77777777" w:rsidR="00F94889" w:rsidRDefault="00F94889" w:rsidP="00F94889">
      <w:pPr>
        <w:spacing w:after="160" w:line="360" w:lineRule="auto"/>
        <w:jc w:val="both"/>
      </w:pPr>
      <w:r>
        <w:t>A large-scale background sweep of the history of the Palestinian question from 1917 onwards to the present day is provided by Khalidi (2020), who argues that successive waves of Palestinian dispossession and displacement have been a coherent, albeit not always concerted, colonial project. In this longer history, the 1948 Nakba – the mass abandonment of around 750,000 Palestinians during the Arab-Israeli conflict – has special relevance for Gaza, as many of the current population of Gaza are descendants of refugees from communities in the newly formed State of Israel (UNRWA, 2023). This refugee heritage is not only a fact but also a political and discursive one: UNRWA's ongoing mandate to serve Palestinians refugees, unlike all other UN refugee agencies, is transgenerational and thus institutionalises the unresolved nature of Palestinian displacement and creates a constant framework of discussion and reporting of the humanitarian situation in Gaza internationally.</w:t>
      </w:r>
    </w:p>
    <w:p w14:paraId="500FF3B8" w14:textId="16371D7E" w:rsidR="00F94889" w:rsidRDefault="00F94889" w:rsidP="00672E63">
      <w:pPr>
        <w:spacing w:after="160" w:line="360" w:lineRule="auto"/>
        <w:jc w:val="both"/>
      </w:pPr>
      <w:r>
        <w:t xml:space="preserve">Since 2007, the implementation of the blockade after the Hamas electoral victory of 2006 and its military consolidation in Gaza in 2007 has marked a qualitative strengthening of the pre-existing restrictions. The blockade has been described by the United Nations as collective punishment, which is a violation of international humanitarian law (UN Human Rights Council, 2009). OCHA, WHO and UNRWA have documented their impact on Gaza's economy, infrastructure and the </w:t>
      </w:r>
      <w:r>
        <w:lastRenderedPageBreak/>
        <w:t>health of the population in great detail, and these documented facts have been an underlying empirical reality to international media reporting of each successive military escalation. Falk (2010) and others have suggested that the blockade conditions themselves are a form of ‘structural violence’ and that they should be analysed as part of, and not just as a context for, the military operations that are the focus of the greatest intensity of international media attention.</w:t>
      </w:r>
    </w:p>
    <w:p w14:paraId="0A94528B" w14:textId="77777777" w:rsidR="00B43DDC" w:rsidRDefault="00000000">
      <w:pPr>
        <w:pStyle w:val="Heading2"/>
      </w:pPr>
      <w:bookmarkStart w:id="8" w:name="_Toc230275114"/>
      <w:r>
        <w:t>1.3 Research Problem</w:t>
      </w:r>
      <w:bookmarkEnd w:id="8"/>
    </w:p>
    <w:p w14:paraId="6D5BCC64" w14:textId="77777777" w:rsidR="00F94889" w:rsidRDefault="00F94889" w:rsidP="00F94889">
      <w:pPr>
        <w:spacing w:after="160" w:line="360" w:lineRule="auto"/>
        <w:jc w:val="both"/>
      </w:pPr>
      <w:r>
        <w:t>The literature on the Gaza conflict is quite vast, yet unevenly spread among the academic community. A significant amount of legal and political research has been done on the geopolitical aspects of the Israeli-Palestinian conflict, on international law and the law of occupation, and on the humanitarian impact of the blockade and subsequent military incursions (Khalidi, 2020; Roy, 2016; Falk, 2010). There is also a considerable literature on media coverage of the conflict, including a key study on framing (Cherkaoui 2024), one on the role of Al Jazeera (Hayes 2023) and one on social media activism (Zayani 2005). What has not been explored in a sustained and analytically integrated way, however, is the conjunction of these literatures: the question of how the media has functioned to construct Gaza's symbolic identity within international discourse and the political implications of this construction.</w:t>
      </w:r>
    </w:p>
    <w:p w14:paraId="63509E38" w14:textId="21A39E08" w:rsidR="00F94889" w:rsidRDefault="00F94889" w:rsidP="00F94889">
      <w:pPr>
        <w:spacing w:after="160" w:line="360" w:lineRule="auto"/>
        <w:jc w:val="both"/>
      </w:pPr>
      <w:r>
        <w:t>This gap is important for a variety of reasons. To begin, an understanding of media framing in an asymmetric conflict situation has practical implications for humanitarian communication, advocacy strategy and design of international response to conflict-related suffering. Second, Gaza is an analytically valuable test case for theories of symbolic power and media framing because the physical size of Gaza relative to its discursive size is so great; if a theory cannot explain this disproportion, then it needs to be revised and/or extended. Third, the circumstances surrounding the 2023-24 escalation have created a qualitatively new landscape for the research on the media representation of Gaza: unprecedented social media interaction, major changes in the positioning of Western governments, and ICJ proceedings themselves becoming topics of international media discussion. A scholarly need for analysis to capture these developments within a coherent theoretical framework thus arises immediately.</w:t>
      </w:r>
    </w:p>
    <w:p w14:paraId="6AD033F1" w14:textId="77777777" w:rsidR="00B43DDC" w:rsidRDefault="00000000">
      <w:pPr>
        <w:pStyle w:val="Heading2"/>
      </w:pPr>
      <w:bookmarkStart w:id="9" w:name="_Toc230275115"/>
      <w:r>
        <w:t>1.4 Research Aim and Objectives</w:t>
      </w:r>
      <w:bookmarkEnd w:id="9"/>
    </w:p>
    <w:p w14:paraId="1B3A45CC" w14:textId="77777777" w:rsidR="00F94889" w:rsidRDefault="00F94889" w:rsidP="00F94889">
      <w:pPr>
        <w:spacing w:after="160" w:line="360" w:lineRule="auto"/>
        <w:jc w:val="both"/>
      </w:pPr>
      <w:r>
        <w:lastRenderedPageBreak/>
        <w:t>This research aims to uncover the process of media framing in constructing Gaza as a symbolic power in international discourse during three escalation periods, namely 2008–09, 2014, and 2023–24, as well as to evaluate the political implications of this construction. To achieve this goal, the study has the following three subgoals:</w:t>
      </w:r>
    </w:p>
    <w:p w14:paraId="39BEC298" w14:textId="515D5F7F" w:rsidR="00F94889" w:rsidRDefault="00F94889" w:rsidP="00F94889">
      <w:pPr>
        <w:spacing w:after="160" w:line="360" w:lineRule="auto"/>
        <w:jc w:val="both"/>
      </w:pPr>
      <w:r>
        <w:t>Firstly, to identify and characterise the dominant frames used in depictions of Gaza in international media texts during the three study periods by conducting a critical discourse analysis of news articles from a purposively selected sample of international news outlets. Second, to examine the evolution of these frames over time, to see if and how they have changed emphasis, scope, and/or audience over successive escalation periods. Thirdly, to measure the connection between media framing and clear political consequences, such as humanitarian aid decisions, diplomatic moves, civil society mobilisation, and legal action.</w:t>
      </w:r>
    </w:p>
    <w:p w14:paraId="0A82C55D" w14:textId="77777777" w:rsidR="00B43DDC" w:rsidRDefault="00000000">
      <w:pPr>
        <w:pStyle w:val="Heading2"/>
      </w:pPr>
      <w:bookmarkStart w:id="10" w:name="_Toc230275116"/>
      <w:r>
        <w:t>1.5 Research Question</w:t>
      </w:r>
      <w:bookmarkEnd w:id="10"/>
    </w:p>
    <w:p w14:paraId="55DA4259" w14:textId="77777777" w:rsidR="00B43DDC" w:rsidRDefault="00000000" w:rsidP="00F94889">
      <w:pPr>
        <w:spacing w:after="160" w:line="360" w:lineRule="auto"/>
        <w:jc w:val="both"/>
      </w:pPr>
      <w:r>
        <w:t>A single, focused research question guides this study:</w:t>
      </w:r>
    </w:p>
    <w:p w14:paraId="313027B3" w14:textId="77777777" w:rsidR="00B43DDC" w:rsidRDefault="00000000">
      <w:pPr>
        <w:spacing w:after="160" w:line="360" w:lineRule="auto"/>
        <w:jc w:val="both"/>
      </w:pPr>
      <w:r>
        <w:t>How has media framing constructed Gaza as a site of symbolic power in international discourse, and with what political consequences?</w:t>
      </w:r>
    </w:p>
    <w:p w14:paraId="69AAB6F4" w14:textId="5EE1EA03" w:rsidR="00F94889" w:rsidRDefault="00F94889" w:rsidP="00F94889">
      <w:pPr>
        <w:spacing w:after="160" w:line="360" w:lineRule="auto"/>
        <w:jc w:val="both"/>
      </w:pPr>
      <w:r>
        <w:t>The intention of this question is to focus on the wider thematic space that is suggested by the dissertation title, to yield a tractable and methodologically coherent study. The ‘quantity versus quality’ construction of the title is retained as an organising metaphor of the disproportion between Gaza's physical size and its discursive status, but the analysis is kept tightly centred on the media framing mechanisms which produce this disproportion. In the literature review, questions around the entire array of reasons for Gaza's global profile – historical, geopolitical, and structural – are treated as background contextual information and not as their own analytical objects.</w:t>
      </w:r>
    </w:p>
    <w:p w14:paraId="1F887F08" w14:textId="77777777" w:rsidR="00B43DDC" w:rsidRDefault="00000000">
      <w:pPr>
        <w:pStyle w:val="Heading2"/>
      </w:pPr>
      <w:bookmarkStart w:id="11" w:name="_Toc230275117"/>
      <w:r>
        <w:t>1.6 Research Significance</w:t>
      </w:r>
      <w:bookmarkEnd w:id="11"/>
    </w:p>
    <w:p w14:paraId="59C6265C" w14:textId="0435368F" w:rsidR="00F94889" w:rsidRDefault="00F94889" w:rsidP="00F94889">
      <w:pPr>
        <w:spacing w:after="160" w:line="360" w:lineRule="auto"/>
        <w:jc w:val="both"/>
      </w:pPr>
      <w:r>
        <w:t xml:space="preserve">There are three aspects to this study that are important. In theoretical terms, it makes a contribution to the literature on media framing and symbolic power in that it applies and extends these approaches to an extremely complex and contestational case, in a very dynamic media landscape. It is methodologically a proof of the use of critical discourse analysis in a corpus comprising traditional media and social media and covering a long period of time, which adds to the </w:t>
      </w:r>
      <w:r>
        <w:lastRenderedPageBreak/>
        <w:t>methodological discussion of Political Communication in digital landscapes. Systematically, it offers empirical evidence on the frames of Gaza's international representation, which may be useful for future research on the Israeli-Palestinian conflict, humanitarian practitioners, and policy makers interested in the link between international representation and international response to a conflict.</w:t>
      </w:r>
    </w:p>
    <w:p w14:paraId="4A62AD71" w14:textId="77777777" w:rsidR="00B43DDC" w:rsidRDefault="00000000">
      <w:pPr>
        <w:pStyle w:val="Heading2"/>
      </w:pPr>
      <w:bookmarkStart w:id="12" w:name="_Toc230275118"/>
      <w:r>
        <w:t>1.7 Structure of the Study</w:t>
      </w:r>
      <w:bookmarkEnd w:id="12"/>
    </w:p>
    <w:p w14:paraId="67ACCEAA" w14:textId="77777777" w:rsidR="00F94889" w:rsidRDefault="00F94889" w:rsidP="00F94889">
      <w:pPr>
        <w:spacing w:after="160" w:line="360" w:lineRule="auto"/>
        <w:jc w:val="both"/>
      </w:pPr>
      <w:r>
        <w:t>The relevant theoretical and empirical literature is reviewed in Chapter 2, which positions the existing scholarship in the broad context of three main analytical lenses: ‘media framing theory', ‘symbolic power' and ‘the political economy of the Gaza conflict'. Chapter 3 provides a detailed description of the research methodology, its philosophical stance, the design of the research, the selection of the corpus, the analytical processes, and ethical issues. The results of critical discourse analysis on the three study periods are presented in Chapter 4. Chapter 5 presents and analyses the findings with regard to the research question and literature. Chapter 6 provides the conclusion of the study, its limitations and recommendations for further research.</w:t>
      </w:r>
    </w:p>
    <w:p w14:paraId="46A4AFD4" w14:textId="087ABCE2" w:rsidR="00B43DDC" w:rsidRDefault="00B43DDC">
      <w:pPr>
        <w:spacing w:after="160" w:line="360" w:lineRule="auto"/>
        <w:jc w:val="both"/>
      </w:pPr>
    </w:p>
    <w:p w14:paraId="36FA2172" w14:textId="77777777" w:rsidR="00B43DDC" w:rsidRDefault="00000000">
      <w:r>
        <w:br w:type="page"/>
      </w:r>
    </w:p>
    <w:p w14:paraId="34E1EC8E" w14:textId="77777777" w:rsidR="00B43DDC" w:rsidRDefault="00000000">
      <w:pPr>
        <w:pStyle w:val="Heading1"/>
      </w:pPr>
      <w:bookmarkStart w:id="13" w:name="_Toc230275119"/>
      <w:r>
        <w:lastRenderedPageBreak/>
        <w:t>Chapter 2: Literature Review</w:t>
      </w:r>
      <w:bookmarkEnd w:id="13"/>
    </w:p>
    <w:p w14:paraId="5A3CCAC4" w14:textId="77777777" w:rsidR="00B43DDC" w:rsidRDefault="00000000">
      <w:pPr>
        <w:pStyle w:val="Heading2"/>
      </w:pPr>
      <w:bookmarkStart w:id="14" w:name="_Toc230275120"/>
      <w:r>
        <w:t>2.1 Introduction</w:t>
      </w:r>
      <w:bookmarkEnd w:id="14"/>
    </w:p>
    <w:p w14:paraId="6087B0A0" w14:textId="77777777" w:rsidR="00086CD8" w:rsidRDefault="00086CD8" w:rsidP="00086CD8">
      <w:pPr>
        <w:spacing w:after="160" w:line="360" w:lineRule="auto"/>
        <w:jc w:val="both"/>
      </w:pPr>
      <w:r>
        <w:t>This chapter examines and critically evaluates the literature pertinent to the main research question of this study. It is organised in three sections. The first section discusses theoretical concepts underpinning the analysis: Entman's (1993) theory of media framing, the theory of symbolic power (Bourdieu 1991), and Arreguín-Toft's account of asymmetric conflict (2001). The second section provides an overview of the empirical literature on Gaza, which covers the structural political economy of Gaza, the evolution of representation of the Gaza Strip in the media, and the role of social and digital media in creating the international profile of Gaza. The third section outlines the lack of research in the literature that this study addresses and how the study's analytical approach addresses the gap. In every instance, the chapter is critical and points out the limitations and questionable aspects of the research reported, rather than assuming it is a coherent body of accepted research.</w:t>
      </w:r>
    </w:p>
    <w:p w14:paraId="31EDE1AF" w14:textId="77777777" w:rsidR="00B43DDC" w:rsidRDefault="00000000">
      <w:pPr>
        <w:pStyle w:val="Heading2"/>
      </w:pPr>
      <w:bookmarkStart w:id="15" w:name="_Toc230275121"/>
      <w:r>
        <w:t>2.2 Theoretical Frameworks</w:t>
      </w:r>
      <w:bookmarkEnd w:id="15"/>
    </w:p>
    <w:p w14:paraId="0DF7B43E" w14:textId="77777777" w:rsidR="00B43DDC" w:rsidRDefault="00000000">
      <w:pPr>
        <w:pStyle w:val="Heading3"/>
      </w:pPr>
      <w:bookmarkStart w:id="16" w:name="_Toc230275122"/>
      <w:r>
        <w:t>2.2.1 Media Framing Theory</w:t>
      </w:r>
      <w:bookmarkEnd w:id="16"/>
    </w:p>
    <w:p w14:paraId="794827FA" w14:textId="77777777" w:rsidR="00086CD8" w:rsidRDefault="00086CD8" w:rsidP="00086CD8">
      <w:pPr>
        <w:spacing w:after="160" w:line="360" w:lineRule="auto"/>
        <w:jc w:val="both"/>
      </w:pPr>
      <w:r>
        <w:t>Framing in communication research stems from Goffman's (1974) sociological work, where the term was used to refer to the interpretive schemas by which individuals and groups make sense of experience. Framing as an approach to the analysis of political communication was systematised by Entman (1993), and his account is the most widely cited and operationally usable one for the purposes of this study. Entman (1993, p.52) defines framing as 'selecting some aspects of a perceived reality and mak[ing] them more salient in a communicating text, in such a way as to promote a particular problem definition, causal interpretation, moral evaluation, and/or treatment recommendation for the item described.' This definition allows us to delineate four framing functions: problem definition, causal attribution, moral evaluation, and remedy recommendation, and affords a systematic approach to analysing news texts.</w:t>
      </w:r>
    </w:p>
    <w:p w14:paraId="60329176" w14:textId="77777777" w:rsidR="00086CD8" w:rsidRDefault="00086CD8" w:rsidP="00086CD8">
      <w:pPr>
        <w:spacing w:after="160" w:line="360" w:lineRule="auto"/>
        <w:jc w:val="both"/>
      </w:pPr>
      <w:r>
        <w:t xml:space="preserve">Entman's framework has been used widely when reporting conflict and also with regard to the Israeli-Palestinian conflict in particular. What Wolfsfeld (2004) calls the 'political contest model' of media and conflict suggests that the frames used of conflicts are not necessarily a reflection of journalistic norms or audience preferences, but as a result of the relative power of competing </w:t>
      </w:r>
      <w:r>
        <w:lastRenderedPageBreak/>
        <w:t>political actors to impose their preferred definition of the situation upon journalists. Wolfsfeld's model is especially pertinent to the Gaza situation, including not just Israelis and Palestinians but also Western governments, the United Nations system and international civil society organisations. Cherkaoui (2024) frames the coverage of the Gaza conflict and uses the framing analysis to reveal systematic differences in the frames used by both the Western and Arab-language media outlets, contending that these differences stem from institutional orientations as well as from different media production political economies in different countries.</w:t>
      </w:r>
    </w:p>
    <w:p w14:paraId="0F034E96" w14:textId="77777777" w:rsidR="00086CD8" w:rsidRDefault="00086CD8" w:rsidP="00086CD8">
      <w:pPr>
        <w:spacing w:after="160" w:line="360" w:lineRule="auto"/>
        <w:jc w:val="both"/>
      </w:pPr>
      <w:r>
        <w:t>Several scholars have pointed out that one major drawback of Entman's original formulation is that it is primarily content-oriented and does not adequately account for the processes of frame creation, contestation and change over time (Scheufele, 1999). In the case of this study, which focuses on framing over three escalation periods, including fifteen years, this is dealt with by considering the analysis of framing as inevitably historical and comparative rather than static. The study is therefore also informed by Van Dijk's (2001) critical discourse analysis, which focuses on the social and political context of the process of discourse production, as well as the content of the discourse, and which offers a methodological framework for analysing the encoding of power relations in and reproduction of discourse.</w:t>
      </w:r>
    </w:p>
    <w:p w14:paraId="3286A85E" w14:textId="77777777" w:rsidR="00B43DDC" w:rsidRDefault="00000000">
      <w:pPr>
        <w:pStyle w:val="Heading3"/>
      </w:pPr>
      <w:bookmarkStart w:id="17" w:name="_Toc230275123"/>
      <w:r>
        <w:t>2.2.2 Symbolic Power</w:t>
      </w:r>
      <w:bookmarkEnd w:id="17"/>
    </w:p>
    <w:p w14:paraId="6EC56523" w14:textId="77777777" w:rsidR="00086CD8" w:rsidRDefault="00086CD8" w:rsidP="00086CD8">
      <w:pPr>
        <w:spacing w:after="160" w:line="360" w:lineRule="auto"/>
        <w:jc w:val="both"/>
      </w:pPr>
      <w:r>
        <w:t>Bourdieu's (1991) notion of symbolic power offers a sociological approach to contextualise the discursive struggle of Gaza's construction in the international media and its political implications. Bourdieu's notion of symbolic power is defined as the power to impose categories of perception and evaluation on the social world in ways that are not understood as exercises of power and thus accepted as legitimate. According to Bourdieu's theory, symbolic power is exercised through symbolic capital, which is a sum of prestige, recognition and authority that is accumulated by actors, institutions or causes in particular settings, the social fields.</w:t>
      </w:r>
    </w:p>
    <w:p w14:paraId="25C5E3DB" w14:textId="77777777" w:rsidR="00086CD8" w:rsidRDefault="00086CD8" w:rsidP="00086CD8">
      <w:pPr>
        <w:spacing w:after="160" w:line="360" w:lineRule="auto"/>
        <w:jc w:val="both"/>
      </w:pPr>
      <w:r>
        <w:t xml:space="preserve">A few modifications are needed in applying this framework to the Gaza case, as Bourdieu's account has been developed mainly in relation to domestic social fields rather than the international arena. As Sending and Neumann (2006) have contended, however, Bourdieu's concepts are applicable in productive ways to scholarship in international relations, especially in situations where the contestation between actors is not necessarily military or economic, but discursive and representational. The key question in the Gaza context is what has contributed to the international </w:t>
      </w:r>
      <w:r>
        <w:lastRenderedPageBreak/>
        <w:t>and media framing of Gaza as a space of humanitarian crisis and resistance, and what are the political implications of this symbolic capital – the moral authority and recognition that it has bestowed upon the region? The line of analysis offered by Said (1997) in his foundational critique of Western representations of the Arab and Muslim world is important as an antecedent to the analysis offered here, as it illustrates the way in which systems of cultural representation can be understood as instruments of political power.</w:t>
      </w:r>
    </w:p>
    <w:p w14:paraId="33C31104" w14:textId="77777777" w:rsidR="00086CD8" w:rsidRDefault="00086CD8" w:rsidP="00086CD8">
      <w:pPr>
        <w:spacing w:after="160" w:line="360" w:lineRule="auto"/>
        <w:jc w:val="both"/>
      </w:pPr>
      <w:r>
        <w:t>However, one must be careful not to take the notion of symbolic power normatively, since, in Bourdieu's sense, it is a means of social reproduction and political action - it does not simply mean something good to be done. In the context of Gaza, the use of the concept thus does not endorse any specific political stance on the conflict, but rather, it represents an analytical description of a mechanism which the evidence so far points to as being in operation.</w:t>
      </w:r>
    </w:p>
    <w:p w14:paraId="1992C5C1" w14:textId="77777777" w:rsidR="00B43DDC" w:rsidRDefault="00000000">
      <w:pPr>
        <w:pStyle w:val="Heading3"/>
      </w:pPr>
      <w:bookmarkStart w:id="18" w:name="_Toc230275124"/>
      <w:r>
        <w:t>2.2.3 Asymmetric Conflict and Non-Military Power</w:t>
      </w:r>
      <w:bookmarkEnd w:id="18"/>
    </w:p>
    <w:p w14:paraId="4A72FCA1" w14:textId="77777777" w:rsidR="00086CD8" w:rsidRDefault="00086CD8" w:rsidP="00086CD8">
      <w:pPr>
        <w:spacing w:after="160" w:line="360" w:lineRule="auto"/>
        <w:jc w:val="both"/>
      </w:pPr>
      <w:r>
        <w:t>The third analytical tool applied to this study comes from Arreguín-Toft's (2001) theory of asymmetric conflict. In such conflicts, in which the military imbalance is a major factor, the results are not necessarily a function of the military balance, as Arreguín-Toft argues. Instead, the outcome as to which party wins is highly dependent on the combination of the strong actor's approach (direct or indirect) and the weak actor's approach (conventional or guerrilla/indirect). If the weaker actor employs the indirect approach while the stronger actor is trying to follow a direct approach, then, often, there will be a prolonged fight, and the strong actor is unable to overcome it by the use of military force alone.</w:t>
      </w:r>
    </w:p>
    <w:p w14:paraId="38528D99" w14:textId="77777777" w:rsidR="00086CD8" w:rsidRDefault="00086CD8" w:rsidP="00086CD8">
      <w:pPr>
        <w:spacing w:after="160" w:line="360" w:lineRule="auto"/>
        <w:jc w:val="both"/>
      </w:pPr>
      <w:r>
        <w:t>This framework is applicable to the Gaza situation as it draws attention to the non-military aspects of asymmetric warfare. In asymmetric warfare, the struggle for international opinion, humanitarian legitimacy and symbolic authority are important strategic areas in themselves if there is no military victory. Part of the reason for the sustained media attention to the civilian harms, the destruction of infrastructure, and the humanitarian situation in Gaza can be accounted for by the asymmetric nature of the conflict; the situation of extreme imbalance between the parties is itself productive of the kinds of images and narratives that media framing theory predicts are the most likely to generate strong international moral responses (Xu and Zhang, 2023).</w:t>
      </w:r>
    </w:p>
    <w:p w14:paraId="520EE9A4" w14:textId="77777777" w:rsidR="00086CD8" w:rsidRDefault="00086CD8" w:rsidP="00086CD8">
      <w:pPr>
        <w:spacing w:after="160" w:line="360" w:lineRule="auto"/>
        <w:jc w:val="both"/>
      </w:pPr>
      <w:r>
        <w:lastRenderedPageBreak/>
        <w:t>But it is important to note that the framework set out by Arreguín-Toft has to be critically qualified when applied to the Gaza context. The theory was originally used to account for military outcomes, and the transfer to the framing of media and international discourse is a conceptual extrapolation, which has to be treated with caution. Symbolic or discursive strategies in particular should not be mistaken for conventional military success, and there is no direct link between international media coverage and tangible political gains. In this study, Arreguín-Toft's framework is thus not used as a predictive model, but rather as a suggestive contextualisation.</w:t>
      </w:r>
    </w:p>
    <w:p w14:paraId="625F6AAD" w14:textId="77777777" w:rsidR="00B43DDC" w:rsidRDefault="00000000">
      <w:pPr>
        <w:pStyle w:val="Heading2"/>
      </w:pPr>
      <w:bookmarkStart w:id="19" w:name="_Toc230275125"/>
      <w:r>
        <w:t>2.3 The Gaza Conflict: Empirical Literature</w:t>
      </w:r>
      <w:bookmarkEnd w:id="19"/>
    </w:p>
    <w:p w14:paraId="018C66F6" w14:textId="77777777" w:rsidR="00B43DDC" w:rsidRDefault="00000000">
      <w:pPr>
        <w:pStyle w:val="Heading3"/>
      </w:pPr>
      <w:bookmarkStart w:id="20" w:name="_Toc230275126"/>
      <w:r>
        <w:t>2.3.1 Structural Conditions and Political Economy</w:t>
      </w:r>
      <w:bookmarkEnd w:id="20"/>
    </w:p>
    <w:p w14:paraId="56B76293" w14:textId="77777777" w:rsidR="00086CD8" w:rsidRDefault="00086CD8" w:rsidP="00086CD8">
      <w:pPr>
        <w:spacing w:after="160" w:line="360" w:lineRule="auto"/>
        <w:jc w:val="both"/>
      </w:pPr>
      <w:r>
        <w:t>The starting point for any serious analysis of the status of Gaza in international discourse has to be its material conditions, as these conditions are the material content of much of Gaza's international communication and the material context of framing decisions. Roy's (2016) political economy of Gaza, which is based on over 30 years of fieldwork and documentary research, is still the basis text in the field. Roy shows how this de-development of Gaza, by restricting trade, expropriating land, dividing the labour market and gradually tightening movement restrictions, was not a by-product of security policies but was systematic and had both economic and political aims for the Israeli administration. This analysis offers a needed structural perspective to explain the reasons for Gaza's humanitarian indicators consistently ranking among the worst in the world.</w:t>
      </w:r>
    </w:p>
    <w:p w14:paraId="544D7B51" w14:textId="77777777" w:rsidR="00086CD8" w:rsidRDefault="00086CD8" w:rsidP="00086CD8">
      <w:pPr>
        <w:spacing w:after="160" w:line="360" w:lineRule="auto"/>
        <w:jc w:val="both"/>
      </w:pPr>
      <w:r>
        <w:t>UN agencies have documented the blockade, which was implemented in 2007 and has been in effect ever since, albeit in various manners. According to OCHA (2024), prior to the escalation in 2023, the majority of the population in Gaza (around 80 per cent) relied on humanitarian assistance, while unemployment rates were above 46 per cent, and more than 95 per cent of groundwater was undrinkable. All these conditions have not been brought about by the escalation of 2023, but have been building up for over 15 years of blockade. As UN Special Rapporteur on Human Rights in the Palestinian Territories, Falk (2010) describes these conditions as amounting to collective punishment in breach of Article 33 of the Fourth Geneva Convention and which creates a "persistent need for international humanitarian response.</w:t>
      </w:r>
    </w:p>
    <w:p w14:paraId="3B80AB11" w14:textId="77777777" w:rsidR="00086CD8" w:rsidRDefault="00086CD8" w:rsidP="00086CD8">
      <w:pPr>
        <w:spacing w:after="160" w:line="360" w:lineRule="auto"/>
        <w:jc w:val="both"/>
      </w:pPr>
      <w:r>
        <w:t xml:space="preserve">These previous indicators are surpassed by the 2023-24 escalation. By early 2024, more than 1.9 million people (85 per cent of the population) were internally displaced, the vast majority of Gaza's </w:t>
      </w:r>
      <w:r>
        <w:lastRenderedPageBreak/>
        <w:t>hospitals remained out of service, and areas of northern Gaza had fallen into Famine conditions due to food security indicators, according to OCHA (2024). The UN Human Rights Council (2024) and Amnesty International (2024) have reported trends of destruction, which they believe may be evidence of deliberate targeting of civilian infrastructure. These empirical conditions are not only a setting for the media framing analysis, but they are also the object and result of media framing decisions examined in this study.</w:t>
      </w:r>
    </w:p>
    <w:p w14:paraId="3AA77CA5" w14:textId="77777777" w:rsidR="00B43DDC" w:rsidRDefault="00000000">
      <w:pPr>
        <w:pStyle w:val="Heading3"/>
      </w:pPr>
      <w:bookmarkStart w:id="21" w:name="_Toc230275127"/>
      <w:r>
        <w:t>2.3.2 Media Representation of the Gaza Conflict</w:t>
      </w:r>
      <w:bookmarkEnd w:id="21"/>
    </w:p>
    <w:p w14:paraId="77207A5A" w14:textId="77777777" w:rsidR="00086CD8" w:rsidRDefault="00086CD8" w:rsidP="00086CD8">
      <w:pPr>
        <w:spacing w:after="160" w:line="360" w:lineRule="auto"/>
        <w:jc w:val="both"/>
      </w:pPr>
      <w:r>
        <w:t>Despite being extensive, much of the research on media coverage of the Israeli-Palestinian conflict is dated and focused on the events that have occurred prior to the escalation of 2023-24 and the changes in the media environment brought about by the rise of social media and citizen journalism. Wolfsfeld (2004) offers a basic political analysis of the coverage of the conflict in the media, and asserts that Israeli authorities have, overall, been more effective than Palestinian actors in setting the agenda of how the conflict is covered in Western media because of a variety of factors, including Israeli institutional resources, access to information, and the structural orientation of most major Western news organisations. Wolfsfeld argues, however, that this structural advantage has been neutralised during times of maximum violence, when Palestinian civilian casualties are so high that they produce significant news value that overcomes the interpretive frameworks.</w:t>
      </w:r>
    </w:p>
    <w:p w14:paraId="3402B7DC" w14:textId="77777777" w:rsidR="00086CD8" w:rsidRDefault="00086CD8" w:rsidP="00086CD8">
      <w:pPr>
        <w:spacing w:after="160" w:line="360" w:lineRule="auto"/>
        <w:jc w:val="both"/>
      </w:pPr>
      <w:r>
        <w:t>However, Cherkaoui (2024) reconsiders this analysis in light of the ongoing conflict in 2023-24, which has seen the deaths of a far greater number of Palestinians and a greater ability to share content directly from Gaza thanks to social media. Cherkaoui notes that there are systematic differences in the frames used by the Western and Arab-language media: The latter has used frames of resistance/occupation substantially more than the former has, while the latter has framed civilian suffering more frequently than the former, in the context of Israel's security concerns. The division of media is analytically important and has been included in the methodological design of this study.</w:t>
      </w:r>
    </w:p>
    <w:p w14:paraId="67543708" w14:textId="77777777" w:rsidR="00086CD8" w:rsidRDefault="00086CD8" w:rsidP="00086CD8">
      <w:pPr>
        <w:spacing w:after="160" w:line="360" w:lineRule="auto"/>
        <w:jc w:val="both"/>
      </w:pPr>
      <w:r>
        <w:t xml:space="preserve">Al Jazeera's role in international media reportage on Gaza, in particular, has been a topic of study. In his analysis of the network's rise to becoming a large-scale international news organisation and its unique approach towards reporting on the Palestinian question, Zayani (2005) suggests that Al Jazeera's establishment was a structural change in the international media landscape, granting Arabic-language and pan-Arab perspectives on the conflict a reach and authority that they had not possessed before. The network's consistent, intensive and graphic reporting of successive Gaza </w:t>
      </w:r>
      <w:r>
        <w:lastRenderedPageBreak/>
        <w:t>escalations has played a major role in shaping international awareness and moral concern for the humanitarian aspects of the conflict.</w:t>
      </w:r>
    </w:p>
    <w:p w14:paraId="24D00C05" w14:textId="77777777" w:rsidR="00086CD8" w:rsidRDefault="00086CD8" w:rsidP="00086CD8">
      <w:pPr>
        <w:spacing w:after="160" w:line="360" w:lineRule="auto"/>
        <w:jc w:val="both"/>
      </w:pPr>
      <w:r>
        <w:t>Specifically, the portrayal of Palestinian children in international media attention is explored through the lens of the humanitarian catastrophe frame, as children are central to this frame (Kanwal 2025). In line with Xu and Zhang's (2023) comparative study of visual framing in humanitarian crisis coverage, Kanwal's study finds that child victims are consistently and emotionally represented in conflict coverage, resulting in stronger moral responses by audiences. This literature is pertinent to the frame analysis done in Chapter 4.</w:t>
      </w:r>
    </w:p>
    <w:p w14:paraId="43B71F90" w14:textId="77777777" w:rsidR="00B43DDC" w:rsidRDefault="00000000">
      <w:pPr>
        <w:pStyle w:val="Heading3"/>
      </w:pPr>
      <w:bookmarkStart w:id="22" w:name="_Toc230275128"/>
      <w:r>
        <w:t>2.3.3 Social Media, Digital Witnessing, and the Changing Media Landscape</w:t>
      </w:r>
      <w:bookmarkEnd w:id="22"/>
    </w:p>
    <w:p w14:paraId="538C0558" w14:textId="77777777" w:rsidR="00086CD8" w:rsidRDefault="00086CD8" w:rsidP="00086CD8">
      <w:pPr>
        <w:spacing w:after="160" w:line="360" w:lineRule="auto"/>
        <w:jc w:val="both"/>
      </w:pPr>
      <w:r>
        <w:t>Since the 2014 escalation, the use of social media in the international representation of Gaza has increased significantly and has reached an unprecedented level in 2023-24. In a systematic study of Palestinian solidarity advocacy on social media platforms, Hayes (2023) shows that digital platforms have allowed for advocacy organisations and individual activists to share images and narratives of the conflict with a much wider audience than would have been possible through traditional media outlets, and with the ability to circumvent the editorial process that has historically shaped international media coverage of the conflict. This has made it easier to produce content relating to the conflict, but also more difficult to analyse the way the conflict is framed in international discourses.</w:t>
      </w:r>
    </w:p>
    <w:p w14:paraId="3DB5EB84" w14:textId="77777777" w:rsidR="00086CD8" w:rsidRDefault="00086CD8" w:rsidP="00086CD8">
      <w:pPr>
        <w:spacing w:after="160" w:line="360" w:lineRule="auto"/>
        <w:jc w:val="both"/>
      </w:pPr>
      <w:r>
        <w:t>The most theoretically developed account of the affordances and limitations of social media as a political mobilising and advocacy tool is that of Tufekci (2017). Although the speed and scale of social media mobilisation are quite new, it is not necessarily a sign of long-term political effectiveness, writes Tufekci: "Movements that mobilise fast and big online, but lack the organisational structure to keep them going over time, could be less politically effective than they look. Assessment of the political consequences of Gaza's social media profile is relevant to this qualification in Chapter 5.</w:t>
      </w:r>
    </w:p>
    <w:p w14:paraId="07190C09" w14:textId="77777777" w:rsidR="00086CD8" w:rsidRDefault="00086CD8" w:rsidP="00086CD8">
      <w:pPr>
        <w:spacing w:after="160" w:line="360" w:lineRule="auto"/>
        <w:jc w:val="both"/>
      </w:pPr>
      <w:r>
        <w:t xml:space="preserve">The notion of ‘digital witnessing' coined by Frosh and Pinchevski (2009) and expanded in the conflict communication literature by Allan and Thorsen (2009) seems to be particularly pertinent in the case of the Gaza social media representation. Digital witnessing is the documentation and dissemination of evidence of events as they occur, possibly in a risky situation, and without the </w:t>
      </w:r>
      <w:r>
        <w:lastRenderedPageBreak/>
        <w:t>professional mediation of journalists. During the escalation in Gaza, the population has been witnessing events digitally on an extraordinary scale, with much of this content disseminated through Twitter/X, Instagram and TikTok, many of which have been posted by people who were later killed in the conflict. How this content is analytically challenging for framing analysis is discussed in the Methodology Chapter.</w:t>
      </w:r>
    </w:p>
    <w:p w14:paraId="17800695" w14:textId="77777777" w:rsidR="00B43DDC" w:rsidRDefault="00000000">
      <w:pPr>
        <w:pStyle w:val="Heading3"/>
      </w:pPr>
      <w:bookmarkStart w:id="23" w:name="_Toc230275129"/>
      <w:r>
        <w:t>2.3.4 International Humanitarian and Legal Responses</w:t>
      </w:r>
      <w:bookmarkEnd w:id="23"/>
    </w:p>
    <w:p w14:paraId="72940F80" w14:textId="77777777" w:rsidR="00086CD8" w:rsidRDefault="00086CD8" w:rsidP="00086CD8">
      <w:pPr>
        <w:spacing w:after="160" w:line="360" w:lineRule="auto"/>
        <w:jc w:val="both"/>
      </w:pPr>
      <w:r>
        <w:t>The political backdrop of the analysis of framing consequences in the present study is set in the international humanitarian and legal reactions to the series of escalations in Gaza. Barnett (2002) contends that the increasing trend of humanitarian intervention since the Cold War was greatly powered by the moral force that images of suffering have on the public, particularly in the media, which he calls the 'CNN effect'. Although the direct causal link between media coverage and humanitarian response is more complicated and controversial than first thought in the early CNN effect studies (Robinson, 2002), there is a considerable body of research indicating that media framing of humanitarian emergencies has an impact on the allocation of donor funds, the political salience of conflicts in diplomatic fora and the agenda-setting processes that define which emergencies receive international attention.</w:t>
      </w:r>
    </w:p>
    <w:p w14:paraId="352393EB" w14:textId="77777777" w:rsidR="00086CD8" w:rsidRDefault="00086CD8" w:rsidP="00086CD8">
      <w:pPr>
        <w:spacing w:after="160" w:line="360" w:lineRule="auto"/>
        <w:jc w:val="both"/>
      </w:pPr>
      <w:r>
        <w:t>In this paper, Weiss (2007) examines systematically how humanitarian discourse and international political action relate to each other, arguing that the framing of a conflict as a humanitarian emergency creates a moral imperative for states and international organisations to act, but that the nature and scope of the action is determined by geopolitical interests that shape how moral concern becomes translated into action. This applies directly to the Gaza situation, where the evidence of a humanitarian crisis has created a vicious circle of international expression of concern, ranging from UNSC resolutions to UNGA emergency sessions and to the ICJ proceedings, which so far have failed to produce a political solution to the situation. Although the ICJ's January 2024 order for provisional measures in South Africa v. Israel (ICJ, 2024) is of historic importance, it has not been enforced and has not, in material terms, impacted the conflict.</w:t>
      </w:r>
    </w:p>
    <w:p w14:paraId="30EE5FEF" w14:textId="77777777" w:rsidR="00086CD8" w:rsidRDefault="00086CD8" w:rsidP="00086CD8">
      <w:pPr>
        <w:spacing w:after="160" w:line="360" w:lineRule="auto"/>
        <w:jc w:val="both"/>
      </w:pPr>
      <w:r>
        <w:t xml:space="preserve">To sum up, Gunning (2010) presents a valuable critical analysis of the international interaction with Hamas and Gaza and suggests that the Western policy approach of not treating Hamas as a political party, while accepting it as a humanitarian problem, has created a structural incoherence which has hampered international response. This analysis becomes relevant when looking at the </w:t>
      </w:r>
      <w:r>
        <w:lastRenderedPageBreak/>
        <w:t>political consequences of media framing, as carried out in Chapter 5, because it might mean that the humanitarian catastrophe frame, although effective at raising moral concern, might have limited potential in terms of bringing about the kind of political commitment that can lead to a negotiated outcome.</w:t>
      </w:r>
    </w:p>
    <w:p w14:paraId="6773DEAC" w14:textId="77777777" w:rsidR="00B43DDC" w:rsidRDefault="00000000">
      <w:pPr>
        <w:pStyle w:val="Heading2"/>
      </w:pPr>
      <w:bookmarkStart w:id="24" w:name="_Toc230275130"/>
      <w:r>
        <w:t>2.4 Synthesis and Research Gap</w:t>
      </w:r>
      <w:bookmarkEnd w:id="24"/>
    </w:p>
    <w:p w14:paraId="08E5E68F" w14:textId="77777777" w:rsidR="00086CD8" w:rsidRDefault="00086CD8" w:rsidP="00086CD8">
      <w:pPr>
        <w:spacing w:after="160" w:line="360" w:lineRule="auto"/>
        <w:jc w:val="both"/>
      </w:pPr>
      <w:r>
        <w:t>The literature surveyed in this chapter indicates that there is a developed body of work that deals with the theoretical aspects of this study, as well as the empirical aspects of the Gaza conflict. The convergence of these streams of literature, however, the question of how media framing has functioned over multiple escalation periods in order to create a symbolic identity of Gaza and what the political consequences of this construction have been, has not been dealt with in a systematic or methodologically rigorous manner. The previous research has concentrated on one escalation period at a time, one media outlet or platform at a time, or one aspect of the representation of the conflict at a time and has not taken the three dimensions of the analysis, namely time, outlet type and political outcome, into account as a whole.</w:t>
      </w:r>
    </w:p>
    <w:p w14:paraId="281C44EC" w14:textId="014070AA" w:rsidR="00086CD8" w:rsidRDefault="00086CD8" w:rsidP="00086CD8">
      <w:pPr>
        <w:spacing w:after="160" w:line="360" w:lineRule="auto"/>
        <w:jc w:val="both"/>
      </w:pPr>
      <w:r>
        <w:t>This study fills this lacuna by analysing framing in both traditional and social media at three escalation periods (2008-09, 2014, and 2023-24) and on the political implications of prevailing frames, not just textual content. A theoretical combination of framing theory, symbolic power and asymmetric conflict analysis offers an analytical framework which can explain the multi-dimensional aspects of the Gazan representation without losing its uniqueness in any single explanatory mechanism.</w:t>
      </w:r>
    </w:p>
    <w:p w14:paraId="61C85F81" w14:textId="77777777" w:rsidR="00B43DDC" w:rsidRDefault="00000000">
      <w:r>
        <w:br w:type="page"/>
      </w:r>
    </w:p>
    <w:p w14:paraId="5F04C03D" w14:textId="77777777" w:rsidR="00B43DDC" w:rsidRDefault="00000000">
      <w:pPr>
        <w:pStyle w:val="Heading1"/>
      </w:pPr>
      <w:bookmarkStart w:id="25" w:name="_Toc230275131"/>
      <w:r>
        <w:lastRenderedPageBreak/>
        <w:t>Chapter 3: Methodology</w:t>
      </w:r>
      <w:bookmarkEnd w:id="25"/>
    </w:p>
    <w:p w14:paraId="544FBEF9" w14:textId="77777777" w:rsidR="00B43DDC" w:rsidRDefault="00000000">
      <w:pPr>
        <w:pStyle w:val="Heading2"/>
      </w:pPr>
      <w:bookmarkStart w:id="26" w:name="_Toc230275132"/>
      <w:r>
        <w:t>3.1 Introduction</w:t>
      </w:r>
      <w:bookmarkEnd w:id="26"/>
    </w:p>
    <w:p w14:paraId="1E2004C4" w14:textId="4E762FA2" w:rsidR="0072112B" w:rsidRDefault="0072112B" w:rsidP="0072112B">
      <w:pPr>
        <w:spacing w:after="160" w:line="360" w:lineRule="auto"/>
        <w:jc w:val="both"/>
      </w:pPr>
      <w:r>
        <w:t>The methodological approach adopted in this study is given in this chapter. It provides the rationale and context for the philosophical stance, design, and construction of the corpus and processes of analysis that underpin the research, and it addresses ethical issues. The methodological difficulties facing the study are how to operationalise the theoretical frameworks outlined in Chapter 2 — media framing theory, symbolic power and asymmetric conflict analysis — to be able to systematically, transparently and reproducibly identify how Gaza has been framed in international discourse and what political consequences this has entailed. The chapter also discusses the drawbacks of the selected method and any measures taken to overcome this, wherever possible.</w:t>
      </w:r>
    </w:p>
    <w:p w14:paraId="434A1B74" w14:textId="77777777" w:rsidR="00B43DDC" w:rsidRDefault="00000000">
      <w:pPr>
        <w:pStyle w:val="Heading2"/>
      </w:pPr>
      <w:bookmarkStart w:id="27" w:name="_Toc230275133"/>
      <w:r>
        <w:t>3.2 Research Philosophy</w:t>
      </w:r>
      <w:bookmarkEnd w:id="27"/>
    </w:p>
    <w:p w14:paraId="6712BCC6" w14:textId="77777777" w:rsidR="0072112B" w:rsidRDefault="0072112B" w:rsidP="0072112B">
      <w:pPr>
        <w:spacing w:after="160" w:line="360" w:lineRule="auto"/>
        <w:jc w:val="both"/>
      </w:pPr>
      <w:r>
        <w:t>This study takes a critical realist philosophical stance. Critical realism posits that social phenomena are real, but not in the same way that physical objects are real; they have causal effects, but they cannot be directly seen. (As theorised by Bhaskar (1978) and developed in methodology of the social sciences by Sayer (2000). Instead, social phenomena come into being as a result of mechanisms that are invoked in specific circumstances and that have effects which are neither mechanical nor purely contingent. The philosophical position of critical realism serves as the proper one for this research because it enables the researcher to consider media frames as real social mechanisms that have clear causal consequences, but also recognises that relations between frames and political outcomes are contextually dependent and cannot only be read from the text.</w:t>
      </w:r>
    </w:p>
    <w:p w14:paraId="55903D47" w14:textId="4163B580" w:rsidR="0072112B" w:rsidRDefault="0072112B" w:rsidP="0072112B">
      <w:pPr>
        <w:spacing w:after="160" w:line="360" w:lineRule="auto"/>
        <w:jc w:val="both"/>
      </w:pPr>
      <w:r>
        <w:t>The study also draws from the traditions of critical discourse analysis (CDA), where, according to Fairclough (1995, p.1), language is viewed as 'a form of social practice. CDA is not just a method; it is a theoretical orientation that takes texts to be part of relations of power, and that views the analysis of discourse as a critical practice that is part of the work of revealing, challenging, or changing relations of power. CDA is especially suited in the context of Gaza, in which the struggle over the representation of the conflict is a political struggle in which different players engage in a strategic use of discursive resources.</w:t>
      </w:r>
    </w:p>
    <w:p w14:paraId="4BE840CA" w14:textId="77777777" w:rsidR="00B43DDC" w:rsidRDefault="00000000">
      <w:pPr>
        <w:pStyle w:val="Heading2"/>
      </w:pPr>
      <w:bookmarkStart w:id="28" w:name="_Toc230275134"/>
      <w:r>
        <w:t>3.3 Research Design</w:t>
      </w:r>
      <w:bookmarkEnd w:id="28"/>
    </w:p>
    <w:p w14:paraId="34E28B45" w14:textId="77777777" w:rsidR="0072112B" w:rsidRDefault="0072112B" w:rsidP="0072112B">
      <w:pPr>
        <w:spacing w:after="160" w:line="360" w:lineRule="auto"/>
        <w:jc w:val="both"/>
      </w:pPr>
      <w:r>
        <w:lastRenderedPageBreak/>
        <w:t>This is a qualitative research, specifically a critical discourse analysis of a purposively selected body of international media texts. For two reasons, this design was selected instead of a mixed method. Secondly, the main research question, how media framing has essentialised Gaza as a symbol of power and with what political implications, is essentially an interpretative one that does not necessitate the accumulation of quantitative indices. Second, with the resources and time available for this dissertation, a well-designed study of a focused corpus using the qualitative paradigm can yield more analytically precise and more theory-driven results than a more broadly based mixed-methods study.</w:t>
      </w:r>
    </w:p>
    <w:p w14:paraId="2720E75F" w14:textId="1205F19E" w:rsidR="0072112B" w:rsidRDefault="0072112B" w:rsidP="0072112B">
      <w:pPr>
        <w:spacing w:after="160" w:line="360" w:lineRule="auto"/>
        <w:jc w:val="both"/>
      </w:pPr>
      <w:r>
        <w:t>The quantitative data on Gaza's demographic profile, casualty figures and humanitarian indicators are included in the analysis (Chapter 4), but not as an independent analytical strand, but rather as contextual evidence to inform the interpretation of framing. This method is an 'explanatory sequential design' in the nature of Creswell and Plano Clark (2017), but the framing analysis is the main qualitative analysis, with the quantitative data providing context and anchoring for the analysis.</w:t>
      </w:r>
    </w:p>
    <w:p w14:paraId="0738EDCD" w14:textId="77777777" w:rsidR="00B43DDC" w:rsidRDefault="00000000">
      <w:pPr>
        <w:pStyle w:val="Heading2"/>
      </w:pPr>
      <w:bookmarkStart w:id="29" w:name="_Toc230275135"/>
      <w:r>
        <w:t>3.4 Critical Discourse Analysis: Theoretical and Methodological Basis</w:t>
      </w:r>
      <w:bookmarkEnd w:id="29"/>
    </w:p>
    <w:p w14:paraId="36A9B722" w14:textId="77777777" w:rsidR="0072112B" w:rsidRDefault="0072112B" w:rsidP="0072112B">
      <w:pPr>
        <w:spacing w:after="160" w:line="360" w:lineRule="auto"/>
        <w:jc w:val="both"/>
      </w:pPr>
      <w:r>
        <w:t>This study uses critical discourse analysis, as developed by Fairclough (1995) and van Dijk (2001), for the analytical procedure. Fairclough's three-dimensional model of discourse analysis focuses on the level of the text (linguistic properties of vocabulary, grammar and cohesion); the level of the discursive practice (how texts are produced and consumed); and the level of the social practice (social and political relations in which discursive production occurs). Van Dijk's (2001) perspective is supplemented by a more explicit account with regard to how the ideological structure is expressed in the lexico-syntactic options of news texts, such as the use of active or passive voice to describe acts of violence, or the differential use of evaluative language to describe different parties to a conflict.</w:t>
      </w:r>
    </w:p>
    <w:p w14:paraId="78009BD2" w14:textId="7DD2C849" w:rsidR="0072112B" w:rsidRDefault="0072112B" w:rsidP="0072112B">
      <w:pPr>
        <w:spacing w:after="160" w:line="360" w:lineRule="auto"/>
        <w:jc w:val="both"/>
      </w:pPr>
      <w:r>
        <w:t xml:space="preserve">The use of CDA in this study follows four stages that are closely related to Entman's (1993) four framing functions. The analysis maps for each text in the corpus the following: (1) definition of the problem — what is described as the main problem or crisis to be addressed; (2) attribution of causation — which actor or condition is identified as the cause of the problem or crisis being addressed; (3) what is the moral evaluation of the actions described, or the situation itself — how </w:t>
      </w:r>
      <w:r>
        <w:lastRenderedPageBreak/>
        <w:t>is it described as good or bad, or as a problem per se?; and (4) what remedy or response is implied or recommended. The use of this analytical framework in a systematic way throughout the corpus allows the identification of patterns (dominant frames) and differences and challenges between outlets and over time.</w:t>
      </w:r>
    </w:p>
    <w:p w14:paraId="717BAA79" w14:textId="77777777" w:rsidR="00B43DDC" w:rsidRDefault="00000000" w:rsidP="0072112B">
      <w:pPr>
        <w:pStyle w:val="Heading2"/>
      </w:pPr>
      <w:bookmarkStart w:id="30" w:name="_Toc230275136"/>
      <w:r>
        <w:t>3.5 Corpus Construction</w:t>
      </w:r>
      <w:bookmarkEnd w:id="30"/>
    </w:p>
    <w:p w14:paraId="5FDA71E1" w14:textId="77777777" w:rsidR="0072112B" w:rsidRDefault="0072112B" w:rsidP="0072112B">
      <w:pPr>
        <w:spacing w:after="160" w:line="360" w:lineRule="auto"/>
        <w:jc w:val="both"/>
      </w:pPr>
      <w:r>
        <w:t>The corpus has been assembled following a “purposive sampling” which aims to maximise the analytical relevance and diversity of the texts sampled. The texts consist of three types of sources: mainstream Western print and broadcast media (BBC, The Guardian, The New York Times); Arab language and regional media with international reach (Al Jazeera English); and official international organisation communications (OCHA situation reports, UN Human Rights Council reports, ICJ press releases). By drawing on a variety of sources from different institutional contexts, the analysis can reveal the frame differentiation in the media field, and not only provide a homogenised picture from one type of source.</w:t>
      </w:r>
    </w:p>
    <w:p w14:paraId="5A4FB940" w14:textId="77777777" w:rsidR="0072112B" w:rsidRDefault="0072112B" w:rsidP="0072112B">
      <w:pPr>
        <w:spacing w:after="160" w:line="360" w:lineRule="auto"/>
        <w:jc w:val="both"/>
      </w:pPr>
      <w:r>
        <w:t>The entire corpus is divided into three escalation phases: Operation Cast Lead (December 2008 – January 2009), Operation Protective Edge (July – August 2014) and the Al-Aqsa Flood offensive (October 2023 – present). These three periods have been chosen because they are three of the most critical escalations of violence in Gaza since 2008, they were all periods of intensive international media coverage, and they collectively cover a spectrum of considerable change in the media landscape, from pre-social media (2008-09) to TikTok and Twitter/X (2023-24). An analysis of these three periods allows the dominant frames to be traced over time.</w:t>
      </w:r>
    </w:p>
    <w:p w14:paraId="184DD0E4" w14:textId="0DBE61B6" w:rsidR="0072112B" w:rsidRDefault="0072112B" w:rsidP="0072112B">
      <w:pPr>
        <w:spacing w:after="160" w:line="360" w:lineRule="auto"/>
        <w:jc w:val="both"/>
      </w:pPr>
      <w:r>
        <w:t>In each period texts have been sampled from the first two weeks of escalation (which got the most media attention and involved the most intensive framing activity), and where available, from the end of the active military phase. About 15-20 texts have been chosen for in-depth analysis for each period, and other texts have been consulted to ensure that the themes that emerged were saturated. Total corpus size is about fifty texts, which on one hand is a dimension suited to the level of analysis demanded by the CDA approach and on the other hand to the limits of a dissertation project.</w:t>
      </w:r>
    </w:p>
    <w:p w14:paraId="01A51D64" w14:textId="77777777" w:rsidR="00B43DDC" w:rsidRDefault="00000000">
      <w:pPr>
        <w:pStyle w:val="Heading2"/>
      </w:pPr>
      <w:bookmarkStart w:id="31" w:name="_Toc230275137"/>
      <w:r>
        <w:t>3.6 Analytical Procedure</w:t>
      </w:r>
      <w:bookmarkEnd w:id="31"/>
    </w:p>
    <w:p w14:paraId="1E5A3B08" w14:textId="77777777" w:rsidR="0072112B" w:rsidRDefault="0072112B" w:rsidP="0072112B">
      <w:pPr>
        <w:spacing w:after="160" w:line="360" w:lineRule="auto"/>
        <w:jc w:val="both"/>
      </w:pPr>
      <w:r>
        <w:lastRenderedPageBreak/>
        <w:t>Each text has been read in its entirety and marked up with regard to the four framing dimensions found in Section 3.4. It can be seen that annotations have been documented in a standardised coding document, which enables systematic comparison between texts, outlets and time periods. Coding has been a recursive process that involved an initial inductive reading of a sub-sample of the texts to create a preliminary coding framework, which was then applied deductively to the rest of the texts and modified to address anomalies and patterns that had arisen while coding. This is done in the manner of thematic analysis as outlined by Braun and Clarke (2006), but with the difference that it is applied to institutional texts as opposed to data from interviews.</w:t>
      </w:r>
    </w:p>
    <w:p w14:paraId="42C41CFC" w14:textId="2C22FFBE" w:rsidR="0072112B" w:rsidRDefault="0072112B" w:rsidP="0072112B">
      <w:pPr>
        <w:spacing w:after="160" w:line="360" w:lineRule="auto"/>
        <w:jc w:val="both"/>
      </w:pPr>
      <w:r>
        <w:t>Dominant frames have been identified by the recurrence of these frames in various texts and outlets, not by the prominence of any text alone. The texts sampled in a timeframe show a frame to be dominant if it has been used in 60% or more of the texts, and the frame is used in a consistent manner across different outlets. Those frames which are found in a significant minority of texts but are systematically challenged by other frames are identified as contested frames and analysed separately. This contrast between a dominant and a contested frame is analytically relevant because of the political contestation of the framing of the conflict that theoretical literature suggests we would expect.</w:t>
      </w:r>
    </w:p>
    <w:p w14:paraId="3772BC66" w14:textId="77777777" w:rsidR="00B43DDC" w:rsidRDefault="00000000">
      <w:pPr>
        <w:pStyle w:val="Heading2"/>
      </w:pPr>
      <w:bookmarkStart w:id="32" w:name="_Toc230275138"/>
      <w:r>
        <w:t>3.7 Assessment of Political Consequences</w:t>
      </w:r>
      <w:bookmarkEnd w:id="32"/>
    </w:p>
    <w:p w14:paraId="0D265BFB" w14:textId="2890C246" w:rsidR="0072112B" w:rsidRDefault="0072112B" w:rsidP="0072112B">
      <w:pPr>
        <w:spacing w:after="160" w:line="360" w:lineRule="auto"/>
        <w:jc w:val="both"/>
      </w:pPr>
      <w:r>
        <w:t>In assessing the political implications of the media framing, the second part of the research question requires a different type of evidence from the textual analysis. This part of the study relied on secondary analysis of documented political outcomes, humanitarian funding data provided by OCHA and UNRWA, as well as documentation of diplomatic activity from UN documentation and civil society mobilisation from academic literature and NGOs. The analytic reading of the framing-outcomes relationship does not rely on formal causal inference, but rather seeks evidence for the pattern of relationship that is identified in the analysis, and that it is likely to have contributed to the political outcomes documented.</w:t>
      </w:r>
    </w:p>
    <w:p w14:paraId="37E26C66" w14:textId="77777777" w:rsidR="00250D2B" w:rsidRDefault="00250D2B">
      <w:pPr>
        <w:rPr>
          <w:b/>
          <w:bCs/>
          <w:color w:val="000000"/>
        </w:rPr>
      </w:pPr>
      <w:r>
        <w:br w:type="page"/>
      </w:r>
    </w:p>
    <w:p w14:paraId="24BF4892" w14:textId="5FA0D399" w:rsidR="00B43DDC" w:rsidRDefault="00000000">
      <w:pPr>
        <w:pStyle w:val="Heading2"/>
      </w:pPr>
      <w:bookmarkStart w:id="33" w:name="_Toc230275139"/>
      <w:r>
        <w:lastRenderedPageBreak/>
        <w:t>3.8 Ethical Considerations</w:t>
      </w:r>
      <w:bookmarkEnd w:id="33"/>
    </w:p>
    <w:p w14:paraId="52E94048" w14:textId="7397BF10" w:rsidR="0072112B" w:rsidRDefault="0072112B" w:rsidP="0072112B">
      <w:pPr>
        <w:spacing w:after="160" w:line="360" w:lineRule="auto"/>
        <w:jc w:val="both"/>
      </w:pPr>
      <w:r>
        <w:t>This is secondary data research and not research with human participants, as it is publicly available. The ethical issues that apply to the research are thus mainly those of academic honesty and fair presentation of a politically charged research topic. All sources are properly referenced. The analysis is intended to be politically balanced in the sense that the analysis of the texts is done according to the same analytical standards, regardless of the respective point of view on the conflict expressed in the text, but the notion of ‘balance' is problematic in the context of an asymmetric conflict. The researcher has been mindful along the way of the difference between analytical description and normative advocacy.</w:t>
      </w:r>
    </w:p>
    <w:p w14:paraId="659AC79F" w14:textId="77777777" w:rsidR="00B43DDC" w:rsidRDefault="00000000">
      <w:pPr>
        <w:pStyle w:val="Heading2"/>
      </w:pPr>
      <w:bookmarkStart w:id="34" w:name="_Toc230275140"/>
      <w:r>
        <w:t>3.9 Limitations</w:t>
      </w:r>
      <w:bookmarkEnd w:id="34"/>
    </w:p>
    <w:p w14:paraId="7DE8FB25" w14:textId="42C7F218" w:rsidR="00B43DDC" w:rsidRDefault="0072112B" w:rsidP="0072112B">
      <w:pPr>
        <w:spacing w:after="160" w:line="360" w:lineRule="auto"/>
        <w:jc w:val="both"/>
      </w:pPr>
      <w:r>
        <w:t>The study has some limitations. Although it is a purposively created corpus that is analytically relevant and representative, it is not statistically representative of the entire spectrum of international media coverage of Gaza. The CDA approach is interpretive, and varying characterisations of frames may be achieved based on the same corpus by different analysts. Political implications are necessarily only inferential, not causally shown. These limitations are built into the nature of the qualitative method and are not necessarily a sign of the validity of the study, but a good reminder of the kinds of conclusions that can be drawn. Future research with larger corpora and computational text analysis techniques might supplement and build upon this research.</w:t>
      </w:r>
    </w:p>
    <w:p w14:paraId="6DF7B938" w14:textId="77777777" w:rsidR="00B43DDC" w:rsidRDefault="00000000">
      <w:r>
        <w:br w:type="page"/>
      </w:r>
    </w:p>
    <w:p w14:paraId="53898012" w14:textId="77777777" w:rsidR="00B43DDC" w:rsidRDefault="00000000">
      <w:pPr>
        <w:pStyle w:val="Heading1"/>
      </w:pPr>
      <w:bookmarkStart w:id="35" w:name="_Toc230275141"/>
      <w:r>
        <w:lastRenderedPageBreak/>
        <w:t>Chapter 4: Data Analysis and Findings</w:t>
      </w:r>
      <w:bookmarkEnd w:id="35"/>
    </w:p>
    <w:p w14:paraId="5D030D93" w14:textId="77777777" w:rsidR="00B43DDC" w:rsidRDefault="00000000">
      <w:pPr>
        <w:pStyle w:val="Heading2"/>
      </w:pPr>
      <w:bookmarkStart w:id="36" w:name="_Toc230275142"/>
      <w:r>
        <w:t>4.1 Introduction</w:t>
      </w:r>
      <w:bookmarkEnd w:id="36"/>
    </w:p>
    <w:p w14:paraId="4393B7CB" w14:textId="097492DF" w:rsidR="00BD2B8D" w:rsidRDefault="00BD2B8D" w:rsidP="00BD2B8D">
      <w:pPr>
        <w:spacing w:after="160" w:line="360" w:lineRule="auto"/>
        <w:jc w:val="both"/>
      </w:pPr>
      <w:r>
        <w:t>The results of the critical discourse analysis of the corpus described in Chapter 3 are presented in this chapter. It goes through three stages. The first one sets the quantitative profile of material conditions in Gaza, which serves as the frame of reference for the frame analysis. The second summarises the results of the frame analysis for each of the three escalation periods, and outlines the dominant and contested frames and changes in the frames over time. The third maps this relationship between the frames and documented political outcomes. In all cases, the chapter seeks to maintain analytical transparency, providing evidence for the interpretive claims and making evident where evidence is unclear or disputed.</w:t>
      </w:r>
    </w:p>
    <w:p w14:paraId="23228049" w14:textId="77777777" w:rsidR="00B43DDC" w:rsidRDefault="00000000">
      <w:pPr>
        <w:pStyle w:val="Heading2"/>
      </w:pPr>
      <w:bookmarkStart w:id="37" w:name="_Toc230275143"/>
      <w:r>
        <w:t>4.2 Quantitative Profile of Gaza's Material Conditions</w:t>
      </w:r>
      <w:bookmarkEnd w:id="37"/>
    </w:p>
    <w:p w14:paraId="4797D562" w14:textId="4B22A097" w:rsidR="00B43DDC" w:rsidRDefault="00BD2B8D" w:rsidP="00762B50">
      <w:pPr>
        <w:spacing w:after="160" w:line="360" w:lineRule="auto"/>
        <w:jc w:val="both"/>
      </w:pPr>
      <w:r>
        <w:t>The main demographic, socioeconomic, and humanitarian indicators in Gaza in 2023-24 are shown in Table 1. These figures constitute the material base from which media framing is being analysed: these are the conditions which different media outlets are reporting on and interpreting in different ways and with different emphases.</w:t>
      </w:r>
    </w:p>
    <w:p w14:paraId="6CF44D6A" w14:textId="65AD3DED" w:rsidR="00762B50" w:rsidRDefault="00762B50" w:rsidP="00762B50">
      <w:pPr>
        <w:pStyle w:val="Caption"/>
        <w:keepNext/>
      </w:pPr>
      <w:bookmarkStart w:id="38" w:name="_Toc230274514"/>
      <w:r>
        <w:t xml:space="preserve">Table </w:t>
      </w:r>
      <w:fldSimple w:instr=" SEQ Table \* ARABIC ">
        <w:r w:rsidR="00C40FF9">
          <w:rPr>
            <w:noProof/>
          </w:rPr>
          <w:t>1</w:t>
        </w:r>
      </w:fldSimple>
      <w:r>
        <w:t xml:space="preserve">: </w:t>
      </w:r>
      <w:r w:rsidRPr="004A092F">
        <w:t>Gaza Demographic and Humanitarian Profile (2023–24)</w:t>
      </w:r>
      <w:bookmarkEnd w:id="38"/>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00"/>
        <w:gridCol w:w="3080"/>
        <w:gridCol w:w="3080"/>
      </w:tblGrid>
      <w:tr w:rsidR="00B43DDC" w14:paraId="163D9704" w14:textId="77777777">
        <w:tc>
          <w:tcPr>
            <w:tcW w:w="3200" w:type="dxa"/>
            <w:tcBorders>
              <w:top w:val="single" w:sz="4" w:space="0" w:color="000000"/>
              <w:left w:val="single" w:sz="4" w:space="0" w:color="000000"/>
              <w:bottom w:val="single" w:sz="4" w:space="0" w:color="000000"/>
              <w:right w:val="single" w:sz="4" w:space="0" w:color="000000"/>
            </w:tcBorders>
            <w:shd w:val="clear" w:color="auto" w:fill="C0C0C0"/>
            <w:tcMar>
              <w:top w:w="80" w:type="dxa"/>
              <w:left w:w="120" w:type="dxa"/>
              <w:bottom w:w="80" w:type="dxa"/>
              <w:right w:w="120" w:type="dxa"/>
            </w:tcMar>
            <w:vAlign w:val="center"/>
          </w:tcPr>
          <w:p w14:paraId="26E1F010" w14:textId="77777777" w:rsidR="00B43DDC" w:rsidRDefault="00000000">
            <w:pPr>
              <w:jc w:val="center"/>
            </w:pPr>
            <w:r>
              <w:rPr>
                <w:b/>
                <w:bCs/>
                <w:sz w:val="20"/>
                <w:szCs w:val="20"/>
              </w:rPr>
              <w:t>Indicator</w:t>
            </w:r>
          </w:p>
        </w:tc>
        <w:tc>
          <w:tcPr>
            <w:tcW w:w="3080" w:type="dxa"/>
            <w:tcBorders>
              <w:top w:val="single" w:sz="4" w:space="0" w:color="000000"/>
              <w:left w:val="single" w:sz="4" w:space="0" w:color="000000"/>
              <w:bottom w:val="single" w:sz="4" w:space="0" w:color="000000"/>
              <w:right w:val="single" w:sz="4" w:space="0" w:color="000000"/>
            </w:tcBorders>
            <w:shd w:val="clear" w:color="auto" w:fill="C0C0C0"/>
            <w:tcMar>
              <w:top w:w="80" w:type="dxa"/>
              <w:left w:w="120" w:type="dxa"/>
              <w:bottom w:w="80" w:type="dxa"/>
              <w:right w:w="120" w:type="dxa"/>
            </w:tcMar>
            <w:vAlign w:val="center"/>
          </w:tcPr>
          <w:p w14:paraId="44C35906" w14:textId="77777777" w:rsidR="00B43DDC" w:rsidRDefault="00000000">
            <w:pPr>
              <w:jc w:val="center"/>
            </w:pPr>
            <w:r>
              <w:rPr>
                <w:b/>
                <w:bCs/>
                <w:sz w:val="20"/>
                <w:szCs w:val="20"/>
              </w:rPr>
              <w:t>Figure</w:t>
            </w:r>
          </w:p>
        </w:tc>
        <w:tc>
          <w:tcPr>
            <w:tcW w:w="3080" w:type="dxa"/>
            <w:tcBorders>
              <w:top w:val="single" w:sz="4" w:space="0" w:color="000000"/>
              <w:left w:val="single" w:sz="4" w:space="0" w:color="000000"/>
              <w:bottom w:val="single" w:sz="4" w:space="0" w:color="000000"/>
              <w:right w:val="single" w:sz="4" w:space="0" w:color="000000"/>
            </w:tcBorders>
            <w:shd w:val="clear" w:color="auto" w:fill="C0C0C0"/>
            <w:tcMar>
              <w:top w:w="80" w:type="dxa"/>
              <w:left w:w="120" w:type="dxa"/>
              <w:bottom w:w="80" w:type="dxa"/>
              <w:right w:w="120" w:type="dxa"/>
            </w:tcMar>
            <w:vAlign w:val="center"/>
          </w:tcPr>
          <w:p w14:paraId="153B1266" w14:textId="77777777" w:rsidR="00B43DDC" w:rsidRDefault="00000000">
            <w:pPr>
              <w:jc w:val="center"/>
            </w:pPr>
            <w:r>
              <w:rPr>
                <w:b/>
                <w:bCs/>
                <w:sz w:val="20"/>
                <w:szCs w:val="20"/>
              </w:rPr>
              <w:t>Source</w:t>
            </w:r>
          </w:p>
        </w:tc>
      </w:tr>
      <w:tr w:rsidR="00B43DDC" w14:paraId="10E8F0E9" w14:textId="77777777">
        <w:tc>
          <w:tcPr>
            <w:tcW w:w="32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53D744A0" w14:textId="77777777" w:rsidR="00B43DDC" w:rsidRDefault="00000000">
            <w:r>
              <w:rPr>
                <w:sz w:val="20"/>
                <w:szCs w:val="20"/>
              </w:rPr>
              <w:t>Land Area</w:t>
            </w:r>
          </w:p>
        </w:tc>
        <w:tc>
          <w:tcPr>
            <w:tcW w:w="308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0470959B" w14:textId="77777777" w:rsidR="00B43DDC" w:rsidRDefault="00000000">
            <w:pPr>
              <w:jc w:val="center"/>
            </w:pPr>
            <w:r>
              <w:rPr>
                <w:sz w:val="20"/>
                <w:szCs w:val="20"/>
              </w:rPr>
              <w:t>365 km²</w:t>
            </w:r>
          </w:p>
        </w:tc>
        <w:tc>
          <w:tcPr>
            <w:tcW w:w="308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6E2808DD" w14:textId="77777777" w:rsidR="00B43DDC" w:rsidRDefault="00000000">
            <w:r>
              <w:rPr>
                <w:sz w:val="20"/>
                <w:szCs w:val="20"/>
              </w:rPr>
              <w:t>OCHA, 2024</w:t>
            </w:r>
          </w:p>
        </w:tc>
      </w:tr>
      <w:tr w:rsidR="00B43DDC" w14:paraId="04A8EBAF" w14:textId="77777777">
        <w:tc>
          <w:tcPr>
            <w:tcW w:w="32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36EE067" w14:textId="77777777" w:rsidR="00B43DDC" w:rsidRDefault="00000000">
            <w:r>
              <w:rPr>
                <w:sz w:val="20"/>
                <w:szCs w:val="20"/>
              </w:rPr>
              <w:t>Total Population (2023)</w:t>
            </w:r>
          </w:p>
        </w:tc>
        <w:tc>
          <w:tcPr>
            <w:tcW w:w="30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FA3AD60" w14:textId="77777777" w:rsidR="00B43DDC" w:rsidRDefault="00000000">
            <w:pPr>
              <w:jc w:val="center"/>
            </w:pPr>
            <w:r>
              <w:rPr>
                <w:sz w:val="20"/>
                <w:szCs w:val="20"/>
              </w:rPr>
              <w:t>2,375,259</w:t>
            </w:r>
          </w:p>
        </w:tc>
        <w:tc>
          <w:tcPr>
            <w:tcW w:w="30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253F338A" w14:textId="77777777" w:rsidR="00B43DDC" w:rsidRDefault="00000000">
            <w:r>
              <w:rPr>
                <w:sz w:val="20"/>
                <w:szCs w:val="20"/>
              </w:rPr>
              <w:t>UNRWA, 2023</w:t>
            </w:r>
          </w:p>
        </w:tc>
      </w:tr>
      <w:tr w:rsidR="00B43DDC" w14:paraId="75137842" w14:textId="77777777">
        <w:tc>
          <w:tcPr>
            <w:tcW w:w="32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5F66550A" w14:textId="77777777" w:rsidR="00B43DDC" w:rsidRDefault="00000000">
            <w:r>
              <w:rPr>
                <w:sz w:val="20"/>
                <w:szCs w:val="20"/>
              </w:rPr>
              <w:t>Refugee Population (% of total)</w:t>
            </w:r>
          </w:p>
        </w:tc>
        <w:tc>
          <w:tcPr>
            <w:tcW w:w="308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73D950DF" w14:textId="77777777" w:rsidR="00B43DDC" w:rsidRDefault="00000000">
            <w:pPr>
              <w:jc w:val="center"/>
            </w:pPr>
            <w:r>
              <w:rPr>
                <w:sz w:val="20"/>
                <w:szCs w:val="20"/>
              </w:rPr>
              <w:t>71%</w:t>
            </w:r>
          </w:p>
        </w:tc>
        <w:tc>
          <w:tcPr>
            <w:tcW w:w="308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73007EF5" w14:textId="77777777" w:rsidR="00B43DDC" w:rsidRDefault="00000000">
            <w:r>
              <w:rPr>
                <w:sz w:val="20"/>
                <w:szCs w:val="20"/>
              </w:rPr>
              <w:t>UNRWA, 2023</w:t>
            </w:r>
          </w:p>
        </w:tc>
      </w:tr>
      <w:tr w:rsidR="00B43DDC" w14:paraId="01D90DB6" w14:textId="77777777">
        <w:tc>
          <w:tcPr>
            <w:tcW w:w="32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06F9748A" w14:textId="77777777" w:rsidR="00B43DDC" w:rsidRDefault="00000000">
            <w:r>
              <w:rPr>
                <w:sz w:val="20"/>
                <w:szCs w:val="20"/>
              </w:rPr>
              <w:t>Unemployment Rate (2023)</w:t>
            </w:r>
          </w:p>
        </w:tc>
        <w:tc>
          <w:tcPr>
            <w:tcW w:w="30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2AF88FA7" w14:textId="77777777" w:rsidR="00B43DDC" w:rsidRDefault="00000000">
            <w:pPr>
              <w:jc w:val="center"/>
            </w:pPr>
            <w:r>
              <w:rPr>
                <w:sz w:val="20"/>
                <w:szCs w:val="20"/>
              </w:rPr>
              <w:t>46.4%</w:t>
            </w:r>
          </w:p>
        </w:tc>
        <w:tc>
          <w:tcPr>
            <w:tcW w:w="30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1CABB204" w14:textId="77777777" w:rsidR="00B43DDC" w:rsidRDefault="00000000">
            <w:r>
              <w:rPr>
                <w:sz w:val="20"/>
                <w:szCs w:val="20"/>
              </w:rPr>
              <w:t>World Bank, 2023</w:t>
            </w:r>
          </w:p>
        </w:tc>
      </w:tr>
      <w:tr w:rsidR="00B43DDC" w14:paraId="7501E179" w14:textId="77777777">
        <w:tc>
          <w:tcPr>
            <w:tcW w:w="32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7EEFB2D0" w14:textId="77777777" w:rsidR="00B43DDC" w:rsidRDefault="00000000">
            <w:r>
              <w:rPr>
                <w:sz w:val="20"/>
                <w:szCs w:val="20"/>
              </w:rPr>
              <w:t>Population Below Poverty Line</w:t>
            </w:r>
          </w:p>
        </w:tc>
        <w:tc>
          <w:tcPr>
            <w:tcW w:w="308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4CABE281" w14:textId="77777777" w:rsidR="00B43DDC" w:rsidRDefault="00000000">
            <w:pPr>
              <w:jc w:val="center"/>
            </w:pPr>
            <w:r>
              <w:rPr>
                <w:sz w:val="20"/>
                <w:szCs w:val="20"/>
              </w:rPr>
              <w:t>65%</w:t>
            </w:r>
          </w:p>
        </w:tc>
        <w:tc>
          <w:tcPr>
            <w:tcW w:w="308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791D52E4" w14:textId="77777777" w:rsidR="00B43DDC" w:rsidRDefault="00000000">
            <w:r>
              <w:rPr>
                <w:sz w:val="20"/>
                <w:szCs w:val="20"/>
              </w:rPr>
              <w:t>OCHA, 2024</w:t>
            </w:r>
          </w:p>
        </w:tc>
      </w:tr>
      <w:tr w:rsidR="00B43DDC" w14:paraId="08670939" w14:textId="77777777">
        <w:tc>
          <w:tcPr>
            <w:tcW w:w="32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433C77B" w14:textId="77777777" w:rsidR="00B43DDC" w:rsidRDefault="00000000">
            <w:r>
              <w:rPr>
                <w:sz w:val="20"/>
                <w:szCs w:val="20"/>
              </w:rPr>
              <w:t>Dependent on Humanitarian Aid</w:t>
            </w:r>
          </w:p>
        </w:tc>
        <w:tc>
          <w:tcPr>
            <w:tcW w:w="30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178A282" w14:textId="77777777" w:rsidR="00B43DDC" w:rsidRDefault="00000000">
            <w:pPr>
              <w:jc w:val="center"/>
            </w:pPr>
            <w:r>
              <w:rPr>
                <w:sz w:val="20"/>
                <w:szCs w:val="20"/>
              </w:rPr>
              <w:t>~80%</w:t>
            </w:r>
          </w:p>
        </w:tc>
        <w:tc>
          <w:tcPr>
            <w:tcW w:w="30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7BFF337C" w14:textId="77777777" w:rsidR="00B43DDC" w:rsidRDefault="00000000">
            <w:r>
              <w:rPr>
                <w:sz w:val="20"/>
                <w:szCs w:val="20"/>
              </w:rPr>
              <w:t>OCHA, 2024</w:t>
            </w:r>
          </w:p>
        </w:tc>
      </w:tr>
      <w:tr w:rsidR="00B43DDC" w14:paraId="1096BF81" w14:textId="77777777">
        <w:tc>
          <w:tcPr>
            <w:tcW w:w="32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73D975D8" w14:textId="77777777" w:rsidR="00B43DDC" w:rsidRDefault="00000000">
            <w:r>
              <w:rPr>
                <w:sz w:val="20"/>
                <w:szCs w:val="20"/>
              </w:rPr>
              <w:t>Groundwater fit for consumption</w:t>
            </w:r>
          </w:p>
        </w:tc>
        <w:tc>
          <w:tcPr>
            <w:tcW w:w="308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788ACAC3" w14:textId="77777777" w:rsidR="00B43DDC" w:rsidRDefault="00000000">
            <w:pPr>
              <w:jc w:val="center"/>
            </w:pPr>
            <w:r>
              <w:rPr>
                <w:sz w:val="20"/>
                <w:szCs w:val="20"/>
              </w:rPr>
              <w:t>&lt; 5%</w:t>
            </w:r>
          </w:p>
        </w:tc>
        <w:tc>
          <w:tcPr>
            <w:tcW w:w="308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7F919F3C" w14:textId="77777777" w:rsidR="00B43DDC" w:rsidRDefault="00000000">
            <w:r>
              <w:rPr>
                <w:sz w:val="20"/>
                <w:szCs w:val="20"/>
              </w:rPr>
              <w:t>WHO, 2024</w:t>
            </w:r>
          </w:p>
        </w:tc>
      </w:tr>
    </w:tbl>
    <w:p w14:paraId="023D7156" w14:textId="77777777" w:rsidR="00B43DDC" w:rsidRDefault="00B43DDC">
      <w:pPr>
        <w:spacing w:before="60" w:after="60"/>
      </w:pPr>
    </w:p>
    <w:p w14:paraId="7EBE5B90" w14:textId="555CDFD8" w:rsidR="00B43DDC" w:rsidRDefault="00BD2B8D" w:rsidP="006E32D2">
      <w:pPr>
        <w:spacing w:after="160" w:line="360" w:lineRule="auto"/>
        <w:jc w:val="both"/>
      </w:pPr>
      <w:r>
        <w:t xml:space="preserve">The data presented in Table 1 shows the level of severe and structural deprivation that predates the 2023-24 escalation. The high unemployment rate (46.4 per cent) and the fact that nearly 80 per cent of the population relies on humanitarian aid are a result of the severe economic impact of over fifteen years of blockade on Gaza's economy and productive capacity (Roy, 2016; OCHA, 2024). </w:t>
      </w:r>
      <w:r>
        <w:lastRenderedPageBreak/>
        <w:t xml:space="preserve">The discovery of less than five per cent of Gaza's groundwater suitable for human consumption is important in this regard, for the analysis in particular, as a condition of deprivation is a likely condition that triggers the humanitarian catastrophe frame when reported in international media, as it addresses a deprivation that engages the moral evaluation function identified by </w:t>
      </w:r>
      <w:proofErr w:type="spellStart"/>
      <w:r>
        <w:t>Entman</w:t>
      </w:r>
      <w:proofErr w:type="spellEnd"/>
      <w:r>
        <w:t xml:space="preserve"> (1993).</w:t>
      </w:r>
      <w:r w:rsidR="006E32D2">
        <w:t xml:space="preserve"> </w:t>
      </w:r>
      <w:r>
        <w:t>Table 2 shows casualty and displacement figures for the five biggest escalation periods during 2008-24. This data helps substantiate the empirical fact that the escalation in 2023-24 is not a new round of violence but rather a qualitative jump in the conflict's scale.</w:t>
      </w:r>
    </w:p>
    <w:p w14:paraId="0E141BE6" w14:textId="2C01CD59" w:rsidR="00D22A4A" w:rsidRDefault="00D22A4A" w:rsidP="00D22A4A">
      <w:pPr>
        <w:pStyle w:val="Caption"/>
        <w:keepNext/>
      </w:pPr>
      <w:bookmarkStart w:id="39" w:name="_Toc230274515"/>
      <w:r>
        <w:t xml:space="preserve">Table </w:t>
      </w:r>
      <w:fldSimple w:instr=" SEQ Table \* ARABIC ">
        <w:r w:rsidR="00C40FF9">
          <w:rPr>
            <w:noProof/>
          </w:rPr>
          <w:t>2</w:t>
        </w:r>
      </w:fldSimple>
      <w:r>
        <w:t xml:space="preserve">: </w:t>
      </w:r>
      <w:r w:rsidRPr="003D74C0">
        <w:t>Casualty and Displacement Data by Escalation Period (2008–2024)</w:t>
      </w:r>
      <w:bookmarkEnd w:id="39"/>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1760"/>
        <w:gridCol w:w="1760"/>
        <w:gridCol w:w="1640"/>
        <w:gridCol w:w="1600"/>
      </w:tblGrid>
      <w:tr w:rsidR="00B43DDC" w14:paraId="0E72F48A" w14:textId="77777777">
        <w:tc>
          <w:tcPr>
            <w:tcW w:w="2600" w:type="dxa"/>
            <w:tcBorders>
              <w:top w:val="single" w:sz="4" w:space="0" w:color="000000"/>
              <w:left w:val="single" w:sz="4" w:space="0" w:color="000000"/>
              <w:bottom w:val="single" w:sz="4" w:space="0" w:color="000000"/>
              <w:right w:val="single" w:sz="4" w:space="0" w:color="000000"/>
            </w:tcBorders>
            <w:shd w:val="clear" w:color="auto" w:fill="C0C0C0"/>
            <w:tcMar>
              <w:top w:w="80" w:type="dxa"/>
              <w:left w:w="120" w:type="dxa"/>
              <w:bottom w:w="80" w:type="dxa"/>
              <w:right w:w="120" w:type="dxa"/>
            </w:tcMar>
            <w:vAlign w:val="center"/>
          </w:tcPr>
          <w:p w14:paraId="67CBAC5B" w14:textId="77777777" w:rsidR="00B43DDC" w:rsidRDefault="00000000">
            <w:pPr>
              <w:jc w:val="center"/>
            </w:pPr>
            <w:r>
              <w:rPr>
                <w:b/>
                <w:bCs/>
                <w:sz w:val="20"/>
                <w:szCs w:val="20"/>
              </w:rPr>
              <w:t>Conflict Period</w:t>
            </w:r>
          </w:p>
        </w:tc>
        <w:tc>
          <w:tcPr>
            <w:tcW w:w="1760" w:type="dxa"/>
            <w:tcBorders>
              <w:top w:val="single" w:sz="4" w:space="0" w:color="000000"/>
              <w:left w:val="single" w:sz="4" w:space="0" w:color="000000"/>
              <w:bottom w:val="single" w:sz="4" w:space="0" w:color="000000"/>
              <w:right w:val="single" w:sz="4" w:space="0" w:color="000000"/>
            </w:tcBorders>
            <w:shd w:val="clear" w:color="auto" w:fill="C0C0C0"/>
            <w:tcMar>
              <w:top w:w="80" w:type="dxa"/>
              <w:left w:w="120" w:type="dxa"/>
              <w:bottom w:w="80" w:type="dxa"/>
              <w:right w:w="120" w:type="dxa"/>
            </w:tcMar>
            <w:vAlign w:val="center"/>
          </w:tcPr>
          <w:p w14:paraId="0BA00171" w14:textId="77777777" w:rsidR="00B43DDC" w:rsidRDefault="00000000">
            <w:pPr>
              <w:jc w:val="center"/>
            </w:pPr>
            <w:r>
              <w:rPr>
                <w:b/>
                <w:bCs/>
                <w:sz w:val="20"/>
                <w:szCs w:val="20"/>
              </w:rPr>
              <w:t>Palestinian Fatalities</w:t>
            </w:r>
          </w:p>
        </w:tc>
        <w:tc>
          <w:tcPr>
            <w:tcW w:w="1760" w:type="dxa"/>
            <w:tcBorders>
              <w:top w:val="single" w:sz="4" w:space="0" w:color="000000"/>
              <w:left w:val="single" w:sz="4" w:space="0" w:color="000000"/>
              <w:bottom w:val="single" w:sz="4" w:space="0" w:color="000000"/>
              <w:right w:val="single" w:sz="4" w:space="0" w:color="000000"/>
            </w:tcBorders>
            <w:shd w:val="clear" w:color="auto" w:fill="C0C0C0"/>
            <w:tcMar>
              <w:top w:w="80" w:type="dxa"/>
              <w:left w:w="120" w:type="dxa"/>
              <w:bottom w:w="80" w:type="dxa"/>
              <w:right w:w="120" w:type="dxa"/>
            </w:tcMar>
            <w:vAlign w:val="center"/>
          </w:tcPr>
          <w:p w14:paraId="1464127D" w14:textId="77777777" w:rsidR="00B43DDC" w:rsidRDefault="00000000">
            <w:pPr>
              <w:jc w:val="center"/>
            </w:pPr>
            <w:r>
              <w:rPr>
                <w:b/>
                <w:bCs/>
                <w:sz w:val="20"/>
                <w:szCs w:val="20"/>
              </w:rPr>
              <w:t>Injured</w:t>
            </w:r>
          </w:p>
        </w:tc>
        <w:tc>
          <w:tcPr>
            <w:tcW w:w="1640" w:type="dxa"/>
            <w:tcBorders>
              <w:top w:val="single" w:sz="4" w:space="0" w:color="000000"/>
              <w:left w:val="single" w:sz="4" w:space="0" w:color="000000"/>
              <w:bottom w:val="single" w:sz="4" w:space="0" w:color="000000"/>
              <w:right w:val="single" w:sz="4" w:space="0" w:color="000000"/>
            </w:tcBorders>
            <w:shd w:val="clear" w:color="auto" w:fill="C0C0C0"/>
            <w:tcMar>
              <w:top w:w="80" w:type="dxa"/>
              <w:left w:w="120" w:type="dxa"/>
              <w:bottom w:w="80" w:type="dxa"/>
              <w:right w:w="120" w:type="dxa"/>
            </w:tcMar>
            <w:vAlign w:val="center"/>
          </w:tcPr>
          <w:p w14:paraId="5E25EEFE" w14:textId="77777777" w:rsidR="00B43DDC" w:rsidRDefault="00000000">
            <w:pPr>
              <w:jc w:val="center"/>
            </w:pPr>
            <w:r>
              <w:rPr>
                <w:b/>
                <w:bCs/>
                <w:sz w:val="20"/>
                <w:szCs w:val="20"/>
              </w:rPr>
              <w:t>Displaced</w:t>
            </w:r>
          </w:p>
        </w:tc>
        <w:tc>
          <w:tcPr>
            <w:tcW w:w="1600" w:type="dxa"/>
            <w:tcBorders>
              <w:top w:val="single" w:sz="4" w:space="0" w:color="000000"/>
              <w:left w:val="single" w:sz="4" w:space="0" w:color="000000"/>
              <w:bottom w:val="single" w:sz="4" w:space="0" w:color="000000"/>
              <w:right w:val="single" w:sz="4" w:space="0" w:color="000000"/>
            </w:tcBorders>
            <w:shd w:val="clear" w:color="auto" w:fill="C0C0C0"/>
            <w:tcMar>
              <w:top w:w="80" w:type="dxa"/>
              <w:left w:w="120" w:type="dxa"/>
              <w:bottom w:w="80" w:type="dxa"/>
              <w:right w:w="120" w:type="dxa"/>
            </w:tcMar>
            <w:vAlign w:val="center"/>
          </w:tcPr>
          <w:p w14:paraId="704E7F34" w14:textId="77777777" w:rsidR="00B43DDC" w:rsidRDefault="00000000">
            <w:pPr>
              <w:jc w:val="center"/>
            </w:pPr>
            <w:r>
              <w:rPr>
                <w:b/>
                <w:bCs/>
                <w:sz w:val="20"/>
                <w:szCs w:val="20"/>
              </w:rPr>
              <w:t>Source</w:t>
            </w:r>
          </w:p>
        </w:tc>
      </w:tr>
      <w:tr w:rsidR="00B43DDC" w14:paraId="6A5698DA" w14:textId="77777777">
        <w:tc>
          <w:tcPr>
            <w:tcW w:w="26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6B1C1557" w14:textId="77777777" w:rsidR="00B43DDC" w:rsidRDefault="00000000">
            <w:r>
              <w:rPr>
                <w:sz w:val="20"/>
                <w:szCs w:val="20"/>
              </w:rPr>
              <w:t>Operation Cast Lead (Dec 2008–Jan 2009)</w:t>
            </w:r>
          </w:p>
        </w:tc>
        <w:tc>
          <w:tcPr>
            <w:tcW w:w="176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2F6BA830" w14:textId="77777777" w:rsidR="00B43DDC" w:rsidRDefault="00000000">
            <w:pPr>
              <w:jc w:val="center"/>
            </w:pPr>
            <w:r>
              <w:rPr>
                <w:sz w:val="20"/>
                <w:szCs w:val="20"/>
              </w:rPr>
              <w:t>1,391</w:t>
            </w:r>
          </w:p>
        </w:tc>
        <w:tc>
          <w:tcPr>
            <w:tcW w:w="176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501FFD66" w14:textId="77777777" w:rsidR="00B43DDC" w:rsidRDefault="00000000">
            <w:pPr>
              <w:jc w:val="center"/>
            </w:pPr>
            <w:r>
              <w:rPr>
                <w:sz w:val="20"/>
                <w:szCs w:val="20"/>
              </w:rPr>
              <w:t>5,380</w:t>
            </w:r>
          </w:p>
        </w:tc>
        <w:tc>
          <w:tcPr>
            <w:tcW w:w="16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7649023A" w14:textId="77777777" w:rsidR="00B43DDC" w:rsidRDefault="00000000">
            <w:pPr>
              <w:jc w:val="center"/>
            </w:pPr>
            <w:r>
              <w:rPr>
                <w:sz w:val="20"/>
                <w:szCs w:val="20"/>
              </w:rPr>
              <w:t>~50,000</w:t>
            </w:r>
          </w:p>
        </w:tc>
        <w:tc>
          <w:tcPr>
            <w:tcW w:w="16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69E7528B" w14:textId="77777777" w:rsidR="00B43DDC" w:rsidRDefault="00000000">
            <w:r>
              <w:rPr>
                <w:sz w:val="20"/>
                <w:szCs w:val="20"/>
              </w:rPr>
              <w:t>B’Tselem, 2024</w:t>
            </w:r>
          </w:p>
        </w:tc>
      </w:tr>
      <w:tr w:rsidR="00B43DDC" w14:paraId="05E66BAF" w14:textId="77777777">
        <w:tc>
          <w:tcPr>
            <w:tcW w:w="26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1732D4CA" w14:textId="77777777" w:rsidR="00B43DDC" w:rsidRDefault="00000000">
            <w:r>
              <w:rPr>
                <w:sz w:val="20"/>
                <w:szCs w:val="20"/>
              </w:rPr>
              <w:t>Operation Pillar of Defense (Nov 2012)</w:t>
            </w:r>
          </w:p>
        </w:tc>
        <w:tc>
          <w:tcPr>
            <w:tcW w:w="17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141A0AF3" w14:textId="77777777" w:rsidR="00B43DDC" w:rsidRDefault="00000000">
            <w:pPr>
              <w:jc w:val="center"/>
            </w:pPr>
            <w:r>
              <w:rPr>
                <w:sz w:val="20"/>
                <w:szCs w:val="20"/>
              </w:rPr>
              <w:t>167</w:t>
            </w:r>
          </w:p>
        </w:tc>
        <w:tc>
          <w:tcPr>
            <w:tcW w:w="17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4622BD48" w14:textId="77777777" w:rsidR="00B43DDC" w:rsidRDefault="00000000">
            <w:pPr>
              <w:jc w:val="center"/>
            </w:pPr>
            <w:r>
              <w:rPr>
                <w:sz w:val="20"/>
                <w:szCs w:val="20"/>
              </w:rPr>
              <w:t>1,200+</w:t>
            </w:r>
          </w:p>
        </w:tc>
        <w:tc>
          <w:tcPr>
            <w:tcW w:w="164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DC4450E" w14:textId="77777777" w:rsidR="00B43DDC" w:rsidRDefault="00000000">
            <w:pPr>
              <w:jc w:val="center"/>
            </w:pPr>
            <w:r>
              <w:rPr>
                <w:sz w:val="20"/>
                <w:szCs w:val="20"/>
              </w:rPr>
              <w:t>~12,000</w:t>
            </w:r>
          </w:p>
        </w:tc>
        <w:tc>
          <w:tcPr>
            <w:tcW w:w="16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2D99F205" w14:textId="77777777" w:rsidR="00B43DDC" w:rsidRDefault="00000000">
            <w:r>
              <w:rPr>
                <w:sz w:val="20"/>
                <w:szCs w:val="20"/>
              </w:rPr>
              <w:t>OCHA</w:t>
            </w:r>
          </w:p>
        </w:tc>
      </w:tr>
      <w:tr w:rsidR="00B43DDC" w14:paraId="79F28280" w14:textId="77777777">
        <w:tc>
          <w:tcPr>
            <w:tcW w:w="26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73BDBF16" w14:textId="77777777" w:rsidR="00B43DDC" w:rsidRDefault="00000000">
            <w:r>
              <w:rPr>
                <w:sz w:val="20"/>
                <w:szCs w:val="20"/>
              </w:rPr>
              <w:t>Operation Protective Edge (Jul–Aug 2014)</w:t>
            </w:r>
          </w:p>
        </w:tc>
        <w:tc>
          <w:tcPr>
            <w:tcW w:w="176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515896C4" w14:textId="77777777" w:rsidR="00B43DDC" w:rsidRDefault="00000000">
            <w:pPr>
              <w:jc w:val="center"/>
            </w:pPr>
            <w:r>
              <w:rPr>
                <w:sz w:val="20"/>
                <w:szCs w:val="20"/>
              </w:rPr>
              <w:t>2,251</w:t>
            </w:r>
          </w:p>
        </w:tc>
        <w:tc>
          <w:tcPr>
            <w:tcW w:w="176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4E9CCD12" w14:textId="77777777" w:rsidR="00B43DDC" w:rsidRDefault="00000000">
            <w:pPr>
              <w:jc w:val="center"/>
            </w:pPr>
            <w:r>
              <w:rPr>
                <w:sz w:val="20"/>
                <w:szCs w:val="20"/>
              </w:rPr>
              <w:t>11,231</w:t>
            </w:r>
          </w:p>
        </w:tc>
        <w:tc>
          <w:tcPr>
            <w:tcW w:w="16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70740CA5" w14:textId="77777777" w:rsidR="00B43DDC" w:rsidRDefault="00000000">
            <w:pPr>
              <w:jc w:val="center"/>
            </w:pPr>
            <w:r>
              <w:rPr>
                <w:sz w:val="20"/>
                <w:szCs w:val="20"/>
              </w:rPr>
              <w:t>500,000+</w:t>
            </w:r>
          </w:p>
        </w:tc>
        <w:tc>
          <w:tcPr>
            <w:tcW w:w="16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2F15FF5E" w14:textId="77777777" w:rsidR="00B43DDC" w:rsidRDefault="00000000">
            <w:r>
              <w:rPr>
                <w:sz w:val="20"/>
                <w:szCs w:val="20"/>
              </w:rPr>
              <w:t>UN HRC, 2015</w:t>
            </w:r>
          </w:p>
        </w:tc>
      </w:tr>
      <w:tr w:rsidR="00B43DDC" w14:paraId="7040F801" w14:textId="77777777">
        <w:tc>
          <w:tcPr>
            <w:tcW w:w="26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7856208" w14:textId="77777777" w:rsidR="00B43DDC" w:rsidRDefault="00000000">
            <w:r>
              <w:rPr>
                <w:sz w:val="20"/>
                <w:szCs w:val="20"/>
              </w:rPr>
              <w:t>May 2021 Escalation</w:t>
            </w:r>
          </w:p>
        </w:tc>
        <w:tc>
          <w:tcPr>
            <w:tcW w:w="17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030EBEBA" w14:textId="77777777" w:rsidR="00B43DDC" w:rsidRDefault="00000000">
            <w:pPr>
              <w:jc w:val="center"/>
            </w:pPr>
            <w:r>
              <w:rPr>
                <w:sz w:val="20"/>
                <w:szCs w:val="20"/>
              </w:rPr>
              <w:t>256</w:t>
            </w:r>
          </w:p>
        </w:tc>
        <w:tc>
          <w:tcPr>
            <w:tcW w:w="17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7B795AC" w14:textId="77777777" w:rsidR="00B43DDC" w:rsidRDefault="00000000">
            <w:pPr>
              <w:jc w:val="center"/>
            </w:pPr>
            <w:r>
              <w:rPr>
                <w:sz w:val="20"/>
                <w:szCs w:val="20"/>
              </w:rPr>
              <w:t>1,948</w:t>
            </w:r>
          </w:p>
        </w:tc>
        <w:tc>
          <w:tcPr>
            <w:tcW w:w="164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08F5D8DB" w14:textId="77777777" w:rsidR="00B43DDC" w:rsidRDefault="00000000">
            <w:pPr>
              <w:jc w:val="center"/>
            </w:pPr>
            <w:r>
              <w:rPr>
                <w:sz w:val="20"/>
                <w:szCs w:val="20"/>
              </w:rPr>
              <w:t>72,000+</w:t>
            </w:r>
          </w:p>
        </w:tc>
        <w:tc>
          <w:tcPr>
            <w:tcW w:w="16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A8D0D38" w14:textId="77777777" w:rsidR="00B43DDC" w:rsidRDefault="00000000">
            <w:r>
              <w:rPr>
                <w:sz w:val="20"/>
                <w:szCs w:val="20"/>
              </w:rPr>
              <w:t>OCHA, 2021</w:t>
            </w:r>
          </w:p>
        </w:tc>
      </w:tr>
      <w:tr w:rsidR="00B43DDC" w14:paraId="1AF174E8" w14:textId="77777777">
        <w:tc>
          <w:tcPr>
            <w:tcW w:w="26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07773654" w14:textId="77777777" w:rsidR="00B43DDC" w:rsidRDefault="00000000">
            <w:r>
              <w:rPr>
                <w:sz w:val="20"/>
                <w:szCs w:val="20"/>
              </w:rPr>
              <w:t>Al-Aqsa Flood (Oct 2023–present)</w:t>
            </w:r>
          </w:p>
        </w:tc>
        <w:tc>
          <w:tcPr>
            <w:tcW w:w="176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036BE0A7" w14:textId="77777777" w:rsidR="00B43DDC" w:rsidRDefault="00000000">
            <w:pPr>
              <w:jc w:val="center"/>
            </w:pPr>
            <w:r>
              <w:rPr>
                <w:sz w:val="20"/>
                <w:szCs w:val="20"/>
              </w:rPr>
              <w:t>43,000+ (verified)</w:t>
            </w:r>
          </w:p>
        </w:tc>
        <w:tc>
          <w:tcPr>
            <w:tcW w:w="176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5C96199E" w14:textId="77777777" w:rsidR="00B43DDC" w:rsidRDefault="00000000">
            <w:pPr>
              <w:jc w:val="center"/>
            </w:pPr>
            <w:r>
              <w:rPr>
                <w:sz w:val="20"/>
                <w:szCs w:val="20"/>
              </w:rPr>
              <w:t>100,000+</w:t>
            </w:r>
          </w:p>
        </w:tc>
        <w:tc>
          <w:tcPr>
            <w:tcW w:w="164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0561B006" w14:textId="77777777" w:rsidR="00B43DDC" w:rsidRDefault="00000000">
            <w:pPr>
              <w:jc w:val="center"/>
            </w:pPr>
            <w:r>
              <w:rPr>
                <w:sz w:val="20"/>
                <w:szCs w:val="20"/>
              </w:rPr>
              <w:t>1.9 million (85%+)</w:t>
            </w:r>
          </w:p>
        </w:tc>
        <w:tc>
          <w:tcPr>
            <w:tcW w:w="16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0FAA7FB1" w14:textId="77777777" w:rsidR="00B43DDC" w:rsidRDefault="00000000">
            <w:r>
              <w:rPr>
                <w:sz w:val="20"/>
                <w:szCs w:val="20"/>
              </w:rPr>
              <w:t>OCHA, 2024</w:t>
            </w:r>
          </w:p>
        </w:tc>
      </w:tr>
    </w:tbl>
    <w:p w14:paraId="3C1EA653" w14:textId="77777777" w:rsidR="00B43DDC" w:rsidRDefault="00B43DDC">
      <w:pPr>
        <w:spacing w:before="60" w:after="60"/>
      </w:pPr>
    </w:p>
    <w:p w14:paraId="66157D76" w14:textId="4FE6C0B1" w:rsidR="00BD2B8D" w:rsidRDefault="00BD2B8D" w:rsidP="00BD2B8D">
      <w:pPr>
        <w:spacing w:after="160" w:line="360" w:lineRule="auto"/>
        <w:jc w:val="both"/>
      </w:pPr>
      <w:r>
        <w:t>The trend visible in Table 2 is of analytical importance in two ways. Firstly, it shows the escalating harm across various steps, which is often understated when media reports on the individual escalations, as they are focused on the current crisis and not the prehistory of it. Khalidi (2020) has argued that this is a framing decision with political implications, as it is a way to systematically remove the structural nature of the conflict from discussion, while decontextualising individual escalations from the overall process of Palestinian dispossession. Second, the unusually large number of casualty and displacement statistics that emerged in the 2023-24 conflict – verified deaths of more than 43,000 and more than 85% of the population being displaced – substantiate the qualitative claim, found throughout the corpus, that this escalation is a humanitarian emergency of a different nature than its predecessors.</w:t>
      </w:r>
    </w:p>
    <w:p w14:paraId="1C19F705" w14:textId="77777777" w:rsidR="00C95778" w:rsidRDefault="00C95778">
      <w:pPr>
        <w:rPr>
          <w:b/>
          <w:bCs/>
          <w:color w:val="000000"/>
        </w:rPr>
      </w:pPr>
      <w:r>
        <w:br w:type="page"/>
      </w:r>
    </w:p>
    <w:p w14:paraId="5F6164C7" w14:textId="6FEAC1CE" w:rsidR="00B43DDC" w:rsidRDefault="00000000">
      <w:pPr>
        <w:pStyle w:val="Heading2"/>
      </w:pPr>
      <w:bookmarkStart w:id="40" w:name="_Toc230275144"/>
      <w:r>
        <w:lastRenderedPageBreak/>
        <w:t>4.3 Frame Analysis: Dominant and Contested Frames</w:t>
      </w:r>
      <w:bookmarkEnd w:id="40"/>
    </w:p>
    <w:p w14:paraId="5CD04D32" w14:textId="2F10DC5F" w:rsidR="00B43DDC" w:rsidRDefault="00BD2B8D" w:rsidP="003F14EE">
      <w:pPr>
        <w:spacing w:after="160" w:line="360" w:lineRule="auto"/>
        <w:jc w:val="both"/>
      </w:pPr>
      <w:r>
        <w:t>The analysis of the corpus revealed four major frames used in the three periods of escalation in relation to the Gaza conflict. Three of these factors – humanitarian catastrophe, violation of international law and asymmetric resistance – were dominant in the sense defined in Chapter 3, that is, they were present in many outlet types and across many escalation periods. One frame (Israeli security) was more of a counter-frame and was dominant in a subset of Western and Israeli-aligned media, but was the subject of constant contestation by the three dominant frames. Table 3 provides an overview of the features and political affiliations of each frame.</w:t>
      </w:r>
    </w:p>
    <w:p w14:paraId="4F86D566" w14:textId="6C5B622D" w:rsidR="003F14EE" w:rsidRDefault="003F14EE" w:rsidP="003F14EE">
      <w:pPr>
        <w:pStyle w:val="Caption"/>
        <w:keepNext/>
      </w:pPr>
      <w:bookmarkStart w:id="41" w:name="_Toc230274516"/>
      <w:r>
        <w:t xml:space="preserve">Table </w:t>
      </w:r>
      <w:fldSimple w:instr=" SEQ Table \* ARABIC ">
        <w:r w:rsidR="00C40FF9">
          <w:rPr>
            <w:noProof/>
          </w:rPr>
          <w:t>3</w:t>
        </w:r>
      </w:fldSimple>
      <w:r>
        <w:t xml:space="preserve">: </w:t>
      </w:r>
      <w:r w:rsidRPr="00D11F34">
        <w:t>Dominant Frames in International Media Coverage of Gaza (2008–2024)</w:t>
      </w:r>
      <w:bookmarkEnd w:id="41"/>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2400"/>
        <w:gridCol w:w="2360"/>
        <w:gridCol w:w="2400"/>
      </w:tblGrid>
      <w:tr w:rsidR="00B43DDC" w14:paraId="69A1B31E" w14:textId="77777777">
        <w:tc>
          <w:tcPr>
            <w:tcW w:w="2200" w:type="dxa"/>
            <w:tcBorders>
              <w:top w:val="single" w:sz="4" w:space="0" w:color="000000"/>
              <w:left w:val="single" w:sz="4" w:space="0" w:color="000000"/>
              <w:bottom w:val="single" w:sz="4" w:space="0" w:color="000000"/>
              <w:right w:val="single" w:sz="4" w:space="0" w:color="000000"/>
            </w:tcBorders>
            <w:shd w:val="clear" w:color="auto" w:fill="C0C0C0"/>
            <w:tcMar>
              <w:top w:w="80" w:type="dxa"/>
              <w:left w:w="120" w:type="dxa"/>
              <w:bottom w:w="80" w:type="dxa"/>
              <w:right w:w="120" w:type="dxa"/>
            </w:tcMar>
            <w:vAlign w:val="center"/>
          </w:tcPr>
          <w:p w14:paraId="3E2E5460" w14:textId="77777777" w:rsidR="00B43DDC" w:rsidRDefault="00000000">
            <w:pPr>
              <w:jc w:val="center"/>
            </w:pPr>
            <w:r>
              <w:rPr>
                <w:b/>
                <w:bCs/>
                <w:sz w:val="20"/>
                <w:szCs w:val="20"/>
              </w:rPr>
              <w:t>Frame</w:t>
            </w:r>
          </w:p>
        </w:tc>
        <w:tc>
          <w:tcPr>
            <w:tcW w:w="2400" w:type="dxa"/>
            <w:tcBorders>
              <w:top w:val="single" w:sz="4" w:space="0" w:color="000000"/>
              <w:left w:val="single" w:sz="4" w:space="0" w:color="000000"/>
              <w:bottom w:val="single" w:sz="4" w:space="0" w:color="000000"/>
              <w:right w:val="single" w:sz="4" w:space="0" w:color="000000"/>
            </w:tcBorders>
            <w:shd w:val="clear" w:color="auto" w:fill="C0C0C0"/>
            <w:tcMar>
              <w:top w:w="80" w:type="dxa"/>
              <w:left w:w="120" w:type="dxa"/>
              <w:bottom w:w="80" w:type="dxa"/>
              <w:right w:w="120" w:type="dxa"/>
            </w:tcMar>
            <w:vAlign w:val="center"/>
          </w:tcPr>
          <w:p w14:paraId="1267BF38" w14:textId="77777777" w:rsidR="00B43DDC" w:rsidRDefault="00000000">
            <w:pPr>
              <w:jc w:val="center"/>
            </w:pPr>
            <w:r>
              <w:rPr>
                <w:b/>
                <w:bCs/>
                <w:sz w:val="20"/>
                <w:szCs w:val="20"/>
              </w:rPr>
              <w:t>Defining Features</w:t>
            </w:r>
          </w:p>
        </w:tc>
        <w:tc>
          <w:tcPr>
            <w:tcW w:w="2360" w:type="dxa"/>
            <w:tcBorders>
              <w:top w:val="single" w:sz="4" w:space="0" w:color="000000"/>
              <w:left w:val="single" w:sz="4" w:space="0" w:color="000000"/>
              <w:bottom w:val="single" w:sz="4" w:space="0" w:color="000000"/>
              <w:right w:val="single" w:sz="4" w:space="0" w:color="000000"/>
            </w:tcBorders>
            <w:shd w:val="clear" w:color="auto" w:fill="C0C0C0"/>
            <w:tcMar>
              <w:top w:w="80" w:type="dxa"/>
              <w:left w:w="120" w:type="dxa"/>
              <w:bottom w:w="80" w:type="dxa"/>
              <w:right w:w="120" w:type="dxa"/>
            </w:tcMar>
            <w:vAlign w:val="center"/>
          </w:tcPr>
          <w:p w14:paraId="311F80BD" w14:textId="77777777" w:rsidR="00B43DDC" w:rsidRDefault="00000000">
            <w:pPr>
              <w:jc w:val="center"/>
            </w:pPr>
            <w:r>
              <w:rPr>
                <w:b/>
                <w:bCs/>
                <w:sz w:val="20"/>
                <w:szCs w:val="20"/>
              </w:rPr>
              <w:t>Dominant Outlets</w:t>
            </w:r>
          </w:p>
        </w:tc>
        <w:tc>
          <w:tcPr>
            <w:tcW w:w="2400" w:type="dxa"/>
            <w:tcBorders>
              <w:top w:val="single" w:sz="4" w:space="0" w:color="000000"/>
              <w:left w:val="single" w:sz="4" w:space="0" w:color="000000"/>
              <w:bottom w:val="single" w:sz="4" w:space="0" w:color="000000"/>
              <w:right w:val="single" w:sz="4" w:space="0" w:color="000000"/>
            </w:tcBorders>
            <w:shd w:val="clear" w:color="auto" w:fill="C0C0C0"/>
            <w:tcMar>
              <w:top w:w="80" w:type="dxa"/>
              <w:left w:w="120" w:type="dxa"/>
              <w:bottom w:w="80" w:type="dxa"/>
              <w:right w:w="120" w:type="dxa"/>
            </w:tcMar>
            <w:vAlign w:val="center"/>
          </w:tcPr>
          <w:p w14:paraId="209AB1BF" w14:textId="77777777" w:rsidR="00B43DDC" w:rsidRDefault="00000000">
            <w:pPr>
              <w:jc w:val="center"/>
            </w:pPr>
            <w:r>
              <w:rPr>
                <w:b/>
                <w:bCs/>
                <w:sz w:val="20"/>
                <w:szCs w:val="20"/>
              </w:rPr>
              <w:t>Political Consequence</w:t>
            </w:r>
          </w:p>
        </w:tc>
      </w:tr>
      <w:tr w:rsidR="00B43DDC" w14:paraId="29CF3F57" w14:textId="77777777">
        <w:tc>
          <w:tcPr>
            <w:tcW w:w="22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7B6171B8" w14:textId="77777777" w:rsidR="00B43DDC" w:rsidRDefault="00000000">
            <w:r>
              <w:rPr>
                <w:sz w:val="20"/>
                <w:szCs w:val="20"/>
              </w:rPr>
              <w:t>Humanitarian Catastrophe</w:t>
            </w:r>
          </w:p>
        </w:tc>
        <w:tc>
          <w:tcPr>
            <w:tcW w:w="24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6454884B" w14:textId="77777777" w:rsidR="00B43DDC" w:rsidRDefault="00000000">
            <w:r>
              <w:rPr>
                <w:sz w:val="20"/>
                <w:szCs w:val="20"/>
              </w:rPr>
              <w:t>Civilian death toll; infrastructure destruction; child victims; siege conditions</w:t>
            </w:r>
          </w:p>
        </w:tc>
        <w:tc>
          <w:tcPr>
            <w:tcW w:w="236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19FD872E" w14:textId="77777777" w:rsidR="00B43DDC" w:rsidRDefault="00000000">
            <w:r>
              <w:rPr>
                <w:sz w:val="20"/>
                <w:szCs w:val="20"/>
              </w:rPr>
              <w:t>BBC, Al Jazeera, OCHA reports</w:t>
            </w:r>
          </w:p>
        </w:tc>
        <w:tc>
          <w:tcPr>
            <w:tcW w:w="24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2E37B2B3" w14:textId="77777777" w:rsidR="00B43DDC" w:rsidRDefault="00000000">
            <w:r>
              <w:rPr>
                <w:sz w:val="20"/>
                <w:szCs w:val="20"/>
              </w:rPr>
              <w:t>Humanitarian funding; UN resolutions; diplomatic pressure</w:t>
            </w:r>
          </w:p>
        </w:tc>
      </w:tr>
      <w:tr w:rsidR="00B43DDC" w14:paraId="719057E7" w14:textId="77777777">
        <w:tc>
          <w:tcPr>
            <w:tcW w:w="22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0EBDBCEF" w14:textId="77777777" w:rsidR="00B43DDC" w:rsidRDefault="00000000">
            <w:r>
              <w:rPr>
                <w:sz w:val="20"/>
                <w:szCs w:val="20"/>
              </w:rPr>
              <w:t>International Law Violation</w:t>
            </w:r>
          </w:p>
        </w:tc>
        <w:tc>
          <w:tcPr>
            <w:tcW w:w="24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2005C583" w14:textId="77777777" w:rsidR="00B43DDC" w:rsidRDefault="00000000">
            <w:r>
              <w:rPr>
                <w:sz w:val="20"/>
                <w:szCs w:val="20"/>
              </w:rPr>
              <w:t>Collective punishment; proportionality; protection of civilians; occupation law</w:t>
            </w:r>
          </w:p>
        </w:tc>
        <w:tc>
          <w:tcPr>
            <w:tcW w:w="23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1876FE45" w14:textId="77777777" w:rsidR="00B43DDC" w:rsidRDefault="00000000">
            <w:r>
              <w:rPr>
                <w:sz w:val="20"/>
                <w:szCs w:val="20"/>
              </w:rPr>
              <w:t>UN HRC, Amnesty, Human Rights Watch, Guardian</w:t>
            </w:r>
          </w:p>
        </w:tc>
        <w:tc>
          <w:tcPr>
            <w:tcW w:w="24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28056214" w14:textId="77777777" w:rsidR="00B43DDC" w:rsidRDefault="00000000">
            <w:r>
              <w:rPr>
                <w:sz w:val="20"/>
                <w:szCs w:val="20"/>
              </w:rPr>
              <w:t>ICJ proceedings; arms embargo demands; sanctions advocacy</w:t>
            </w:r>
          </w:p>
        </w:tc>
      </w:tr>
      <w:tr w:rsidR="00B43DDC" w14:paraId="0643CA2B" w14:textId="77777777">
        <w:tc>
          <w:tcPr>
            <w:tcW w:w="22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4989336D" w14:textId="77777777" w:rsidR="00B43DDC" w:rsidRDefault="00000000">
            <w:r>
              <w:rPr>
                <w:sz w:val="20"/>
                <w:szCs w:val="20"/>
              </w:rPr>
              <w:t>Asymmetric Resistance</w:t>
            </w:r>
          </w:p>
        </w:tc>
        <w:tc>
          <w:tcPr>
            <w:tcW w:w="24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2F86B5D7" w14:textId="77777777" w:rsidR="00B43DDC" w:rsidRDefault="00000000">
            <w:r>
              <w:rPr>
                <w:sz w:val="20"/>
                <w:szCs w:val="20"/>
              </w:rPr>
              <w:t>Power imbalance; blockade as context; civilian shield; right to resist</w:t>
            </w:r>
          </w:p>
        </w:tc>
        <w:tc>
          <w:tcPr>
            <w:tcW w:w="236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5DFAB964" w14:textId="77777777" w:rsidR="00B43DDC" w:rsidRDefault="00000000">
            <w:r>
              <w:rPr>
                <w:sz w:val="20"/>
                <w:szCs w:val="20"/>
              </w:rPr>
              <w:t>Al Jazeera Arabic, RT, some European media</w:t>
            </w:r>
          </w:p>
        </w:tc>
        <w:tc>
          <w:tcPr>
            <w:tcW w:w="24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76A72BAF" w14:textId="77777777" w:rsidR="00B43DDC" w:rsidRDefault="00000000">
            <w:r>
              <w:rPr>
                <w:sz w:val="20"/>
                <w:szCs w:val="20"/>
              </w:rPr>
              <w:t>BDS movement; solidarity activism; Palestinian statehood recognition</w:t>
            </w:r>
          </w:p>
        </w:tc>
      </w:tr>
      <w:tr w:rsidR="00B43DDC" w14:paraId="124A8636" w14:textId="77777777">
        <w:tc>
          <w:tcPr>
            <w:tcW w:w="22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71AF952E" w14:textId="77777777" w:rsidR="00B43DDC" w:rsidRDefault="00000000">
            <w:r>
              <w:rPr>
                <w:sz w:val="20"/>
                <w:szCs w:val="20"/>
              </w:rPr>
              <w:t>Israeli Security (Counter-frame)</w:t>
            </w:r>
          </w:p>
        </w:tc>
        <w:tc>
          <w:tcPr>
            <w:tcW w:w="24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77FB0370" w14:textId="77777777" w:rsidR="00B43DDC" w:rsidRDefault="00000000">
            <w:r>
              <w:rPr>
                <w:sz w:val="20"/>
                <w:szCs w:val="20"/>
              </w:rPr>
              <w:t>Hamas terrorism; hostages; October 7 attacks; right to self-defence</w:t>
            </w:r>
          </w:p>
        </w:tc>
        <w:tc>
          <w:tcPr>
            <w:tcW w:w="23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73BFD818" w14:textId="77777777" w:rsidR="00B43DDC" w:rsidRDefault="00000000">
            <w:r>
              <w:rPr>
                <w:sz w:val="20"/>
                <w:szCs w:val="20"/>
              </w:rPr>
              <w:t>NYT, Fox News, Israeli govt communications</w:t>
            </w:r>
          </w:p>
        </w:tc>
        <w:tc>
          <w:tcPr>
            <w:tcW w:w="24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21D20D07" w14:textId="77777777" w:rsidR="00B43DDC" w:rsidRDefault="00000000">
            <w:r>
              <w:rPr>
                <w:sz w:val="20"/>
                <w:szCs w:val="20"/>
              </w:rPr>
              <w:t>US arms supply continuation; UNSC vetoes; Western diplomatic support</w:t>
            </w:r>
          </w:p>
        </w:tc>
      </w:tr>
    </w:tbl>
    <w:p w14:paraId="500B6FBA" w14:textId="77777777" w:rsidR="00B43DDC" w:rsidRDefault="00B43DDC">
      <w:pPr>
        <w:spacing w:before="60" w:after="60"/>
      </w:pPr>
    </w:p>
    <w:p w14:paraId="61CA0F8E" w14:textId="77777777" w:rsidR="00B43DDC" w:rsidRDefault="00000000">
      <w:pPr>
        <w:pStyle w:val="Heading3"/>
      </w:pPr>
      <w:bookmarkStart w:id="42" w:name="_Toc230275145"/>
      <w:r>
        <w:t>4.3.1 The Humanitarian Catastrophe Frame</w:t>
      </w:r>
      <w:bookmarkEnd w:id="42"/>
    </w:p>
    <w:p w14:paraId="5F35768C" w14:textId="77777777" w:rsidR="00BD2B8D" w:rsidRDefault="00BD2B8D" w:rsidP="00BD2B8D">
      <w:pPr>
        <w:spacing w:after="160" w:line="360" w:lineRule="auto"/>
        <w:jc w:val="both"/>
      </w:pPr>
      <w:r>
        <w:t xml:space="preserve">The humanitarian catastrophe frame was the most universal frame in the corpus, in all three escalation periods and all outlet types. In its standard form, this frame refers mainly to the harm done to civilians, blames that harm on the Israeli military, and in some cases, on the blockade itself as a structure, and negatively evaluates the causing of civilian harm, implying, if not outright recommending, a resolution of the form of ceasefire, humanitarian access, or international intervention. Lexical markers used in this frame within the corpus are frequent recurrences of the following terms: 'civilian casualties,' 'war crimes,' 'collective punishment,' 'famine,' and </w:t>
      </w:r>
      <w:r>
        <w:lastRenderedPageBreak/>
        <w:t>'unprecedented,' and the consistent foregrounding of child victims, medical workers, and destroyed hospitals.</w:t>
      </w:r>
    </w:p>
    <w:p w14:paraId="2111CD60" w14:textId="77777777" w:rsidR="00BD2B8D" w:rsidRDefault="00BD2B8D" w:rsidP="00BD2B8D">
      <w:pPr>
        <w:spacing w:after="160" w:line="360" w:lineRule="auto"/>
        <w:jc w:val="both"/>
      </w:pPr>
      <w:r>
        <w:t>This "frame" was already predominant in the 2008-09 corpus, but was also used with less intensity and visual immediacy than in the subsequent corpora. OCHA (2009) reporting for this period focused on access restrictions, which made it difficult to provide adequate humanitarian response, a focus that was also reflected in the subsequent UN Human Rights Council investigation (UN HRC, 2009) and in the Goldstone Report's pronouncements on violations of international humanitarian law. The humanitarian catastrophe frame is expressed with a much greater intensity in the 2014 corpus, given the number and magnitude of the civilian deaths (2,251 Palestinian deaths; the UN documented 1,462 as civilians according to UN HRC, 2015) and the devastation of infrastructure, which was estimated by OCHA as taking decades to rebuild. The frame comes to its extreme in the 2023-24 corpus, with several international outlets using it to characterise a situation as a war crime rather than a humanitarian catastrophe, which demonstrates the development of this frame to overlap with the humanitarian catastrophe frame over time.</w:t>
      </w:r>
    </w:p>
    <w:p w14:paraId="12CA1949" w14:textId="5EC7832E" w:rsidR="00BD2B8D" w:rsidRDefault="00BD2B8D" w:rsidP="00BD2B8D">
      <w:pPr>
        <w:spacing w:after="160" w:line="360" w:lineRule="auto"/>
        <w:jc w:val="both"/>
      </w:pPr>
      <w:r>
        <w:t>It is striking to see how this frame developed over the three periods, both in its claims and in the fact that it has increasingly adopted international legal language and that it has included a discussion of the structure of the blockade as part of its causal attribution and less so as individual escalations. This change is not only a reflection of the actual deterioration of the material situation, but also the result of 15 years of framing that has accustomed audiences to Gaza's humanitarian situation.</w:t>
      </w:r>
    </w:p>
    <w:p w14:paraId="714A04EA" w14:textId="77777777" w:rsidR="00B43DDC" w:rsidRDefault="00000000">
      <w:pPr>
        <w:pStyle w:val="Heading3"/>
      </w:pPr>
      <w:bookmarkStart w:id="43" w:name="_Toc230275146"/>
      <w:r>
        <w:t>4.3.2 The International Law Violation Frame</w:t>
      </w:r>
      <w:bookmarkEnd w:id="43"/>
    </w:p>
    <w:p w14:paraId="5409C672" w14:textId="77777777" w:rsidR="00BD2B8D" w:rsidRDefault="00BD2B8D" w:rsidP="00BD2B8D">
      <w:pPr>
        <w:spacing w:after="160" w:line="360" w:lineRule="auto"/>
        <w:jc w:val="both"/>
      </w:pPr>
      <w:r>
        <w:t>There was a considerable drop in the frame for violation of international law from the 2008-09 corpus to the later ones, but it has become one of the two consistently used frames in the 2023-24 material. The conflict is presented as a legal issue – alleged breaches of international humanitarian law – and not as a primarily humanitarian or political issue. Causal attribution emphasises the actions of specific individuals in military and political decision-making more than the structural conditions. The moral evaluation is based upon the language of international law, such as the Fourth Geneva Convention, the Rome Statute and the Genocide Convention. Legal accountability mechanisms, international investigations, arms embargoes, and sanctions are recommended remedies.</w:t>
      </w:r>
    </w:p>
    <w:p w14:paraId="13DFE2D0" w14:textId="09AE1710" w:rsidR="00BD2B8D" w:rsidRDefault="00BD2B8D" w:rsidP="00BD2B8D">
      <w:pPr>
        <w:spacing w:after="160" w:line="360" w:lineRule="auto"/>
        <w:jc w:val="both"/>
      </w:pPr>
      <w:r>
        <w:lastRenderedPageBreak/>
        <w:t>This frame's salience has been rising in part due to the rising role of international legal bodies in the Gaza conflict. The creation of a Commission of Inquiry by the UN Human Rights Council after Operation Cast Lead, the Goldstone Report (UN HRC, 2009) and the more recent ICJ proceedings (ICJ, 2024) have offered authoritative institutional backing to the use of international legal frames to describe the conflict, creating a body of official documents that can be used as a framing tool by journalists and advocacy organisations. As the UN Special Rapporteur from 2007 to 2010, Falk (2010) played a key role in bringing this frame to normalcy in international institutional discourse by constantly framing the blockade and military actions in terms of specific articles of international humanitarian law.</w:t>
      </w:r>
    </w:p>
    <w:p w14:paraId="0F69F7CB" w14:textId="77777777" w:rsidR="00B43DDC" w:rsidRDefault="00000000">
      <w:pPr>
        <w:pStyle w:val="Heading3"/>
      </w:pPr>
      <w:bookmarkStart w:id="44" w:name="_Toc230275147"/>
      <w:r>
        <w:t>4.3.3 The Asymmetric Resistance Frame</w:t>
      </w:r>
      <w:bookmarkEnd w:id="44"/>
    </w:p>
    <w:p w14:paraId="75FAF7CE" w14:textId="77777777" w:rsidR="00BD2B8D" w:rsidRDefault="00BD2B8D" w:rsidP="00BD2B8D">
      <w:pPr>
        <w:spacing w:after="160" w:line="360" w:lineRule="auto"/>
        <w:jc w:val="both"/>
      </w:pPr>
      <w:r>
        <w:t>The asymmetric resistance frame has been the most politically debated of the three dominant frames found in the analysis and is therefore less homogeneously distributed over the outlet types than the other two. This frame makes the conflict visible first and foremost as a power dynamic between an occupying state and a besieged civilian population, frames the conflict as the problem of blockade and occupation, as a structural situation, rather than individual military acts, moralizes the conflict by tending to justify Palestinian armed resistance as a response to the injustice of the blockade and occupation, and suggests solutions that involve the lifting of the blockade, the end of occupation, and the recognition of Palestinian political rights.</w:t>
      </w:r>
    </w:p>
    <w:p w14:paraId="27C41DC6" w14:textId="2CCA2AB5" w:rsidR="00BD2B8D" w:rsidRDefault="00BD2B8D" w:rsidP="00BD2B8D">
      <w:pPr>
        <w:spacing w:after="160" w:line="360" w:lineRule="auto"/>
        <w:jc w:val="both"/>
      </w:pPr>
      <w:r>
        <w:t>This frame is most consistently used by Al Jazeera English, and by international civil society groups such as Amnesty International, Human Rights Watch and the BDS movement, and is most systematically challenged by the Israeli security counter-frame and by those mainstream Western outlets which employ a more state-centric framework in their coverage of the conflict. Hayes (2023) shows that social media content created by Palestinian users and advocacy groups has significantly boosted this frame, and it is used in a predictable and consistent manner, and is disseminated to audiences beyond the traditional target readership of mainstream media.</w:t>
      </w:r>
    </w:p>
    <w:p w14:paraId="1E0EA72A" w14:textId="77777777" w:rsidR="00B43DDC" w:rsidRDefault="00000000">
      <w:pPr>
        <w:pStyle w:val="Heading3"/>
      </w:pPr>
      <w:bookmarkStart w:id="45" w:name="_Toc230275148"/>
      <w:r>
        <w:t>4.3.4 The Israeli Security Counter-Frame</w:t>
      </w:r>
      <w:bookmarkEnd w:id="45"/>
    </w:p>
    <w:p w14:paraId="263CEBD8" w14:textId="77777777" w:rsidR="00BD2B8D" w:rsidRDefault="00BD2B8D" w:rsidP="00BD2B8D">
      <w:pPr>
        <w:spacing w:after="160" w:line="360" w:lineRule="auto"/>
        <w:jc w:val="both"/>
      </w:pPr>
      <w:r>
        <w:t xml:space="preserve">The Israeli security frame defines the conflict primarily in terms of Israeli security requirements and Hamas's status as a terrorist organisation, attributes the conflict's origins to Hamas's attacks (most recently and dramatically the October 7, 2023 attack), applies a moral evaluation that emphasises Israeli victims and delegitimises Hamas's political authority, and implies remedies </w:t>
      </w:r>
      <w:r>
        <w:lastRenderedPageBreak/>
        <w:t>including the military defeat of Hamas and the return of hostages. This is the dominant frame in Israeli governmental communications, in major parts of the media in the United States, and in the official communication of most Western governments, during the initial stages of each escalation. It serves as the main counter-frame to the humanitarian catastrophe and international law violation frames.</w:t>
      </w:r>
    </w:p>
    <w:p w14:paraId="6ECB18BB" w14:textId="73BF0A49" w:rsidR="00BD2B8D" w:rsidRDefault="00BD2B8D" w:rsidP="00BD2B8D">
      <w:pPr>
        <w:spacing w:after="160" w:line="360" w:lineRule="auto"/>
        <w:jc w:val="both"/>
      </w:pPr>
      <w:r>
        <w:t>What is analytically important about the Israeli security frame in 2023-24 is that it was still the most dominant in the outlets mentioned at the beginning of the escalation, but then lost its power to control or displace the humanitarian catastrophe and international law violation frames, as the number of civilian casualties was no longer hidden. Media outlets that initially tended to report the conflict from a security perspective slowly started adding other frames, such as humanitarian and legal ones, as the casualty count grew, as suggested by Wolfsfeld (2004), who says that the amount of humanitarian suffering can be enough to shift the framing preferences of powerful state actors.</w:t>
      </w:r>
    </w:p>
    <w:p w14:paraId="603C52FC" w14:textId="77777777" w:rsidR="00B43DDC" w:rsidRDefault="00000000">
      <w:pPr>
        <w:pStyle w:val="Heading2"/>
      </w:pPr>
      <w:bookmarkStart w:id="46" w:name="_Toc230275149"/>
      <w:r>
        <w:t>4.4 Frame Evolution Across the Three Escalation Periods</w:t>
      </w:r>
      <w:bookmarkEnd w:id="46"/>
    </w:p>
    <w:p w14:paraId="5DA2C594" w14:textId="77777777" w:rsidR="00BD2B8D" w:rsidRDefault="00BD2B8D" w:rsidP="00BD2B8D">
      <w:pPr>
        <w:spacing w:after="160" w:line="360" w:lineRule="auto"/>
        <w:jc w:val="both"/>
      </w:pPr>
      <w:r>
        <w:t>A comparison of the three escalation periods shows that there is a clear trend in the framing development. The humanitarian catastrophe frame was prominent in 2008-09, but was not as embedded in institutional and legal terms as it was later. There was no major social media activity in this period, so the frame was created and disseminated mainly by institutional actors – international news organisations, UN agencies and established advocacy groups. The framing competition was mainly between two competing frames, the humanitarian catastrophe frame and the Israeli security counter-frame; the asymmetric resistance frame and the international law violation frame were there, but not yet systematically institutionalised.</w:t>
      </w:r>
    </w:p>
    <w:p w14:paraId="4882AE1C" w14:textId="77777777" w:rsidR="00BD2B8D" w:rsidRDefault="00BD2B8D" w:rsidP="00BD2B8D">
      <w:pPr>
        <w:spacing w:after="160" w:line="360" w:lineRule="auto"/>
        <w:jc w:val="both"/>
      </w:pPr>
      <w:r>
        <w:t>The institutional legacy of the Goldstone Report and subsequent UN investigations, which furnished authoritative documentation of specific alleged violations, further boosted the international law violation frame by the 2014 period. The rise of social media also began to impact the framing landscape in this period, as Palestinian users are able to post pictures and reports that the Israeli military no longer has the same control over as it did in the past over journalist access. Tufekci (2017) attributes the substantial growth of social media's influence on conflict advocacy to about this time.</w:t>
      </w:r>
    </w:p>
    <w:p w14:paraId="44B33541" w14:textId="7AB3D377" w:rsidR="00BD2B8D" w:rsidRDefault="00BD2B8D" w:rsidP="00BD2B8D">
      <w:pPr>
        <w:spacing w:after="160" w:line="360" w:lineRule="auto"/>
        <w:jc w:val="both"/>
      </w:pPr>
      <w:r>
        <w:lastRenderedPageBreak/>
        <w:t>The frame situation in 2023-24—characterised by the scale of the escalation, the unparalleled number of casualties, the reported collapse of the health system, and the ICJ proceedings—created a frame situation in which the humanitarian catastrophe and the violation of international law were granted a degree of international institutionalisation that they had not been granted before. Formal recognition of Palestinian statehood by the European governments, the suspension of arms exports by the UK and the ICJ provisional measures order (ICJ, 2024) are all political outcomes that are consistent with and plausibly resultant of the sustained use of these frames over fifteen years of escalation.</w:t>
      </w:r>
    </w:p>
    <w:p w14:paraId="0BD76A70" w14:textId="77777777" w:rsidR="00B43DDC" w:rsidRDefault="00000000">
      <w:pPr>
        <w:pStyle w:val="Heading2"/>
      </w:pPr>
      <w:bookmarkStart w:id="47" w:name="_Toc230275150"/>
      <w:r>
        <w:t>4.5 Political Consequences of Dominant Frames</w:t>
      </w:r>
      <w:bookmarkEnd w:id="47"/>
    </w:p>
    <w:p w14:paraId="6165BF4C" w14:textId="04C91665" w:rsidR="00B43DDC" w:rsidRDefault="00BD2B8D" w:rsidP="00C40FF9">
      <w:pPr>
        <w:spacing w:after="160" w:line="360" w:lineRule="auto"/>
        <w:jc w:val="both"/>
      </w:pPr>
      <w:r>
        <w:t>Table 4 lists the key political steps undertaken by international actors in response to the escalation of 2023–24. These are evaluated with respect to the framing analysis in Section 4.3.</w:t>
      </w:r>
    </w:p>
    <w:p w14:paraId="780D2A5B" w14:textId="330B60DF" w:rsidR="00C40FF9" w:rsidRDefault="00C40FF9" w:rsidP="00C40FF9">
      <w:pPr>
        <w:pStyle w:val="Caption"/>
        <w:keepNext/>
      </w:pPr>
      <w:bookmarkStart w:id="48" w:name="_Toc230274517"/>
      <w:r>
        <w:t xml:space="preserve">Table </w:t>
      </w:r>
      <w:fldSimple w:instr=" SEQ Table \* ARABIC ">
        <w:r>
          <w:rPr>
            <w:noProof/>
          </w:rPr>
          <w:t>4</w:t>
        </w:r>
      </w:fldSimple>
      <w:r>
        <w:t xml:space="preserve">: </w:t>
      </w:r>
      <w:r w:rsidRPr="00B62854">
        <w:t>International Political Responses to the 2023–24 Escalation</w:t>
      </w:r>
      <w:bookmarkEnd w:id="48"/>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00"/>
        <w:gridCol w:w="2960"/>
        <w:gridCol w:w="2200"/>
        <w:gridCol w:w="2200"/>
      </w:tblGrid>
      <w:tr w:rsidR="00B43DDC" w14:paraId="476BC2EF" w14:textId="77777777">
        <w:tc>
          <w:tcPr>
            <w:tcW w:w="2000" w:type="dxa"/>
            <w:tcBorders>
              <w:top w:val="single" w:sz="4" w:space="0" w:color="000000"/>
              <w:left w:val="single" w:sz="4" w:space="0" w:color="000000"/>
              <w:bottom w:val="single" w:sz="4" w:space="0" w:color="000000"/>
              <w:right w:val="single" w:sz="4" w:space="0" w:color="000000"/>
            </w:tcBorders>
            <w:shd w:val="clear" w:color="auto" w:fill="C0C0C0"/>
            <w:tcMar>
              <w:top w:w="80" w:type="dxa"/>
              <w:left w:w="120" w:type="dxa"/>
              <w:bottom w:w="80" w:type="dxa"/>
              <w:right w:w="120" w:type="dxa"/>
            </w:tcMar>
            <w:vAlign w:val="center"/>
          </w:tcPr>
          <w:p w14:paraId="1768ABB1" w14:textId="77777777" w:rsidR="00B43DDC" w:rsidRDefault="00000000">
            <w:pPr>
              <w:jc w:val="center"/>
            </w:pPr>
            <w:r>
              <w:rPr>
                <w:b/>
                <w:bCs/>
                <w:sz w:val="20"/>
                <w:szCs w:val="20"/>
              </w:rPr>
              <w:t>Actor</w:t>
            </w:r>
          </w:p>
        </w:tc>
        <w:tc>
          <w:tcPr>
            <w:tcW w:w="2960" w:type="dxa"/>
            <w:tcBorders>
              <w:top w:val="single" w:sz="4" w:space="0" w:color="000000"/>
              <w:left w:val="single" w:sz="4" w:space="0" w:color="000000"/>
              <w:bottom w:val="single" w:sz="4" w:space="0" w:color="000000"/>
              <w:right w:val="single" w:sz="4" w:space="0" w:color="000000"/>
            </w:tcBorders>
            <w:shd w:val="clear" w:color="auto" w:fill="C0C0C0"/>
            <w:tcMar>
              <w:top w:w="80" w:type="dxa"/>
              <w:left w:w="120" w:type="dxa"/>
              <w:bottom w:w="80" w:type="dxa"/>
              <w:right w:w="120" w:type="dxa"/>
            </w:tcMar>
            <w:vAlign w:val="center"/>
          </w:tcPr>
          <w:p w14:paraId="258F5A0D" w14:textId="77777777" w:rsidR="00B43DDC" w:rsidRDefault="00000000">
            <w:pPr>
              <w:jc w:val="center"/>
            </w:pPr>
            <w:r>
              <w:rPr>
                <w:b/>
                <w:bCs/>
                <w:sz w:val="20"/>
                <w:szCs w:val="20"/>
              </w:rPr>
              <w:t>Action</w:t>
            </w:r>
          </w:p>
        </w:tc>
        <w:tc>
          <w:tcPr>
            <w:tcW w:w="2200" w:type="dxa"/>
            <w:tcBorders>
              <w:top w:val="single" w:sz="4" w:space="0" w:color="000000"/>
              <w:left w:val="single" w:sz="4" w:space="0" w:color="000000"/>
              <w:bottom w:val="single" w:sz="4" w:space="0" w:color="000000"/>
              <w:right w:val="single" w:sz="4" w:space="0" w:color="000000"/>
            </w:tcBorders>
            <w:shd w:val="clear" w:color="auto" w:fill="C0C0C0"/>
            <w:tcMar>
              <w:top w:w="80" w:type="dxa"/>
              <w:left w:w="120" w:type="dxa"/>
              <w:bottom w:w="80" w:type="dxa"/>
              <w:right w:w="120" w:type="dxa"/>
            </w:tcMar>
            <w:vAlign w:val="center"/>
          </w:tcPr>
          <w:p w14:paraId="077E79C5" w14:textId="77777777" w:rsidR="00B43DDC" w:rsidRDefault="00000000">
            <w:pPr>
              <w:jc w:val="center"/>
            </w:pPr>
            <w:r>
              <w:rPr>
                <w:b/>
                <w:bCs/>
                <w:sz w:val="20"/>
                <w:szCs w:val="20"/>
              </w:rPr>
              <w:t>Period</w:t>
            </w:r>
          </w:p>
        </w:tc>
        <w:tc>
          <w:tcPr>
            <w:tcW w:w="2200" w:type="dxa"/>
            <w:tcBorders>
              <w:top w:val="single" w:sz="4" w:space="0" w:color="000000"/>
              <w:left w:val="single" w:sz="4" w:space="0" w:color="000000"/>
              <w:bottom w:val="single" w:sz="4" w:space="0" w:color="000000"/>
              <w:right w:val="single" w:sz="4" w:space="0" w:color="000000"/>
            </w:tcBorders>
            <w:shd w:val="clear" w:color="auto" w:fill="C0C0C0"/>
            <w:tcMar>
              <w:top w:w="80" w:type="dxa"/>
              <w:left w:w="120" w:type="dxa"/>
              <w:bottom w:w="80" w:type="dxa"/>
              <w:right w:w="120" w:type="dxa"/>
            </w:tcMar>
            <w:vAlign w:val="center"/>
          </w:tcPr>
          <w:p w14:paraId="1A123444" w14:textId="77777777" w:rsidR="00B43DDC" w:rsidRDefault="00000000">
            <w:pPr>
              <w:jc w:val="center"/>
            </w:pPr>
            <w:r>
              <w:rPr>
                <w:b/>
                <w:bCs/>
                <w:sz w:val="20"/>
                <w:szCs w:val="20"/>
              </w:rPr>
              <w:t>Source</w:t>
            </w:r>
          </w:p>
        </w:tc>
      </w:tr>
      <w:tr w:rsidR="00B43DDC" w14:paraId="1473C425" w14:textId="77777777">
        <w:tc>
          <w:tcPr>
            <w:tcW w:w="20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0C222770" w14:textId="77777777" w:rsidR="00B43DDC" w:rsidRDefault="00000000">
            <w:r>
              <w:rPr>
                <w:sz w:val="20"/>
                <w:szCs w:val="20"/>
              </w:rPr>
              <w:t>UNGA</w:t>
            </w:r>
          </w:p>
        </w:tc>
        <w:tc>
          <w:tcPr>
            <w:tcW w:w="296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154FBAA6" w14:textId="77777777" w:rsidR="00B43DDC" w:rsidRDefault="00000000">
            <w:r>
              <w:rPr>
                <w:sz w:val="20"/>
                <w:szCs w:val="20"/>
              </w:rPr>
              <w:t>ES-10/21: Humanitarian ceasefire demand</w:t>
            </w:r>
          </w:p>
        </w:tc>
        <w:tc>
          <w:tcPr>
            <w:tcW w:w="22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2EB8264E" w14:textId="77777777" w:rsidR="00B43DDC" w:rsidRDefault="00000000">
            <w:r>
              <w:rPr>
                <w:sz w:val="20"/>
                <w:szCs w:val="20"/>
              </w:rPr>
              <w:t>October 2023</w:t>
            </w:r>
          </w:p>
        </w:tc>
        <w:tc>
          <w:tcPr>
            <w:tcW w:w="22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69A25A6C" w14:textId="77777777" w:rsidR="00B43DDC" w:rsidRDefault="00000000">
            <w:r>
              <w:rPr>
                <w:sz w:val="20"/>
                <w:szCs w:val="20"/>
              </w:rPr>
              <w:t>UNGA, 2023</w:t>
            </w:r>
          </w:p>
        </w:tc>
      </w:tr>
      <w:tr w:rsidR="00B43DDC" w14:paraId="7C21B945" w14:textId="77777777">
        <w:tc>
          <w:tcPr>
            <w:tcW w:w="20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83869ED" w14:textId="77777777" w:rsidR="00B43DDC" w:rsidRDefault="00000000">
            <w:r>
              <w:rPr>
                <w:sz w:val="20"/>
                <w:szCs w:val="20"/>
              </w:rPr>
              <w:t>ICJ</w:t>
            </w:r>
          </w:p>
        </w:tc>
        <w:tc>
          <w:tcPr>
            <w:tcW w:w="29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744828F" w14:textId="77777777" w:rsidR="00B43DDC" w:rsidRDefault="00000000">
            <w:r>
              <w:rPr>
                <w:sz w:val="20"/>
                <w:szCs w:val="20"/>
              </w:rPr>
              <w:t>Provisional measures in South Africa v. Israel (genocide case)</w:t>
            </w:r>
          </w:p>
        </w:tc>
        <w:tc>
          <w:tcPr>
            <w:tcW w:w="22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4A51A381" w14:textId="77777777" w:rsidR="00B43DDC" w:rsidRDefault="00000000">
            <w:r>
              <w:rPr>
                <w:sz w:val="20"/>
                <w:szCs w:val="20"/>
              </w:rPr>
              <w:t>January 2024</w:t>
            </w:r>
          </w:p>
        </w:tc>
        <w:tc>
          <w:tcPr>
            <w:tcW w:w="22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8FA79DC" w14:textId="77777777" w:rsidR="00B43DDC" w:rsidRDefault="00000000">
            <w:r>
              <w:rPr>
                <w:sz w:val="20"/>
                <w:szCs w:val="20"/>
              </w:rPr>
              <w:t>ICJ, 2024</w:t>
            </w:r>
          </w:p>
        </w:tc>
      </w:tr>
      <w:tr w:rsidR="00B43DDC" w14:paraId="50D3C0C7" w14:textId="77777777">
        <w:tc>
          <w:tcPr>
            <w:tcW w:w="20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34CD8FCB" w14:textId="77777777" w:rsidR="00B43DDC" w:rsidRDefault="00000000">
            <w:r>
              <w:rPr>
                <w:sz w:val="20"/>
                <w:szCs w:val="20"/>
              </w:rPr>
              <w:t>EU Commission</w:t>
            </w:r>
          </w:p>
        </w:tc>
        <w:tc>
          <w:tcPr>
            <w:tcW w:w="296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4D121ECF" w14:textId="77777777" w:rsidR="00B43DDC" w:rsidRDefault="00000000">
            <w:r>
              <w:rPr>
                <w:sz w:val="20"/>
                <w:szCs w:val="20"/>
              </w:rPr>
              <w:t>€25m emergency humanitarian aid package</w:t>
            </w:r>
          </w:p>
        </w:tc>
        <w:tc>
          <w:tcPr>
            <w:tcW w:w="22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4B34D0A7" w14:textId="77777777" w:rsidR="00B43DDC" w:rsidRDefault="00000000">
            <w:r>
              <w:rPr>
                <w:sz w:val="20"/>
                <w:szCs w:val="20"/>
              </w:rPr>
              <w:t>October 2023</w:t>
            </w:r>
          </w:p>
        </w:tc>
        <w:tc>
          <w:tcPr>
            <w:tcW w:w="22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44356E42" w14:textId="77777777" w:rsidR="00B43DDC" w:rsidRDefault="00000000">
            <w:r>
              <w:rPr>
                <w:sz w:val="20"/>
                <w:szCs w:val="20"/>
              </w:rPr>
              <w:t>EU Commission, 2023</w:t>
            </w:r>
          </w:p>
        </w:tc>
      </w:tr>
      <w:tr w:rsidR="00B43DDC" w14:paraId="5F90204E" w14:textId="77777777">
        <w:tc>
          <w:tcPr>
            <w:tcW w:w="20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6977439" w14:textId="77777777" w:rsidR="00B43DDC" w:rsidRDefault="00000000">
            <w:r>
              <w:rPr>
                <w:sz w:val="20"/>
                <w:szCs w:val="20"/>
              </w:rPr>
              <w:t>Spain, Ireland, Norway</w:t>
            </w:r>
          </w:p>
        </w:tc>
        <w:tc>
          <w:tcPr>
            <w:tcW w:w="29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B52980E" w14:textId="77777777" w:rsidR="00B43DDC" w:rsidRDefault="00000000">
            <w:r>
              <w:rPr>
                <w:sz w:val="20"/>
                <w:szCs w:val="20"/>
              </w:rPr>
              <w:t>Formal recognition of Palestinian statehood</w:t>
            </w:r>
          </w:p>
        </w:tc>
        <w:tc>
          <w:tcPr>
            <w:tcW w:w="22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0AA039C4" w14:textId="77777777" w:rsidR="00B43DDC" w:rsidRDefault="00000000">
            <w:r>
              <w:rPr>
                <w:sz w:val="20"/>
                <w:szCs w:val="20"/>
              </w:rPr>
              <w:t>May 2024</w:t>
            </w:r>
          </w:p>
        </w:tc>
        <w:tc>
          <w:tcPr>
            <w:tcW w:w="22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FD4BE2A" w14:textId="77777777" w:rsidR="00B43DDC" w:rsidRDefault="00000000">
            <w:r>
              <w:rPr>
                <w:sz w:val="20"/>
                <w:szCs w:val="20"/>
              </w:rPr>
              <w:t>BBC, 2024</w:t>
            </w:r>
          </w:p>
        </w:tc>
      </w:tr>
      <w:tr w:rsidR="00B43DDC" w14:paraId="1FF294A0" w14:textId="77777777">
        <w:tc>
          <w:tcPr>
            <w:tcW w:w="20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37344261" w14:textId="77777777" w:rsidR="00B43DDC" w:rsidRDefault="00000000">
            <w:r>
              <w:rPr>
                <w:sz w:val="20"/>
                <w:szCs w:val="20"/>
              </w:rPr>
              <w:t>UNRWA donor states</w:t>
            </w:r>
          </w:p>
        </w:tc>
        <w:tc>
          <w:tcPr>
            <w:tcW w:w="296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6AE3483F" w14:textId="77777777" w:rsidR="00B43DDC" w:rsidRDefault="00000000">
            <w:r>
              <w:rPr>
                <w:sz w:val="20"/>
                <w:szCs w:val="20"/>
              </w:rPr>
              <w:t>Temporary funding suspension following Israeli allegations; partially reversed</w:t>
            </w:r>
          </w:p>
        </w:tc>
        <w:tc>
          <w:tcPr>
            <w:tcW w:w="22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2C577DE4" w14:textId="77777777" w:rsidR="00B43DDC" w:rsidRDefault="00000000">
            <w:r>
              <w:rPr>
                <w:sz w:val="20"/>
                <w:szCs w:val="20"/>
              </w:rPr>
              <w:t>Jan–Mar 2024</w:t>
            </w:r>
          </w:p>
        </w:tc>
        <w:tc>
          <w:tcPr>
            <w:tcW w:w="22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338567F9" w14:textId="77777777" w:rsidR="00B43DDC" w:rsidRDefault="00000000">
            <w:r>
              <w:rPr>
                <w:sz w:val="20"/>
                <w:szCs w:val="20"/>
              </w:rPr>
              <w:t>UNRWA, 2024</w:t>
            </w:r>
          </w:p>
        </w:tc>
      </w:tr>
      <w:tr w:rsidR="00B43DDC" w14:paraId="50A3B949" w14:textId="77777777">
        <w:tc>
          <w:tcPr>
            <w:tcW w:w="20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83C7772" w14:textId="77777777" w:rsidR="00B43DDC" w:rsidRDefault="00000000">
            <w:r>
              <w:rPr>
                <w:sz w:val="20"/>
                <w:szCs w:val="20"/>
              </w:rPr>
              <w:t>UK Government</w:t>
            </w:r>
          </w:p>
        </w:tc>
        <w:tc>
          <w:tcPr>
            <w:tcW w:w="29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02BF2889" w14:textId="77777777" w:rsidR="00B43DDC" w:rsidRDefault="00000000">
            <w:r>
              <w:rPr>
                <w:sz w:val="20"/>
                <w:szCs w:val="20"/>
              </w:rPr>
              <w:t>Suspension of 30 arms export licences to Israel</w:t>
            </w:r>
          </w:p>
        </w:tc>
        <w:tc>
          <w:tcPr>
            <w:tcW w:w="22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7A82B442" w14:textId="77777777" w:rsidR="00B43DDC" w:rsidRDefault="00000000">
            <w:r>
              <w:rPr>
                <w:sz w:val="20"/>
                <w:szCs w:val="20"/>
              </w:rPr>
              <w:t>September 2024</w:t>
            </w:r>
          </w:p>
        </w:tc>
        <w:tc>
          <w:tcPr>
            <w:tcW w:w="22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034A336E" w14:textId="77777777" w:rsidR="00B43DDC" w:rsidRDefault="00000000">
            <w:r>
              <w:rPr>
                <w:sz w:val="20"/>
                <w:szCs w:val="20"/>
              </w:rPr>
              <w:t>UK Govt, 2024</w:t>
            </w:r>
          </w:p>
        </w:tc>
      </w:tr>
    </w:tbl>
    <w:p w14:paraId="3407F373" w14:textId="77777777" w:rsidR="00B43DDC" w:rsidRDefault="00B43DDC">
      <w:pPr>
        <w:spacing w:before="60" w:after="60"/>
      </w:pPr>
    </w:p>
    <w:p w14:paraId="3EC1D6D8" w14:textId="77777777" w:rsidR="00DD4241" w:rsidRDefault="00DD4241" w:rsidP="00DD4241">
      <w:pPr>
        <w:spacing w:after="160" w:line="360" w:lineRule="auto"/>
        <w:jc w:val="both"/>
      </w:pPr>
      <w:r>
        <w:t xml:space="preserve">The trend of political responses listed in Table 4 is largely in line with the framing theory and symbolic power theory. Actions that can be most directly attributed to the humanitarian catastrophe frame are: humanitarian funding decisions and the UNGA resolution for a humanitarian ceasefire. The ICJ proceedings and the European arms export restrictions are most directly related to the international law violation frame, as they refer to legal terms and legal institutional processes which have been normalised in the last 15 years through legal framing. The </w:t>
      </w:r>
      <w:r>
        <w:lastRenderedPageBreak/>
        <w:t>granting of Palestinian statehood by Spain, Ireland and Norway is most likely related to the asymmetric resistance frame as it reflects a form of political recognition for Palestinian claims that extends beyond humanitarian action to accept the political nature of the conflict in structural terms.</w:t>
      </w:r>
    </w:p>
    <w:p w14:paraId="2D5BEDFE" w14:textId="77777777" w:rsidR="00DD4241" w:rsidRDefault="00DD4241" w:rsidP="00DD4241">
      <w:pPr>
        <w:spacing w:after="160" w:line="360" w:lineRule="auto"/>
        <w:jc w:val="both"/>
      </w:pPr>
      <w:r>
        <w:t>Yet, as Weiss (2007) would suggest, the symbolic power has not been fully translated into substantive political change, and the process has been challenged. During the period covered by this report, the US veto has prevented the UNSC from taking any action. The provisional measures order issued by the ICJ was not applied. In spite of the international consensus highlighted in the UNGA resolution, humanitarian access throughout the escalation remained severely limited. This pattern replicates the one I have detected in previous studies and confirms that media framing can produce political effects, in the sense that the actions described in Table 4 would not have happened if there had not been the framing dynamics identified above, but that it does not, in itself, produce geopolitical effects, in the sense that the geopolitical interests are structuring the political effects of framing.</w:t>
      </w:r>
    </w:p>
    <w:p w14:paraId="3AC5F4BA" w14:textId="77777777" w:rsidR="00DD4241" w:rsidRDefault="00DD4241" w:rsidP="00DD4241">
      <w:pPr>
        <w:spacing w:after="160" w:line="360" w:lineRule="auto"/>
        <w:jc w:val="both"/>
      </w:pPr>
    </w:p>
    <w:p w14:paraId="574A5A09" w14:textId="77777777" w:rsidR="00DD4241" w:rsidRDefault="00DD4241" w:rsidP="00DD4241">
      <w:pPr>
        <w:spacing w:after="160" w:line="360" w:lineRule="auto"/>
        <w:jc w:val="both"/>
      </w:pPr>
    </w:p>
    <w:p w14:paraId="5A6CFCA2" w14:textId="77777777" w:rsidR="00DD4241" w:rsidRDefault="00DD4241" w:rsidP="00DD4241">
      <w:pPr>
        <w:spacing w:after="160" w:line="360" w:lineRule="auto"/>
        <w:jc w:val="both"/>
      </w:pPr>
    </w:p>
    <w:p w14:paraId="2224CC3D" w14:textId="77777777" w:rsidR="00DD4241" w:rsidRDefault="00DD4241" w:rsidP="00DD4241">
      <w:pPr>
        <w:spacing w:after="160" w:line="360" w:lineRule="auto"/>
        <w:jc w:val="both"/>
      </w:pPr>
    </w:p>
    <w:p w14:paraId="78BBFD86" w14:textId="77777777" w:rsidR="00DD4241" w:rsidRDefault="00DD4241" w:rsidP="00DD4241">
      <w:pPr>
        <w:spacing w:after="160" w:line="360" w:lineRule="auto"/>
        <w:jc w:val="both"/>
      </w:pPr>
    </w:p>
    <w:p w14:paraId="14B44498" w14:textId="77777777" w:rsidR="00B43DDC" w:rsidRDefault="00000000">
      <w:r>
        <w:br w:type="page"/>
      </w:r>
    </w:p>
    <w:p w14:paraId="62B83762" w14:textId="77777777" w:rsidR="00B43DDC" w:rsidRDefault="00000000">
      <w:pPr>
        <w:pStyle w:val="Heading1"/>
      </w:pPr>
      <w:bookmarkStart w:id="49" w:name="_Toc230275151"/>
      <w:r>
        <w:lastRenderedPageBreak/>
        <w:t>Chapter 5: Discussion</w:t>
      </w:r>
      <w:bookmarkEnd w:id="49"/>
    </w:p>
    <w:p w14:paraId="5031A555" w14:textId="77777777" w:rsidR="00B43DDC" w:rsidRDefault="00000000">
      <w:pPr>
        <w:pStyle w:val="Heading2"/>
      </w:pPr>
      <w:bookmarkStart w:id="50" w:name="_Toc230275152"/>
      <w:r>
        <w:t>5.1 Introduction</w:t>
      </w:r>
      <w:bookmarkEnd w:id="50"/>
    </w:p>
    <w:p w14:paraId="5637A997" w14:textId="77777777" w:rsidR="00DD4241" w:rsidRDefault="00DD4241" w:rsidP="00DD4241">
      <w:pPr>
        <w:spacing w:after="160" w:line="360" w:lineRule="auto"/>
        <w:jc w:val="both"/>
      </w:pPr>
      <w:r>
        <w:t>This chapter reflects the implications of findings discussed in Chapter 4 in relation to the theoretical frameworks outlined in Chapter 2 and the methodology outlined in Chapter 3. The discussion directly engages the research question, which is the central question of the study: How has the media framed Gaza as a symbolic place of power in the international discourse, and what are its political implications? The chapter then critically appraises the findings and their limitations and contradictions, and the contribution of this study to the literature is explored.</w:t>
      </w:r>
    </w:p>
    <w:p w14:paraId="7B8B8C98" w14:textId="77777777" w:rsidR="00B43DDC" w:rsidRDefault="00000000">
      <w:pPr>
        <w:pStyle w:val="Heading2"/>
      </w:pPr>
      <w:bookmarkStart w:id="51" w:name="_Toc230275153"/>
      <w:r>
        <w:t>5.2 Media Framing and the Construction of Symbolic Power</w:t>
      </w:r>
      <w:bookmarkEnd w:id="51"/>
    </w:p>
    <w:p w14:paraId="5210B5B3" w14:textId="77777777" w:rsidR="00DD4241" w:rsidRDefault="00DD4241" w:rsidP="00DD4241">
      <w:pPr>
        <w:spacing w:after="160" w:line="360" w:lineRule="auto"/>
        <w:jc w:val="both"/>
      </w:pPr>
      <w:r>
        <w:t>This study's findings lend strong support to the theoretical idea based on the work of Entman (1993) and Bourdieu (1991) that media framing is a key way of accumulating symbolic capital in international political discourse. The analysis highlights that the three predominant frames identified—humanitarian catastrophe, international law violation and asymmetric resistance—have not worked in isolation, but they have served as mutually reinforcing frames to create a symbolic identity for Gaza in international discourse by offering different registers of moral and political claims.</w:t>
      </w:r>
    </w:p>
    <w:p w14:paraId="661779C7" w14:textId="77777777" w:rsidR="00DD4241" w:rsidRDefault="00DD4241" w:rsidP="00DD4241">
      <w:pPr>
        <w:spacing w:after="160" w:line="360" w:lineRule="auto"/>
        <w:jc w:val="both"/>
      </w:pPr>
      <w:r>
        <w:t>The humanitarian catastrophe frame sets a moral agenda for Gaza's plight, which involves turning aggregate figures of suffering into individual and familial depictions of harm. This type of personalised and “close-up” framing elicits greater moral reactions from audiences compared to more abstract and statistical depictions of suffering, which forms the affective foundation for political mobilisation as Xu and Zhang (2023) show. The international law violation frame can rephrase this moral response in a specific normative language that makes Gaza's plight relevant to existing international legal obligations and accountability processes, and thus facilitates institutional action beyond humanitarian response. The asymmetric resistance frame offers a structural explanation of how the conflict has developed and how it was triggered, situating individual Palestinian escalations in a longer history of occupation and dispossession (as outlined in Khalidi 2020), and a normative framework to understand the Palestinian political agency.</w:t>
      </w:r>
    </w:p>
    <w:p w14:paraId="2DA7BAC2" w14:textId="77777777" w:rsidR="00DD4241" w:rsidRDefault="00DD4241" w:rsidP="00DD4241">
      <w:pPr>
        <w:spacing w:after="160" w:line="360" w:lineRule="auto"/>
        <w:jc w:val="both"/>
      </w:pPr>
      <w:r>
        <w:t xml:space="preserve">Bourdieu's (1991) notion of symbolic capital is useful in this regard for understanding that 2023-24 is not 2008-09, qualitatively speaking, because of the accumulation of these frames over the </w:t>
      </w:r>
      <w:r>
        <w:lastRenderedPageBreak/>
        <w:t>course of 15 years. In Bourdieu's theory, symbolic capital is not necessarily the direct by-product of any one representational act but is built up over time, by the regular and regularised use of evaluative categories. The 15-year trend identified in this study exemplifies this type of accumulation, since each subsequent escalation has reinforced frames that have been set up during the preceding cycles, and built up a stock of internationally recognised documentation, judicial rulings, and institutional positions that constitute Gaza's symbolic capital in international discourse.</w:t>
      </w:r>
    </w:p>
    <w:p w14:paraId="15D5B4FB" w14:textId="77777777" w:rsidR="00B43DDC" w:rsidRDefault="00000000">
      <w:pPr>
        <w:pStyle w:val="Heading2"/>
      </w:pPr>
      <w:bookmarkStart w:id="52" w:name="_Toc230275154"/>
      <w:r>
        <w:t>5.3 The Role of Evolving Media Landscapes</w:t>
      </w:r>
      <w:bookmarkEnd w:id="52"/>
    </w:p>
    <w:p w14:paraId="791288AC" w14:textId="77777777" w:rsidR="00DD4241" w:rsidRDefault="00DD4241" w:rsidP="00DD4241">
      <w:pPr>
        <w:spacing w:after="160" w:line="360" w:lineRule="auto"/>
        <w:jc w:val="both"/>
      </w:pPr>
      <w:r>
        <w:t>The results also shed light on the meaning of changes in the media environment for framing and symbolic power creation. The comparative analysis of the three escalation periods shows a trend whereby the role of professional journalists and institutional media organisations has been gradually democratised, with a growing contribution from Palestinian citizen journalists, diaspora activists and users of international social media platforms.</w:t>
      </w:r>
    </w:p>
    <w:p w14:paraId="57121B34" w14:textId="77777777" w:rsidR="00DD4241" w:rsidRDefault="00DD4241" w:rsidP="00DD4241">
      <w:pPr>
        <w:spacing w:after="160" w:line="360" w:lineRule="auto"/>
        <w:jc w:val="both"/>
      </w:pPr>
      <w:r>
        <w:t>This, says Tufekci (2017), represents a radical reshaping of the situation of political advocacy, allowing for movements to mobilise very quickly and in very large numbers without the organised structures previously needed. This analysis is supported by the findings of this study, although the results also indicate that Tufekci's qualification is also warranted: rapid mobilisation does not necessarily lead to lasting political capacity. The massive social media responses that have occurred over the last year (2023-24) – billions of TikTok views and tens of millions of mentions on Twitter/X – have not resulted in a paradigm change in international political responses to the conflict. Hayes (2023) notes that the size of the social media advocacy for Gaza is not an indicator of uniformity: there are varying political voices and framings, not all of which relate to the dominant frames identified in this study; and, thus, the overall political efficacy of this advocacy is hard to measure.</w:t>
      </w:r>
    </w:p>
    <w:p w14:paraId="6CAA894E" w14:textId="77777777" w:rsidR="00DD4241" w:rsidRDefault="00DD4241" w:rsidP="00DD4241">
      <w:pPr>
        <w:spacing w:after="160" w:line="360" w:lineRule="auto"/>
        <w:jc w:val="both"/>
      </w:pPr>
      <w:r>
        <w:t xml:space="preserve">The "digital witnessing" phenomenon described by Frosh and Pinchevski (2009) is especially important in the year 2023-24. Despite the death toll of over a hundred journalists in the escalation of the conflict (Committee to Protect Journalists, 2024), the fact that Palestinian journalists, along with ordinary citizens, continue to document and share conditions of the conflict in real time has ensured a consistent flow of content aligned with a humanitarian catastrophe frame that no Israeli </w:t>
      </w:r>
      <w:r>
        <w:lastRenderedPageBreak/>
        <w:t>information management strategy has thus far been able to contain. This is a change in the structure of conditions of conflict framing, qualitatively different from 2008-09 and which has been instrumental for the strengthening of the humanitarian catastrophe and international law violation frames during 2023-24.</w:t>
      </w:r>
    </w:p>
    <w:p w14:paraId="5FE44209" w14:textId="77777777" w:rsidR="00B43DDC" w:rsidRDefault="00000000">
      <w:pPr>
        <w:pStyle w:val="Heading2"/>
      </w:pPr>
      <w:bookmarkStart w:id="53" w:name="_Toc230275155"/>
      <w:r>
        <w:t>5.4 Political Consequences: Extent and Limits</w:t>
      </w:r>
      <w:bookmarkEnd w:id="53"/>
    </w:p>
    <w:p w14:paraId="405E2570" w14:textId="77777777" w:rsidR="00DD4241" w:rsidRDefault="00DD4241" w:rsidP="00DD4241">
      <w:pPr>
        <w:spacing w:after="160" w:line="360" w:lineRule="auto"/>
        <w:jc w:val="both"/>
      </w:pPr>
      <w:r>
        <w:t>The political outcomes outlined in Chapter 4 are a major but structurally constrained version of symbolic power and its translation into political outcomes. The ICJ proceedings, the European statehood recognitions, the UK arms export restrictions and the UNGA emergency resolution are all actions that were not politically imaginable in 2008-09 and are the result of the cumulative effect of fifteen years of framing. In this way, the results indicate that there have been identifiable and significant political implications of media framing in the Gaza case.</w:t>
      </w:r>
    </w:p>
    <w:p w14:paraId="76CF19AB" w14:textId="77777777" w:rsidR="00DD4241" w:rsidRDefault="00DD4241" w:rsidP="00DD4241">
      <w:pPr>
        <w:spacing w:after="160" w:line="360" w:lineRule="auto"/>
        <w:jc w:val="both"/>
      </w:pPr>
      <w:r>
        <w:t>But the results are just as evident that these impacts have not been enough to change the basic conditions of the conflict. The UNSC veto, the ongoing supply of arms by key Western powers and the continued obstruction of humanitarian access during the escalation of 2023-24 illustrate the limitations of what symbolic power can do in the face of entrenched geopolitical interests. Weiss (2007) has theorised this disconnect between humanitarian discourse and political action as a gap created by the effects of a state-based international order, in which the interests of powerful states always prevail over the normative obligations that are created through humanitarian framing. This research's results are a strong empirical support for this theoretical stance in the case of Gaza.</w:t>
      </w:r>
    </w:p>
    <w:p w14:paraId="0218A91D" w14:textId="77777777" w:rsidR="00DD4241" w:rsidRDefault="00DD4241" w:rsidP="00DD4241">
      <w:pPr>
        <w:spacing w:after="160" w:line="360" w:lineRule="auto"/>
        <w:jc w:val="both"/>
      </w:pPr>
      <w:r>
        <w:t>The structural incoherence of Western policy towards Hamas and Gaza is examined in another dimension, in the context of Gunning's (2010) critique of the structural incoherence. This fraternisation in humanitarian terms has been politically beneficial in some ways, but can also lead to a focus on fixing the symptoms (the suffering of civilians, access limitations, destruction of infrastructure) instead of the political issues (the blockade, the occupation, and the unresolved issue of Palestinian sovereignty). By definition, a humanitarian frame highlights suffering and its amelioration, but not the political conditions that create suffering, and this can therefore have the unintended effect of sustaining a cycle of crisis and response rather than generating the political engagement required for a structural solution.</w:t>
      </w:r>
    </w:p>
    <w:p w14:paraId="378C846E" w14:textId="77777777" w:rsidR="00B43DDC" w:rsidRDefault="00000000">
      <w:pPr>
        <w:pStyle w:val="Heading2"/>
      </w:pPr>
      <w:bookmarkStart w:id="54" w:name="_Toc230275156"/>
      <w:r>
        <w:t>5.5 Contribution to the Literature</w:t>
      </w:r>
      <w:bookmarkEnd w:id="54"/>
    </w:p>
    <w:p w14:paraId="5BD81F97" w14:textId="77777777" w:rsidR="00DD4241" w:rsidRDefault="00DD4241" w:rsidP="00DD4241">
      <w:pPr>
        <w:spacing w:after="160" w:line="360" w:lineRule="auto"/>
        <w:jc w:val="both"/>
      </w:pPr>
      <w:r>
        <w:lastRenderedPageBreak/>
        <w:t>Our study makes three major contributions to the literature. First, it offers a systematic comparative analysis of framing as it has occurred over three escalation periods, which are able to capture how dominant frames have shifted over time, and most existing single-period studies cannot. Secondly, it captures the content analysis of framing along with the political impact analysis, which is not common in framing studies. Third, it uses the theoretical tool of symbolic power analysis and asymmetric conflict theory in conjunction with the framing analysis in a manner that accounts for the mechanisms at play in a more thorough way than that of framing theory.</w:t>
      </w:r>
    </w:p>
    <w:p w14:paraId="0D40BEF9" w14:textId="77777777" w:rsidR="00DD4241" w:rsidRDefault="00DD4241" w:rsidP="00DD4241">
      <w:pPr>
        <w:spacing w:after="160" w:line="360" w:lineRule="auto"/>
        <w:jc w:val="both"/>
      </w:pPr>
      <w:r>
        <w:t> </w:t>
      </w:r>
    </w:p>
    <w:p w14:paraId="23CF0AF4" w14:textId="77777777" w:rsidR="00B43DDC" w:rsidRDefault="00000000">
      <w:r>
        <w:br w:type="page"/>
      </w:r>
    </w:p>
    <w:p w14:paraId="58E3E956" w14:textId="77777777" w:rsidR="00B43DDC" w:rsidRDefault="00000000">
      <w:pPr>
        <w:pStyle w:val="Heading1"/>
      </w:pPr>
      <w:bookmarkStart w:id="55" w:name="_Toc230275157"/>
      <w:r>
        <w:lastRenderedPageBreak/>
        <w:t>Chapter 6: Conclusion and Recommendations</w:t>
      </w:r>
      <w:bookmarkEnd w:id="55"/>
    </w:p>
    <w:p w14:paraId="3A7B7903" w14:textId="77777777" w:rsidR="00B43DDC" w:rsidRDefault="00000000">
      <w:pPr>
        <w:pStyle w:val="Heading2"/>
      </w:pPr>
      <w:bookmarkStart w:id="56" w:name="_Toc230275158"/>
      <w:r>
        <w:t>6.1 Summary of Findings</w:t>
      </w:r>
      <w:bookmarkEnd w:id="56"/>
    </w:p>
    <w:p w14:paraId="6E29AE0F" w14:textId="77777777" w:rsidR="00DD4241" w:rsidRDefault="00DD4241" w:rsidP="00DD4241">
      <w:pPr>
        <w:spacing w:after="160" w:line="360" w:lineRule="auto"/>
        <w:jc w:val="both"/>
      </w:pPr>
      <w:r>
        <w:t>This dissertation aimed to address a specific research question: how has Gaza been framed as a symbolic space of power within international discourses, and what are the political implications? The results of the critical discourse analysis of international political discourses on Gaza in the international media in three escalation periods (2008-09, 2014, and 2023-24) reveal that three dominant frames have been operating on an ongoing basis and cumulatively over the 15 years of the study period, to portray Gaza's symbolic identity in international political discourse: the humanitarian catastrophe frame, the violation of international law frame, and the asymmetric resistance frame.</w:t>
      </w:r>
    </w:p>
    <w:p w14:paraId="50076ADC" w14:textId="77777777" w:rsidR="00DD4241" w:rsidRDefault="00DD4241" w:rsidP="00DD4241">
      <w:pPr>
        <w:spacing w:after="160" w:line="360" w:lineRule="auto"/>
        <w:jc w:val="both"/>
      </w:pPr>
      <w:r>
        <w:t>The frames have yielded a number of identifiable political implications, such as court cases before the ICJ, recognition of Palestinian statehood by three European governments, curbs on arms exports, and continued humanitarian funding. The findings also indicate that symbolic power cannot, on its own, defy the geopolitical parameters in which it functions: the UNSC has voted consistently against it, leading arms suppliers have kept on supplying the Israeli military, and the basic political parameters of the conflict (blockade, occupation, Palestinian refugee status) remain unresolved.</w:t>
      </w:r>
    </w:p>
    <w:p w14:paraId="479B6C0A" w14:textId="77777777" w:rsidR="00DD4241" w:rsidRDefault="00DD4241" w:rsidP="00DD4241">
      <w:pPr>
        <w:spacing w:after="160" w:line="360" w:lineRule="auto"/>
        <w:jc w:val="both"/>
      </w:pPr>
      <w:r>
        <w:t>The study additionally highlights that the changing media environment – especially the rise of social media as a citizen journalism and advocacy platform – has greatly increased the scale and resonance of the humanitarian catastrophe and the violation of international law frames in the period of 2023-24. This amplification has helped shape the size of political responses to the escalation of events, yet there has been no change in the structural constraints that constrain those responses.</w:t>
      </w:r>
    </w:p>
    <w:p w14:paraId="34E743C2" w14:textId="77777777" w:rsidR="00B43DDC" w:rsidRDefault="00000000">
      <w:pPr>
        <w:pStyle w:val="Heading2"/>
      </w:pPr>
      <w:bookmarkStart w:id="57" w:name="_Toc230275159"/>
      <w:r>
        <w:t>6.2 Theoretical Contributions</w:t>
      </w:r>
      <w:bookmarkEnd w:id="57"/>
    </w:p>
    <w:p w14:paraId="59BB2DD4" w14:textId="77777777" w:rsidR="00DD4241" w:rsidRDefault="00DD4241" w:rsidP="00DD4241">
      <w:pPr>
        <w:spacing w:after="160" w:line="360" w:lineRule="auto"/>
        <w:jc w:val="both"/>
      </w:pPr>
      <w:r>
        <w:t xml:space="preserve">The study has three theoretical contributions. It builds on Entman's (1993) framing theory by offering an example of its analytical value in a wide-ranging longitudinal corpus and by illustrating how frames can gain symbolic value over time as well as within a single news cycle. It is operationally grounded in textual analysis, rather than just theoretical, and, as a model, it is applicable to other contexts of asymmetric conflict, such as international relations, as it applies </w:t>
      </w:r>
      <w:r>
        <w:lastRenderedPageBreak/>
        <w:t>Bourdieu's (1991) concept of symbolic power in an international relations context. It elaborates on the use of asymmetric conflict theory (Arreguín-Toft, 2001), demonstrating that the symbolic (and discursive) elements of asymmetric conflict have real political consequences, but with a structural limitation to their capacity to affect change – they are neither as potent as the optimist might suggest about soft power, nor as insignificant as the realist might think about geopolitical interests.</w:t>
      </w:r>
    </w:p>
    <w:p w14:paraId="71475B8F" w14:textId="77777777" w:rsidR="00B43DDC" w:rsidRDefault="00000000">
      <w:pPr>
        <w:pStyle w:val="Heading2"/>
      </w:pPr>
      <w:bookmarkStart w:id="58" w:name="_Toc230275160"/>
      <w:r>
        <w:t>6.3 Policy Implications</w:t>
      </w:r>
      <w:bookmarkEnd w:id="58"/>
    </w:p>
    <w:p w14:paraId="2B4412BB" w14:textId="77777777" w:rsidR="00DD4241" w:rsidRDefault="00DD4241" w:rsidP="00DD4241">
      <w:pPr>
        <w:spacing w:after="160" w:line="360" w:lineRule="auto"/>
        <w:jc w:val="both"/>
      </w:pPr>
      <w:r>
        <w:t>The study findings raise questions for those who are practitioners or advocacy organisations about the potential for a limited number of dominant frames to produce significant political effects over time, and whether humanitarian framing – which focuses on suffering rather than political issues – is enough to lead to the political purchase-in that would bring a structural resolution of the conflict. Building on the international law violation and the asymmetric resistance frames, Gaza advocacy organisations might thus need to think about how to supplement the humanitarian catastrophe frame with more sustained work on the political and legal aspects of the conflict, whilst keeping it accessible to the public.</w:t>
      </w:r>
    </w:p>
    <w:p w14:paraId="6D8F50F8" w14:textId="77777777" w:rsidR="00DD4241" w:rsidRDefault="00DD4241" w:rsidP="00DD4241">
      <w:pPr>
        <w:spacing w:after="160" w:line="360" w:lineRule="auto"/>
        <w:jc w:val="both"/>
      </w:pPr>
      <w:r>
        <w:t>The study reveals the political significance of what might be seen as mundane editorial decisions for media organisations and for journalism practitioners. Reporting casualties in total or individually, including or excluding the historical circumstances of the blockade, or describing specific acts on the legal or non-legal plane, has consequences for the symbolic capital of the blockade and for the type of political response it engenders. While it does not mean eschewing journalistic standards of objectivity and accuracy, it does mean a degree of reflexivity in considering the political implications of framing decisions.</w:t>
      </w:r>
    </w:p>
    <w:p w14:paraId="4F00DA25" w14:textId="77777777" w:rsidR="00B43DDC" w:rsidRDefault="00000000">
      <w:pPr>
        <w:pStyle w:val="Heading2"/>
      </w:pPr>
      <w:bookmarkStart w:id="59" w:name="_Toc230275161"/>
      <w:r>
        <w:t>6.4 Recommendations for Future Research</w:t>
      </w:r>
      <w:bookmarkEnd w:id="59"/>
    </w:p>
    <w:p w14:paraId="584FF691" w14:textId="77777777" w:rsidR="00DD4241" w:rsidRDefault="00DD4241" w:rsidP="00DD4241">
      <w:pPr>
        <w:spacing w:after="160" w:line="360" w:lineRule="auto"/>
        <w:jc w:val="both"/>
      </w:pPr>
      <w:r>
        <w:t xml:space="preserve">The results and limitations of this study provide three directions for further research. First, the frame patterns found in this study could be tested at scale by analysing a much larger corpus of texts to see if the predominant frames found in this study would be statistically predominant in the larger population of international media or not. Second, audience research, which explores the impact of various frame configurations on the attitudes and political behaviour of different audiences and countries, would be a more rigorous way of testing the causal impact of framing on political behaviour than the inferential approach employed here. Third, comparative studies using </w:t>
      </w:r>
      <w:r>
        <w:lastRenderedPageBreak/>
        <w:t>the same analytical approach to other protracted asymmetric conflicts would enable us to assess if the trend found in the Gaza case is unique or if it is a more general mechanism of symbolic power construction of international political communication.</w:t>
      </w:r>
    </w:p>
    <w:p w14:paraId="7D8092DF" w14:textId="77777777" w:rsidR="00B43DDC" w:rsidRDefault="00000000">
      <w:pPr>
        <w:pStyle w:val="Heading2"/>
      </w:pPr>
      <w:bookmarkStart w:id="60" w:name="_Toc230275162"/>
      <w:r>
        <w:t>6.5 Concluding Remarks</w:t>
      </w:r>
      <w:bookmarkEnd w:id="60"/>
    </w:p>
    <w:p w14:paraId="75F8BF37" w14:textId="77777777" w:rsidR="00DD4241" w:rsidRDefault="00DD4241" w:rsidP="00DD4241">
      <w:pPr>
        <w:spacing w:after="160" w:line="360" w:lineRule="auto"/>
        <w:jc w:val="both"/>
      </w:pPr>
      <w:r>
        <w:t>This dissertation's analysis supports the claim that the media framing has been the key factor in the symbolic capital Gaza has earned, thus generating political responses from the governments of European countries, the United Nations General Assembly and the International Court of Justice in the territory of 365 km². This is no easy discovery. The article shows that material scale and political meaning of the international affairs are not determined, and that discursive construction mechanisms described by the framing theory and symbolic power analysis can produce political effects not explained by the pure materialist perspective of international affairs.</w:t>
      </w:r>
    </w:p>
    <w:p w14:paraId="43488873" w14:textId="5C36FD83" w:rsidR="00B43DDC" w:rsidRDefault="00DD4241" w:rsidP="00DD4241">
      <w:pPr>
        <w:spacing w:after="160" w:line="360" w:lineRule="auto"/>
        <w:jc w:val="both"/>
      </w:pPr>
      <w:r>
        <w:t>The study, at the same time, has an unequivocal finding that symbolic power is not unlimited. Conditions for the people of Gaza have persisted over the past few months as the international community has increasingly called them a humanitarian catastrophe and a violation of international law of the most serious nature. That characterisation and the political action necessary to achieve it continue to be the main challenge for the international community and the central constraint on the symbolic power as a lever for political change.</w:t>
      </w:r>
    </w:p>
    <w:p w14:paraId="50A788EE" w14:textId="77777777" w:rsidR="00B43DDC" w:rsidRDefault="00000000">
      <w:r>
        <w:br w:type="page"/>
      </w:r>
    </w:p>
    <w:p w14:paraId="463CF48B" w14:textId="77777777" w:rsidR="00B43DDC" w:rsidRDefault="00000000">
      <w:pPr>
        <w:pStyle w:val="Heading1"/>
      </w:pPr>
      <w:bookmarkStart w:id="61" w:name="_Toc230275163"/>
      <w:r>
        <w:lastRenderedPageBreak/>
        <w:t>References</w:t>
      </w:r>
      <w:bookmarkEnd w:id="61"/>
    </w:p>
    <w:p w14:paraId="2B7E496C" w14:textId="77777777" w:rsidR="00B43DDC" w:rsidRDefault="00000000" w:rsidP="00D051A5">
      <w:pPr>
        <w:spacing w:after="160" w:line="360" w:lineRule="auto"/>
        <w:ind w:left="720" w:hanging="720"/>
        <w:jc w:val="both"/>
      </w:pPr>
      <w:r>
        <w:t>Allan, S., &amp; Thorsen, E. (Eds.). (2009). Citizen journalism: Global perspectives. Peter Lang.</w:t>
      </w:r>
    </w:p>
    <w:p w14:paraId="26D36E4E" w14:textId="77777777" w:rsidR="00B43DDC" w:rsidRDefault="00000000" w:rsidP="00D051A5">
      <w:pPr>
        <w:spacing w:after="160" w:line="360" w:lineRule="auto"/>
        <w:ind w:left="720" w:hanging="720"/>
        <w:jc w:val="both"/>
      </w:pPr>
      <w:r>
        <w:t>Amnesty International. (2024). Israel’s war on Gaza. Amnesty International Annual Report 2023/24. https://www.amnesty.org/en/location/middle-east-and-north-africa/israel-and-occupied-palestinian-territories/report-israel-and-occupied-palestinian-territories/</w:t>
      </w:r>
    </w:p>
    <w:p w14:paraId="183B7769" w14:textId="77777777" w:rsidR="00B43DDC" w:rsidRDefault="00000000" w:rsidP="00D051A5">
      <w:pPr>
        <w:spacing w:after="160" w:line="360" w:lineRule="auto"/>
        <w:ind w:left="720" w:hanging="720"/>
        <w:jc w:val="both"/>
      </w:pPr>
      <w:r>
        <w:t>Arreguín-Toft, I. (2001). How the weak win wars: A theory of asymmetric conflict. International Security, 26(1), 93–128. https://doi.org/10.1162/016228801753212868</w:t>
      </w:r>
    </w:p>
    <w:p w14:paraId="3C60BF27" w14:textId="77777777" w:rsidR="00B43DDC" w:rsidRDefault="00000000" w:rsidP="00D051A5">
      <w:pPr>
        <w:spacing w:after="160" w:line="360" w:lineRule="auto"/>
        <w:ind w:left="720" w:hanging="720"/>
        <w:jc w:val="both"/>
      </w:pPr>
      <w:r>
        <w:t>B’Tselem. (2024). Statistics on fatalities. B’Tselem – The Israeli Information Center for Human Rights in the Occupied Territories. https://www.btselem.org/statistics</w:t>
      </w:r>
    </w:p>
    <w:p w14:paraId="669203FF" w14:textId="77777777" w:rsidR="00B43DDC" w:rsidRDefault="00000000" w:rsidP="00D051A5">
      <w:pPr>
        <w:spacing w:after="160" w:line="360" w:lineRule="auto"/>
        <w:ind w:left="720" w:hanging="720"/>
        <w:jc w:val="both"/>
      </w:pPr>
      <w:r>
        <w:t>Barnett, M. (2002). Humanitarianism transformed. Perspectives on Politics, 3(3), 723–740.</w:t>
      </w:r>
    </w:p>
    <w:p w14:paraId="0AB03CC2" w14:textId="77777777" w:rsidR="00B43DDC" w:rsidRDefault="00000000" w:rsidP="00D051A5">
      <w:pPr>
        <w:spacing w:after="160" w:line="360" w:lineRule="auto"/>
        <w:ind w:left="720" w:hanging="720"/>
        <w:jc w:val="both"/>
      </w:pPr>
      <w:r>
        <w:t>BBC. (2024, May 22). Spain, Ireland and Norway recognise Palestinian state. BBC News. https://www.bbc.co.uk/news/articles/c88l9xwx8ldo</w:t>
      </w:r>
    </w:p>
    <w:p w14:paraId="2617A044" w14:textId="77777777" w:rsidR="00B43DDC" w:rsidRDefault="00000000" w:rsidP="00D051A5">
      <w:pPr>
        <w:spacing w:after="160" w:line="360" w:lineRule="auto"/>
        <w:ind w:left="720" w:hanging="720"/>
        <w:jc w:val="both"/>
      </w:pPr>
      <w:r>
        <w:t>Bhaskar, R. (1978). A realist theory of science. Harvester Press.</w:t>
      </w:r>
    </w:p>
    <w:p w14:paraId="736C169C" w14:textId="77777777" w:rsidR="00B43DDC" w:rsidRDefault="00000000" w:rsidP="00D051A5">
      <w:pPr>
        <w:spacing w:after="160" w:line="360" w:lineRule="auto"/>
        <w:ind w:left="720" w:hanging="720"/>
        <w:jc w:val="both"/>
      </w:pPr>
      <w:r>
        <w:t>Bourdieu, P. (1986). The forms of capital. In J. G. Richardson (Ed.), Handbook of theory and research for the sociology of education (pp. 241–258). Greenwood Press.</w:t>
      </w:r>
    </w:p>
    <w:p w14:paraId="14AC4A92" w14:textId="77777777" w:rsidR="00B43DDC" w:rsidRDefault="00000000" w:rsidP="00D051A5">
      <w:pPr>
        <w:spacing w:after="160" w:line="360" w:lineRule="auto"/>
        <w:ind w:left="720" w:hanging="720"/>
        <w:jc w:val="both"/>
      </w:pPr>
      <w:r>
        <w:t>Bourdieu, P. (1991). Language and symbolic power. Harvard University Press.</w:t>
      </w:r>
    </w:p>
    <w:p w14:paraId="30B58C18" w14:textId="77777777" w:rsidR="00B43DDC" w:rsidRDefault="00000000" w:rsidP="00D051A5">
      <w:pPr>
        <w:spacing w:after="160" w:line="360" w:lineRule="auto"/>
        <w:ind w:left="720" w:hanging="720"/>
        <w:jc w:val="both"/>
      </w:pPr>
      <w:r>
        <w:t>Braun, V., &amp; Clarke, V. (2006). Using thematic analysis in psychology. Qualitative Research in Psychology, 3(2), 77–101. https://doi.org/10.1191/1478088706qp063oa</w:t>
      </w:r>
    </w:p>
    <w:p w14:paraId="3FCC5261" w14:textId="77777777" w:rsidR="00B43DDC" w:rsidRDefault="00000000" w:rsidP="00D051A5">
      <w:pPr>
        <w:spacing w:after="160" w:line="360" w:lineRule="auto"/>
        <w:ind w:left="720" w:hanging="720"/>
        <w:jc w:val="both"/>
      </w:pPr>
      <w:r>
        <w:t>Buheji, M., &amp; Hamza, J. (2024). Branding resilience: Shaping Gaza’s global identity through narrative, solidarity, and advocacy. Journal of Arts, Media and Social Sciences, 9(1). https://doi.org/10.5923/j.jamss.20240901.01</w:t>
      </w:r>
    </w:p>
    <w:p w14:paraId="1C812F07" w14:textId="77777777" w:rsidR="00B43DDC" w:rsidRDefault="00000000" w:rsidP="00D051A5">
      <w:pPr>
        <w:spacing w:after="160" w:line="360" w:lineRule="auto"/>
        <w:ind w:left="720" w:hanging="720"/>
        <w:jc w:val="both"/>
      </w:pPr>
      <w:r>
        <w:t>Cherkaoui, T. (2024). Framing the Gaza conflict: Media bias, violence, and the battle of narratives. The Political Economy of Communication. https://polecom.org/index.php/polecom/article/download/179/416/791</w:t>
      </w:r>
    </w:p>
    <w:p w14:paraId="22F5E694" w14:textId="77777777" w:rsidR="00B43DDC" w:rsidRDefault="00000000" w:rsidP="00D051A5">
      <w:pPr>
        <w:spacing w:after="160" w:line="360" w:lineRule="auto"/>
        <w:ind w:left="720" w:hanging="720"/>
        <w:jc w:val="both"/>
      </w:pPr>
      <w:r>
        <w:t>Committee to Protect Journalists. (2024). Journalists killed in the Israel-Gaza war. CPJ. https://cpj.org/data/killed/</w:t>
      </w:r>
    </w:p>
    <w:p w14:paraId="4E9B76BC" w14:textId="77777777" w:rsidR="00B43DDC" w:rsidRDefault="00000000" w:rsidP="00D051A5">
      <w:pPr>
        <w:spacing w:after="160" w:line="360" w:lineRule="auto"/>
        <w:ind w:left="720" w:hanging="720"/>
        <w:jc w:val="both"/>
      </w:pPr>
      <w:r>
        <w:lastRenderedPageBreak/>
        <w:t>Creswell, J. W., &amp; Plano Clark, V. L. (2017). Designing and conducting mixed methods research (3rd ed.). SAGE Publications.</w:t>
      </w:r>
    </w:p>
    <w:p w14:paraId="3D26E243" w14:textId="77777777" w:rsidR="00B43DDC" w:rsidRDefault="00000000" w:rsidP="00D051A5">
      <w:pPr>
        <w:spacing w:after="160" w:line="360" w:lineRule="auto"/>
        <w:ind w:left="720" w:hanging="720"/>
        <w:jc w:val="both"/>
      </w:pPr>
      <w:r>
        <w:t>Entman, R. M. (1993). Framing: Toward clarification of a fractured paradigm. Journal of Communication, 43(4), 51–58. https://doi.org/10.1111/j.1460-2466.1993.tb01304.x</w:t>
      </w:r>
    </w:p>
    <w:p w14:paraId="17C3079F" w14:textId="77777777" w:rsidR="00B43DDC" w:rsidRDefault="00000000" w:rsidP="00D051A5">
      <w:pPr>
        <w:spacing w:after="160" w:line="360" w:lineRule="auto"/>
        <w:ind w:left="720" w:hanging="720"/>
        <w:jc w:val="both"/>
      </w:pPr>
      <w:r>
        <w:t>EU Commission. (2023, October 10). Gaza: European Commission releases €25 million for immediate humanitarian assistance. https://ec.europa.eu/commission/presscorner/detail/en/ip_23_4982</w:t>
      </w:r>
    </w:p>
    <w:p w14:paraId="30082C17" w14:textId="77777777" w:rsidR="00B43DDC" w:rsidRDefault="00000000" w:rsidP="00D051A5">
      <w:pPr>
        <w:spacing w:after="160" w:line="360" w:lineRule="auto"/>
        <w:ind w:left="720" w:hanging="720"/>
        <w:jc w:val="both"/>
      </w:pPr>
      <w:r>
        <w:t>Fairclough, N. (1995). Critical discourse analysis: The critical study of language. Longman.</w:t>
      </w:r>
    </w:p>
    <w:p w14:paraId="44903337" w14:textId="77777777" w:rsidR="00B43DDC" w:rsidRDefault="00000000" w:rsidP="00D051A5">
      <w:pPr>
        <w:spacing w:after="160" w:line="360" w:lineRule="auto"/>
        <w:ind w:left="720" w:hanging="720"/>
        <w:jc w:val="both"/>
      </w:pPr>
      <w:r>
        <w:t>Falk, R. (2010). Report of the Special Rapporteur on the situation of human rights in the Palestinian territories occupied since 1967. United Nations Human Rights Council. A/HRC/13/53.</w:t>
      </w:r>
    </w:p>
    <w:p w14:paraId="6B099C0B" w14:textId="77777777" w:rsidR="00B43DDC" w:rsidRDefault="00000000" w:rsidP="00D051A5">
      <w:pPr>
        <w:spacing w:after="160" w:line="360" w:lineRule="auto"/>
        <w:ind w:left="720" w:hanging="720"/>
        <w:jc w:val="both"/>
      </w:pPr>
      <w:r>
        <w:t>Fassin, D. (2025). Moral abdication: How the world failed to stop the destruction of Gaza. Princeton University Press.</w:t>
      </w:r>
    </w:p>
    <w:p w14:paraId="6AB454BE" w14:textId="77777777" w:rsidR="00B43DDC" w:rsidRDefault="00000000" w:rsidP="00D051A5">
      <w:pPr>
        <w:spacing w:after="160" w:line="360" w:lineRule="auto"/>
        <w:ind w:left="720" w:hanging="720"/>
        <w:jc w:val="both"/>
      </w:pPr>
      <w:r>
        <w:t>Frosh, P., &amp; Pinchevski, A. (Eds.). (2009). Media witnessing: Testimony in the age of mass communication. Palgrave Macmillan.</w:t>
      </w:r>
    </w:p>
    <w:p w14:paraId="2323FBE1" w14:textId="77777777" w:rsidR="00B43DDC" w:rsidRDefault="00000000" w:rsidP="00D051A5">
      <w:pPr>
        <w:spacing w:after="160" w:line="360" w:lineRule="auto"/>
        <w:ind w:left="720" w:hanging="720"/>
        <w:jc w:val="both"/>
      </w:pPr>
      <w:r>
        <w:t>Galtung, J., &amp; Ruge, M. H. (1965). The structure of foreign news. Journal of Peace Research, 2(1), 64–90. https://doi.org/10.1177/002234336500200104</w:t>
      </w:r>
    </w:p>
    <w:p w14:paraId="3682AE12" w14:textId="77777777" w:rsidR="00B43DDC" w:rsidRDefault="00000000" w:rsidP="00D051A5">
      <w:pPr>
        <w:spacing w:after="160" w:line="360" w:lineRule="auto"/>
        <w:ind w:left="720" w:hanging="720"/>
        <w:jc w:val="both"/>
      </w:pPr>
      <w:r>
        <w:t>Goffman, E. (1974). Frame analysis: An essay on the organization of experience. Harvard University Press.</w:t>
      </w:r>
    </w:p>
    <w:p w14:paraId="4E5CBF61" w14:textId="77777777" w:rsidR="00B43DDC" w:rsidRDefault="00000000" w:rsidP="00D051A5">
      <w:pPr>
        <w:spacing w:after="160" w:line="360" w:lineRule="auto"/>
        <w:ind w:left="720" w:hanging="720"/>
        <w:jc w:val="both"/>
      </w:pPr>
      <w:r>
        <w:t>Gunning, J. (2010). Hamas in politics: Democracy, religion, violence. Columbia University Press.</w:t>
      </w:r>
    </w:p>
    <w:p w14:paraId="5726DA15" w14:textId="77777777" w:rsidR="00B43DDC" w:rsidRDefault="00000000" w:rsidP="00D051A5">
      <w:pPr>
        <w:spacing w:after="160" w:line="360" w:lineRule="auto"/>
        <w:ind w:left="720" w:hanging="720"/>
        <w:jc w:val="both"/>
      </w:pPr>
      <w:r>
        <w:t>Hayes, J. (2023). Palestinian solidarity on social media: The distribution of images of occupation on Twitter, Facebook, and Instagram by advocacy organisations [Doctoral dissertation, University of Leeds]. White Rose eTheses Online. https://etheses.whiterose.ac.uk/id/eprint/33365/</w:t>
      </w:r>
    </w:p>
    <w:p w14:paraId="08893C69" w14:textId="77777777" w:rsidR="00B43DDC" w:rsidRDefault="00000000" w:rsidP="00D051A5">
      <w:pPr>
        <w:spacing w:after="160" w:line="360" w:lineRule="auto"/>
        <w:ind w:left="720" w:hanging="720"/>
        <w:jc w:val="both"/>
      </w:pPr>
      <w:r>
        <w:t>Human Rights Watch. (2024). World report 2024: Events of 2023. Human Rights Watch. https://www.hrw.org/world-report/2024</w:t>
      </w:r>
    </w:p>
    <w:p w14:paraId="13DF4763" w14:textId="77777777" w:rsidR="00B43DDC" w:rsidRDefault="00000000" w:rsidP="00D051A5">
      <w:pPr>
        <w:spacing w:after="160" w:line="360" w:lineRule="auto"/>
        <w:ind w:left="720" w:hanging="720"/>
        <w:jc w:val="both"/>
      </w:pPr>
      <w:r>
        <w:lastRenderedPageBreak/>
        <w:t>International Court of Justice. (2024, January 26). Application of the Convention on the Prevention and Punishment of the Crime of Genocide in the Gaza Strip (South Africa v. Israel): Order on provisional measures. https://www.icj-cij.org/case/192</w:t>
      </w:r>
    </w:p>
    <w:p w14:paraId="77C26020" w14:textId="77777777" w:rsidR="00B43DDC" w:rsidRDefault="00000000" w:rsidP="00D051A5">
      <w:pPr>
        <w:spacing w:after="160" w:line="360" w:lineRule="auto"/>
        <w:ind w:left="720" w:hanging="720"/>
        <w:jc w:val="both"/>
      </w:pPr>
      <w:r>
        <w:t>Kanwal, S. (2025). Discourse analysis of Gaza’s children: Their voices and their portrayal. Margalla Papers, 29(2), 131–145. https://doi.org/10.54690/margallapapers.29.2.344</w:t>
      </w:r>
    </w:p>
    <w:p w14:paraId="76EEB08B" w14:textId="77777777" w:rsidR="00B43DDC" w:rsidRDefault="00000000" w:rsidP="00D051A5">
      <w:pPr>
        <w:spacing w:after="160" w:line="360" w:lineRule="auto"/>
        <w:ind w:left="720" w:hanging="720"/>
        <w:jc w:val="both"/>
      </w:pPr>
      <w:r>
        <w:t>Khalidi, R. (2020). The hundred years’ war on Palestine: A history of settler colonialism and resistance. Profile Books.</w:t>
      </w:r>
    </w:p>
    <w:p w14:paraId="3DF7CDB1" w14:textId="77777777" w:rsidR="00B43DDC" w:rsidRDefault="00000000" w:rsidP="00D051A5">
      <w:pPr>
        <w:spacing w:after="160" w:line="360" w:lineRule="auto"/>
        <w:ind w:left="720" w:hanging="720"/>
        <w:jc w:val="both"/>
      </w:pPr>
      <w:r>
        <w:t>Nye, J. S. (2004). Soft power: The means to success in world politics. Public Affairs.</w:t>
      </w:r>
    </w:p>
    <w:p w14:paraId="669AC941" w14:textId="77777777" w:rsidR="00B43DDC" w:rsidRDefault="00000000" w:rsidP="00D051A5">
      <w:pPr>
        <w:spacing w:after="160" w:line="360" w:lineRule="auto"/>
        <w:ind w:left="720" w:hanging="720"/>
        <w:jc w:val="both"/>
      </w:pPr>
      <w:r>
        <w:t>OCHA. (2009). The Gaza Strip: The humanitarian impact of the conflict. United Nations Office for the Coordination of Humanitarian Affairs. https://www.ochaopt.org/</w:t>
      </w:r>
    </w:p>
    <w:p w14:paraId="5B27A72A" w14:textId="77777777" w:rsidR="00B43DDC" w:rsidRDefault="00000000" w:rsidP="00D051A5">
      <w:pPr>
        <w:spacing w:after="160" w:line="360" w:lineRule="auto"/>
        <w:ind w:left="720" w:hanging="720"/>
        <w:jc w:val="both"/>
      </w:pPr>
      <w:r>
        <w:t>OCHA. (2024). Hostilities in the Gaza Strip and Israel: Humanitarian situation update. United Nations Office for the Coordination of Humanitarian Affairs. https://www.ochaopt.org/</w:t>
      </w:r>
    </w:p>
    <w:p w14:paraId="1B44ED52" w14:textId="77777777" w:rsidR="00B43DDC" w:rsidRDefault="00000000" w:rsidP="00D051A5">
      <w:pPr>
        <w:spacing w:after="160" w:line="360" w:lineRule="auto"/>
        <w:ind w:left="720" w:hanging="720"/>
        <w:jc w:val="both"/>
      </w:pPr>
      <w:r>
        <w:t>Robinson, P. (2002). The CNN effect: The myth of news, foreign policy, and intervention. Routledge.</w:t>
      </w:r>
    </w:p>
    <w:p w14:paraId="3E512E51" w14:textId="77777777" w:rsidR="00B43DDC" w:rsidRDefault="00000000" w:rsidP="00D051A5">
      <w:pPr>
        <w:spacing w:after="160" w:line="360" w:lineRule="auto"/>
        <w:ind w:left="720" w:hanging="720"/>
        <w:jc w:val="both"/>
      </w:pPr>
      <w:r>
        <w:t>Roy, S. (2016). The Gaza Strip: The political economy of de-development (3rd ed.). Institute for Palestine Studies.</w:t>
      </w:r>
    </w:p>
    <w:p w14:paraId="4B6AB6DC" w14:textId="77777777" w:rsidR="00B43DDC" w:rsidRDefault="00000000" w:rsidP="00D051A5">
      <w:pPr>
        <w:spacing w:after="160" w:line="360" w:lineRule="auto"/>
        <w:ind w:left="720" w:hanging="720"/>
        <w:jc w:val="both"/>
      </w:pPr>
      <w:r>
        <w:t>Said, E. W. (1997). Covering Islam: How the media and the experts determine how we see the rest of the world (rev. ed.). Vintage Books.</w:t>
      </w:r>
    </w:p>
    <w:p w14:paraId="57F6032B" w14:textId="77777777" w:rsidR="00B43DDC" w:rsidRDefault="00000000" w:rsidP="00D051A5">
      <w:pPr>
        <w:spacing w:after="160" w:line="360" w:lineRule="auto"/>
        <w:ind w:left="720" w:hanging="720"/>
        <w:jc w:val="both"/>
      </w:pPr>
      <w:r>
        <w:t>Sayer, A. (2000). Realism and social science. SAGE Publications.</w:t>
      </w:r>
    </w:p>
    <w:p w14:paraId="13E45C05" w14:textId="77777777" w:rsidR="00B43DDC" w:rsidRDefault="00000000" w:rsidP="00D051A5">
      <w:pPr>
        <w:spacing w:after="160" w:line="360" w:lineRule="auto"/>
        <w:ind w:left="720" w:hanging="720"/>
        <w:jc w:val="both"/>
      </w:pPr>
      <w:r>
        <w:t>Scheufele, D. A. (1999). Framing as a theory of media effects. Journal of Communication, 49(1), 103–122. https://doi.org/10.1111/j.1460-2466.1999.tb02784.x</w:t>
      </w:r>
    </w:p>
    <w:p w14:paraId="3AAAE5A9" w14:textId="77777777" w:rsidR="00B43DDC" w:rsidRDefault="00000000" w:rsidP="00D051A5">
      <w:pPr>
        <w:spacing w:after="160" w:line="360" w:lineRule="auto"/>
        <w:ind w:left="720" w:hanging="720"/>
        <w:jc w:val="both"/>
      </w:pPr>
      <w:r>
        <w:t>Sending, O. J., &amp; Neumann, I. B. (2006). Governance to governmentality: Analyzing NGOs, states, and power. International Studies Quarterly, 50(3), 651–672.</w:t>
      </w:r>
    </w:p>
    <w:p w14:paraId="493966ED" w14:textId="77777777" w:rsidR="00B43DDC" w:rsidRDefault="00000000" w:rsidP="00D051A5">
      <w:pPr>
        <w:spacing w:after="160" w:line="360" w:lineRule="auto"/>
        <w:ind w:left="720" w:hanging="720"/>
        <w:jc w:val="both"/>
      </w:pPr>
      <w:r>
        <w:t>Tahraoui, A. (2025). Political media in shaping public opinion and managing international conflicts. International Media and Communication Research Association. https://imcra-az.org/uploads/public_files/2025-05/political-media.pdf</w:t>
      </w:r>
    </w:p>
    <w:p w14:paraId="3A2E6678" w14:textId="77777777" w:rsidR="00B43DDC" w:rsidRDefault="00000000" w:rsidP="00D051A5">
      <w:pPr>
        <w:spacing w:after="160" w:line="360" w:lineRule="auto"/>
        <w:ind w:left="720" w:hanging="720"/>
        <w:jc w:val="both"/>
      </w:pPr>
      <w:r>
        <w:lastRenderedPageBreak/>
        <w:t>Tufekci, Z. (2017). Twitter and tear gas: The power and fragility of networked protest. Yale University Press.</w:t>
      </w:r>
    </w:p>
    <w:p w14:paraId="211DD14D" w14:textId="77777777" w:rsidR="00B43DDC" w:rsidRDefault="00000000" w:rsidP="00D051A5">
      <w:pPr>
        <w:spacing w:after="160" w:line="360" w:lineRule="auto"/>
        <w:ind w:left="720" w:hanging="720"/>
        <w:jc w:val="both"/>
      </w:pPr>
      <w:r>
        <w:t>UN Human Rights Council. (2009). Report of the United Nations Fact-Finding Mission on the Gaza Conflict (Goldstone Report). A/HRC/12/48.</w:t>
      </w:r>
    </w:p>
    <w:p w14:paraId="0FF34A4C" w14:textId="77777777" w:rsidR="00B43DDC" w:rsidRDefault="00000000" w:rsidP="00D051A5">
      <w:pPr>
        <w:spacing w:after="160" w:line="360" w:lineRule="auto"/>
        <w:ind w:left="720" w:hanging="720"/>
        <w:jc w:val="both"/>
      </w:pPr>
      <w:r>
        <w:t>UN Human Rights Council. (2015). Report of the independent commission of inquiry established pursuant to Human Rights Council resolution S-21/1. A/HRC/29/52.</w:t>
      </w:r>
    </w:p>
    <w:p w14:paraId="0375F87D" w14:textId="77777777" w:rsidR="00B43DDC" w:rsidRDefault="00000000" w:rsidP="00D051A5">
      <w:pPr>
        <w:spacing w:after="160" w:line="360" w:lineRule="auto"/>
        <w:ind w:left="720" w:hanging="720"/>
        <w:jc w:val="both"/>
      </w:pPr>
      <w:r>
        <w:t>UNGA. (2023, October 27). Resolution ES-10/21: Protection of civilians and upholding legal and humanitarian obligations. United Nations General Assembly Emergency Special Session.</w:t>
      </w:r>
    </w:p>
    <w:p w14:paraId="5FCA93B2" w14:textId="77777777" w:rsidR="00B43DDC" w:rsidRDefault="00000000" w:rsidP="00D051A5">
      <w:pPr>
        <w:spacing w:after="160" w:line="360" w:lineRule="auto"/>
        <w:ind w:left="720" w:hanging="720"/>
        <w:jc w:val="both"/>
      </w:pPr>
      <w:r>
        <w:t>UNRWA. (2023). Gaza situation report. United Nations Relief and Works Agency for Palestine Refugees in the Near East. https://www.unrwa.org/resources/reports</w:t>
      </w:r>
    </w:p>
    <w:p w14:paraId="79910E05" w14:textId="77777777" w:rsidR="00B43DDC" w:rsidRDefault="00000000" w:rsidP="00D051A5">
      <w:pPr>
        <w:spacing w:after="160" w:line="360" w:lineRule="auto"/>
        <w:ind w:left="720" w:hanging="720"/>
        <w:jc w:val="both"/>
      </w:pPr>
      <w:r>
        <w:t>van Dijk, T. A. (2001). Critical discourse analysis. In D. Tannen, D. Schiffrin, &amp; H. Hamilton (Eds.), Handbook of discourse analysis (pp. 352–371). Blackwell.</w:t>
      </w:r>
    </w:p>
    <w:p w14:paraId="4CD3C768" w14:textId="77777777" w:rsidR="00B43DDC" w:rsidRDefault="00000000" w:rsidP="00D051A5">
      <w:pPr>
        <w:spacing w:after="160" w:line="360" w:lineRule="auto"/>
        <w:ind w:left="720" w:hanging="720"/>
        <w:jc w:val="both"/>
      </w:pPr>
      <w:r>
        <w:t>Weiss, T. G. (2007). Humanitarian intervention: Ideas in action. Polity Press.</w:t>
      </w:r>
    </w:p>
    <w:p w14:paraId="7395C8B4" w14:textId="77777777" w:rsidR="00B43DDC" w:rsidRDefault="00000000" w:rsidP="00D051A5">
      <w:pPr>
        <w:spacing w:after="160" w:line="360" w:lineRule="auto"/>
        <w:ind w:left="720" w:hanging="720"/>
        <w:jc w:val="both"/>
      </w:pPr>
      <w:r>
        <w:t>WHO. (2024). Health situation in Gaza: Humanitarian emergency update. World Health Organization. https://www.who.int/emergencies/situations/palestine</w:t>
      </w:r>
    </w:p>
    <w:p w14:paraId="54419F1F" w14:textId="77777777" w:rsidR="00B43DDC" w:rsidRDefault="00000000" w:rsidP="00D051A5">
      <w:pPr>
        <w:spacing w:after="160" w:line="360" w:lineRule="auto"/>
        <w:ind w:left="720" w:hanging="720"/>
        <w:jc w:val="both"/>
      </w:pPr>
      <w:r>
        <w:t>Wolfsfeld, G. (2004). Media and the path to peace. Cambridge University Press.</w:t>
      </w:r>
    </w:p>
    <w:p w14:paraId="74823A4E" w14:textId="77777777" w:rsidR="00B43DDC" w:rsidRDefault="00000000" w:rsidP="00D051A5">
      <w:pPr>
        <w:spacing w:after="160" w:line="360" w:lineRule="auto"/>
        <w:ind w:left="720" w:hanging="720"/>
        <w:jc w:val="both"/>
      </w:pPr>
      <w:r>
        <w:t>World Bank. (2023). West Bank and Gaza economic update. World Bank Group. https://www.worldbank.org/en/country/westbankandgaza/publication/economic-update</w:t>
      </w:r>
    </w:p>
    <w:p w14:paraId="4303BE91" w14:textId="77777777" w:rsidR="00B43DDC" w:rsidRDefault="00000000" w:rsidP="00D051A5">
      <w:pPr>
        <w:spacing w:after="160" w:line="360" w:lineRule="auto"/>
        <w:ind w:left="720" w:hanging="720"/>
        <w:jc w:val="both"/>
      </w:pPr>
      <w:r>
        <w:t>Xu, Z., &amp; Zhang, M. (2023). How news media visually dehumanize victims of humanitarian crises through framing disparities. International Communication Gazette, 86(8). https://doi.org/10.1177/17480485231216583</w:t>
      </w:r>
    </w:p>
    <w:p w14:paraId="01B2A0D0" w14:textId="77777777" w:rsidR="00B43DDC" w:rsidRDefault="00000000" w:rsidP="00D051A5">
      <w:pPr>
        <w:spacing w:after="160" w:line="360" w:lineRule="auto"/>
        <w:ind w:left="720" w:hanging="720"/>
        <w:jc w:val="both"/>
      </w:pPr>
      <w:r>
        <w:t>Zayani, M. (2005). The Al Jazeera phenomenon: Critical perspectives on new Arab media. Paradigm Publishers.</w:t>
      </w:r>
    </w:p>
    <w:sectPr w:rsidR="00B43DDC">
      <w:headerReference w:type="default" r:id="rId17"/>
      <w:footerReference w:type="default" r:id="rId18"/>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10D15A" w14:textId="77777777" w:rsidR="00315E55" w:rsidRDefault="00315E55">
      <w:r>
        <w:separator/>
      </w:r>
    </w:p>
  </w:endnote>
  <w:endnote w:type="continuationSeparator" w:id="0">
    <w:p w14:paraId="4DCD6BEE" w14:textId="77777777" w:rsidR="00315E55" w:rsidRDefault="00315E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9C4E53" w14:textId="77777777" w:rsidR="00B43DDC" w:rsidRDefault="00000000">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sidR="006C1890">
      <w:rPr>
        <w:noProof/>
        <w:sz w:val="20"/>
        <w:szCs w:val="20"/>
      </w:rPr>
      <w:t>1</w:t>
    </w:r>
    <w:r>
      <w:rPr>
        <w:sz w:val="20"/>
        <w:szCs w:val="20"/>
      </w:rPr>
      <w:fldChar w:fldCharType="end"/>
    </w:r>
    <w:r>
      <w:rPr>
        <w:sz w:val="20"/>
        <w:szCs w:val="20"/>
      </w:rPr>
      <w:t xml:space="preserve"> of </w:t>
    </w:r>
    <w:r>
      <w:rPr>
        <w:sz w:val="20"/>
        <w:szCs w:val="20"/>
      </w:rPr>
      <w:fldChar w:fldCharType="begin"/>
    </w:r>
    <w:r>
      <w:rPr>
        <w:sz w:val="20"/>
        <w:szCs w:val="20"/>
      </w:rPr>
      <w:instrText>NUMPAGES</w:instrText>
    </w:r>
    <w:r>
      <w:rPr>
        <w:sz w:val="20"/>
        <w:szCs w:val="20"/>
      </w:rPr>
      <w:fldChar w:fldCharType="separate"/>
    </w:r>
    <w:r w:rsidR="006C1890">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5590DB" w14:textId="77777777" w:rsidR="00315E55" w:rsidRDefault="00315E55">
      <w:r>
        <w:separator/>
      </w:r>
    </w:p>
  </w:footnote>
  <w:footnote w:type="continuationSeparator" w:id="0">
    <w:p w14:paraId="51654BCC" w14:textId="77777777" w:rsidR="00315E55" w:rsidRDefault="00315E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19B924" w14:textId="77777777" w:rsidR="00B43DDC" w:rsidRDefault="00000000">
    <w:pPr>
      <w:jc w:val="right"/>
    </w:pPr>
    <w:r>
      <w:rPr>
        <w:i/>
        <w:iCs/>
        <w:sz w:val="18"/>
        <w:szCs w:val="18"/>
      </w:rPr>
      <w:t>Gaza Between Quantity and Quality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48924F9"/>
    <w:multiLevelType w:val="hybridMultilevel"/>
    <w:tmpl w:val="AE0691F0"/>
    <w:lvl w:ilvl="0" w:tplc="42C05410">
      <w:start w:val="1"/>
      <w:numFmt w:val="bullet"/>
      <w:lvlText w:val="●"/>
      <w:lvlJc w:val="left"/>
      <w:pPr>
        <w:ind w:left="720" w:hanging="360"/>
      </w:pPr>
    </w:lvl>
    <w:lvl w:ilvl="1" w:tplc="5664A8CC">
      <w:start w:val="1"/>
      <w:numFmt w:val="bullet"/>
      <w:lvlText w:val="○"/>
      <w:lvlJc w:val="left"/>
      <w:pPr>
        <w:ind w:left="1440" w:hanging="360"/>
      </w:pPr>
    </w:lvl>
    <w:lvl w:ilvl="2" w:tplc="2E886546">
      <w:start w:val="1"/>
      <w:numFmt w:val="bullet"/>
      <w:lvlText w:val="■"/>
      <w:lvlJc w:val="left"/>
      <w:pPr>
        <w:ind w:left="2160" w:hanging="360"/>
      </w:pPr>
    </w:lvl>
    <w:lvl w:ilvl="3" w:tplc="BBBC8EA4">
      <w:start w:val="1"/>
      <w:numFmt w:val="bullet"/>
      <w:lvlText w:val="●"/>
      <w:lvlJc w:val="left"/>
      <w:pPr>
        <w:ind w:left="2880" w:hanging="360"/>
      </w:pPr>
    </w:lvl>
    <w:lvl w:ilvl="4" w:tplc="CD060494">
      <w:start w:val="1"/>
      <w:numFmt w:val="bullet"/>
      <w:lvlText w:val="○"/>
      <w:lvlJc w:val="left"/>
      <w:pPr>
        <w:ind w:left="3600" w:hanging="360"/>
      </w:pPr>
    </w:lvl>
    <w:lvl w:ilvl="5" w:tplc="0444EAE4">
      <w:start w:val="1"/>
      <w:numFmt w:val="bullet"/>
      <w:lvlText w:val="■"/>
      <w:lvlJc w:val="left"/>
      <w:pPr>
        <w:ind w:left="4320" w:hanging="360"/>
      </w:pPr>
    </w:lvl>
    <w:lvl w:ilvl="6" w:tplc="E3003CBC">
      <w:start w:val="1"/>
      <w:numFmt w:val="bullet"/>
      <w:lvlText w:val="●"/>
      <w:lvlJc w:val="left"/>
      <w:pPr>
        <w:ind w:left="5040" w:hanging="360"/>
      </w:pPr>
    </w:lvl>
    <w:lvl w:ilvl="7" w:tplc="5B62157C">
      <w:start w:val="1"/>
      <w:numFmt w:val="bullet"/>
      <w:lvlText w:val="●"/>
      <w:lvlJc w:val="left"/>
      <w:pPr>
        <w:ind w:left="5760" w:hanging="360"/>
      </w:pPr>
    </w:lvl>
    <w:lvl w:ilvl="8" w:tplc="8690CE1E">
      <w:start w:val="1"/>
      <w:numFmt w:val="bullet"/>
      <w:lvlText w:val="●"/>
      <w:lvlJc w:val="left"/>
      <w:pPr>
        <w:ind w:left="6480" w:hanging="360"/>
      </w:pPr>
    </w:lvl>
  </w:abstractNum>
  <w:num w:numId="1" w16cid:durableId="135707806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3DDC"/>
    <w:rsid w:val="00086CD8"/>
    <w:rsid w:val="000D316A"/>
    <w:rsid w:val="000F2CC8"/>
    <w:rsid w:val="000F3A13"/>
    <w:rsid w:val="00146B97"/>
    <w:rsid w:val="00177664"/>
    <w:rsid w:val="00244640"/>
    <w:rsid w:val="00250D2B"/>
    <w:rsid w:val="002D3876"/>
    <w:rsid w:val="00315E55"/>
    <w:rsid w:val="00335E90"/>
    <w:rsid w:val="003A3457"/>
    <w:rsid w:val="003F14EE"/>
    <w:rsid w:val="00521393"/>
    <w:rsid w:val="005D657A"/>
    <w:rsid w:val="0063038A"/>
    <w:rsid w:val="00652FA0"/>
    <w:rsid w:val="00665AF2"/>
    <w:rsid w:val="00672E63"/>
    <w:rsid w:val="006C1890"/>
    <w:rsid w:val="006E32D2"/>
    <w:rsid w:val="00716898"/>
    <w:rsid w:val="0072112B"/>
    <w:rsid w:val="00737C3F"/>
    <w:rsid w:val="00751C30"/>
    <w:rsid w:val="00762B50"/>
    <w:rsid w:val="007A470B"/>
    <w:rsid w:val="007D3BB5"/>
    <w:rsid w:val="008069FB"/>
    <w:rsid w:val="0088394E"/>
    <w:rsid w:val="008B655A"/>
    <w:rsid w:val="008F7F4C"/>
    <w:rsid w:val="00955ACB"/>
    <w:rsid w:val="00A00189"/>
    <w:rsid w:val="00AA397F"/>
    <w:rsid w:val="00B16B28"/>
    <w:rsid w:val="00B43DDC"/>
    <w:rsid w:val="00BA7707"/>
    <w:rsid w:val="00BC7E68"/>
    <w:rsid w:val="00BD2B8D"/>
    <w:rsid w:val="00C40FF9"/>
    <w:rsid w:val="00C95778"/>
    <w:rsid w:val="00CA4EDC"/>
    <w:rsid w:val="00D051A5"/>
    <w:rsid w:val="00D22A4A"/>
    <w:rsid w:val="00D56AB4"/>
    <w:rsid w:val="00DD4241"/>
    <w:rsid w:val="00E47AE9"/>
    <w:rsid w:val="00F407DA"/>
    <w:rsid w:val="00F63AF6"/>
    <w:rsid w:val="00F9488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29C0A"/>
  <w15:docId w15:val="{5C0857B4-6A83-4FE4-A6B8-1C480AB62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480" w:after="240"/>
      <w:outlineLvl w:val="0"/>
    </w:pPr>
    <w:rPr>
      <w:b/>
      <w:bCs/>
      <w:color w:val="000000"/>
      <w:sz w:val="28"/>
      <w:szCs w:val="28"/>
    </w:rPr>
  </w:style>
  <w:style w:type="paragraph" w:styleId="Heading2">
    <w:name w:val="heading 2"/>
    <w:uiPriority w:val="9"/>
    <w:unhideWhenUsed/>
    <w:qFormat/>
    <w:pPr>
      <w:spacing w:before="360" w:after="160"/>
      <w:outlineLvl w:val="1"/>
    </w:pPr>
    <w:rPr>
      <w:b/>
      <w:bCs/>
      <w:color w:val="000000"/>
    </w:rPr>
  </w:style>
  <w:style w:type="paragraph" w:styleId="Heading3">
    <w:name w:val="heading 3"/>
    <w:uiPriority w:val="9"/>
    <w:unhideWhenUsed/>
    <w:qFormat/>
    <w:pPr>
      <w:spacing w:before="240" w:after="120"/>
      <w:outlineLvl w:val="2"/>
    </w:pPr>
    <w:rPr>
      <w:b/>
      <w:bCs/>
      <w:i/>
      <w:iCs/>
      <w:color w:val="000000"/>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BC7E68"/>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BC7E68"/>
    <w:pPr>
      <w:spacing w:after="100"/>
    </w:pPr>
  </w:style>
  <w:style w:type="paragraph" w:styleId="TOC2">
    <w:name w:val="toc 2"/>
    <w:basedOn w:val="Normal"/>
    <w:next w:val="Normal"/>
    <w:autoRedefine/>
    <w:uiPriority w:val="39"/>
    <w:unhideWhenUsed/>
    <w:rsid w:val="00BC7E68"/>
    <w:pPr>
      <w:spacing w:after="100"/>
      <w:ind w:left="240"/>
    </w:pPr>
  </w:style>
  <w:style w:type="paragraph" w:styleId="TOC3">
    <w:name w:val="toc 3"/>
    <w:basedOn w:val="Normal"/>
    <w:next w:val="Normal"/>
    <w:autoRedefine/>
    <w:uiPriority w:val="39"/>
    <w:unhideWhenUsed/>
    <w:rsid w:val="00BC7E68"/>
    <w:pPr>
      <w:spacing w:after="100"/>
      <w:ind w:left="480"/>
    </w:pPr>
  </w:style>
  <w:style w:type="paragraph" w:styleId="Caption">
    <w:name w:val="caption"/>
    <w:basedOn w:val="Normal"/>
    <w:next w:val="Normal"/>
    <w:uiPriority w:val="35"/>
    <w:unhideWhenUsed/>
    <w:qFormat/>
    <w:rsid w:val="00762B50"/>
    <w:pPr>
      <w:spacing w:after="200"/>
    </w:pPr>
    <w:rPr>
      <w:i/>
      <w:iCs/>
      <w:color w:val="44546A" w:themeColor="text2"/>
      <w:sz w:val="18"/>
      <w:szCs w:val="18"/>
    </w:rPr>
  </w:style>
  <w:style w:type="paragraph" w:styleId="TableofFigures">
    <w:name w:val="table of figures"/>
    <w:basedOn w:val="Normal"/>
    <w:next w:val="Normal"/>
    <w:uiPriority w:val="99"/>
    <w:unhideWhenUsed/>
    <w:rsid w:val="007D3B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ink/ink3.xm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customXml" Target="ink/ink6.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customXml" Target="ink/ink5.xml"/><Relationship Id="rId10" Type="http://schemas.openxmlformats.org/officeDocument/2006/relationships/customXml" Target="ink/ink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customXml" Target="ink/ink4.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19T15:51:10.744"/>
    </inkml:context>
    <inkml:brush xml:id="br0">
      <inkml:brushProperty name="width" value="0.05" units="cm"/>
      <inkml:brushProperty name="height" value="0.3" units="cm"/>
      <inkml:brushProperty name="inkEffects" value="pencil"/>
    </inkml:brush>
  </inkml:definitions>
  <inkml:trace contextRef="#ctx0" brushRef="#br0">2353 676 16383,'-14'19'0,"-4"3"0,12-12 0,-6-1 0,11 3 0,-11-9 0,10 9 0,-11-3 0,4 13 0,-1-10 0,0 13 0,6-19 0,-4 11 0,6-7 0,-6 8 0,4-8 0,3 7 0,-3-7 0,4 8 0,4-8 0,-3 7 0,11-11 0,-10 6 0,6-2 0,-4-4 0,6 10 0,9-9 0,-7 11 0,5-12 0,-8 7 0,1-4 0,8-3 0,-8 7 0,8-12 0,-8 11 0,8-10 0,-4 6 0,1 1 0,8-7 0,-2 11 0,4-12 0,-5 3 0,-3-4 0,-7 9 0,8-7 0,6 6 0,-3-8 0,-2 4 0,-2-3 0,-2 3 0,11 5 0,-6-7 0,8 11 0,-7-3 0,9-7 0,0 5 0,-4-13 0,-7 5 0,-1 0 0,-8 0 0,7 0 0,-7 0 0,3 0 0,-4 0 0,4-8 0,-3 6 0,7-7 0,-7 9 0,0-4 0,2 3 0,-10 1 0,-2 10 0,-6-4 0,-3 6 0,-9-11 0,15 11 0,-19-10 0,16 10 0,-12-2 0,-1-4 0,-6 2 0,-5-4 0,9-2 0,-2 10 0,13-10 0,-13 11 0,3-3 0,-11 2 0,1-2 0,-12-1 0,8-3 0,1 4 0,5-4 0,8 2 0,-11-2 0,-11-1 0,-11 5 0,0-8 0,-3 8 0,6-4 0,-9 6 0,-7-6 0,-8 5 0,1-4 0,-8 6 0,-11 0 0,38-7 0,-2 1 0,-4 0 0,-1 0 0,-3 1 0,-2-1 0,-15 0 0,1 0 0,22-1 0,3 1 0,-9-4 0,5 1 0,-6 12 0,1-14 0,4 19 0,2-14 0,2 5 0,4-2 0,-20-3 0,3 5 0,-20 1 0,6-1 0,29-3 0,-1 0 0,-32-1 0,12 11 0,27-17 0,22 7 0,6-5 0,5 5 0,15-3 0,15 2 0,5-8 0,11 0 0,5 0 0,8 0 0,1 0 0,11 0 0,-5 0 0,14 0 0,-6 0 0,-6-4 0,-11 3 0,-11-4 0,-11 5 0,8 0 0,-7 0 0,4 0 0,-5 0 0,1-4 0,-6 3 0,13-3 0,-12-4 0,7 6 0,-8-11 0,-1 12 0,4-3 0,1 4 0,-3-8 0,12 6 0,-12-20 0,14 19 0,-1-15 0,-3 9 0,2-1 0,-13-8 0,9-3 0,-3 5 0,10-9 0,-1 14 0,1-3 0,-1-1 0,0-1 0,1 1 0,-10-4 0,15 0 0,-13 3 0,2-7 0,-3 13 0,-6-9 0,-1 9 0,13-9 0,-12-1 0,9 8 0,-6-10 0,6 6 0,0 4 0,7-17 0,-1 16 0,0-8 0,-10 3 0,7 7 0,-16-7 0,16 2 0,-20 2 0,9-4 0,-1-3 0,0 5 0,0-13 0,-3 13 0,-4-8 0,7-5 0,3 11 0,-3-10 0,-3 18 0,6-9 0,-7 0 0,11-2 0,-12-8 0,-2 13 0,10-13 0,-15 14 0,19-15 0,-16 4 0,16 5 0,-15-2 0,14 12 0,-20-6 0,7 7 0,5-14 0,-10 13 0,19-18 0,-21 13 0,7-13 0,-4 4 0,4 0 0,-2 5 0,1-3 0,-8 8 0,4-5 0,5 3 0,1 3 0,0-1 0,-6-2 0,-8-3 0,2 5 0,-2-8 0,4 13 0,0-13 0,0 8 0,0-5 0,0 3 0,0 7 0,0-8 0,0-1 0,-4 7 0,-5-10 0,3 7 0,-3-11 0,6 6 0,2-3 0,-7 17 0,-1 6 0,-6 2 0,-9 11 0,-2 2 0,1 2 0,-5 4 0,5-3 0,3 3 0,-6-5 0,16 7 0,-11-8 0,13 4 0,-8 5 0,2 1 0,-5 11 0,1-4 0,4 4 0,5-11 0,2 4 0,8-3 0,-12 4 0,11 0 0,-7-5 0,4 4 0,4-9 0,-3 10 0,4-5 0,0 17 0,0-3 0,0 11 0,0 0 0,0-5 0,0 4 0,0-11 0,4-2 0,-3-6 0,13 1 0,-8-11 0,4 3 0,-6-3 0,-4-5 0,8 16 0,-2-19 0,3 14 0,-5-6 0,4-5 0,-6 8 0,15-16 0,-11 1 0,25-8 0,-8-9 0,6 7 0,-1-12 0,-13 13 0,15-3 0,-15-5 0,4 3 0,-10-11 0,4-2 0,-6 4 0,5 1 0,-11 2 0,3 6 0,4-11 0,-2 11 0,3-7 0,-5 4 0,-4-1 0,-4-7 0,-5 11 0,-2-3 0,-6 9 0,-3 0 0,5 0 0,-13-4 0,17 3 0,-12-4 0,-2 5 0,-14 0 0,-6 0 0,-11 0 0,5 0 0,-1 0 0,3 5 0,11-4 0,2 13 0,11-8 0,5 5 0,11 1 0,-3-10 0,6 10 0,-3-2 0,-4 0 0,7 7 0,-12 3 0,8-4 0,-15 13 0,9-14 0,-15 16 0,16-15 0,-9 0 0,14-4 0,-8-10 0,12 10 0,-6-11 0,7-1 0,-14-28 0,8 4 0,-4-20 0,11 14 0,-5 0 0,6-1 0,-6 6 0,9 1 0,0 10 0,0-9 0,0 8 0,0-5 0,9 11 0,-7-3 0,6 23 0,-16-8 0,1 26 0,-2-3 0,-4-5 0,7 2 0,-4-13 0,6 7 0,-4-7 0,-3 8 0,-3-8 0,-9 9 0,2 1 0,-5-7 0,-4 1 0,15-14 0,-8-8 0,13 2 0,-14-18 0,17 8 0,-8-4 0,15 2 0,0 8 0,0-7 0,0 7 0,0-8 0,0 9 0,4-1 0,6 11 0,-5 8 0,4 1 0,-9 13 0,-9-8 0,3 14 0,-12-17 0,12 6 0,-7-18 0,12 13 0,-6-11 0,2 6 0,0-4 0,-7-3 0,6 3 0,-12 9 0,8-9 0,-9 9 0,13-17 0,-6 3 0,3-10 0,4 5 0,-3-11 0,8 7 0,0-8 0,0 9 0,0-9 0,0 8 0,0-13 0,0 12 0,0-11 0,0 12 0,0-8 0,0 8 0,0-7 0,0 7 0,0-8 0,0 8 0,8-7 0,-6 11 0,7-3 0</inkml:trace>
  <inkml:trace contextRef="#ctx0" brushRef="#br0" timeOffset="2881">2929 909 16383,'9'24'0,"-7"-9"0,11 13 0,-3-7 0,2 9 0,11-4 0,-6 3 0,3-3 0,-1 5 0,-3-1 0,0 0 0,8 1 0,-16-10 0,16 8 0,-13-8 0,15 10 0,-1 12 0,-8-14 0,10 13 0,-15-25 0,4 6 0,1-8 0,-15 4 0,15-9 0,-15-1 0,6-9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19T15:50:59.460"/>
    </inkml:context>
    <inkml:brush xml:id="br0">
      <inkml:brushProperty name="width" value="0.05" units="cm"/>
      <inkml:brushProperty name="height" value="0.3" units="cm"/>
      <inkml:brushProperty name="color" value="#849398"/>
      <inkml:brushProperty name="inkEffects" value="pencil"/>
    </inkml:brush>
  </inkml:definitions>
  <inkml:trace contextRef="#ctx0" brushRef="#br0">1 0 16383,'0'0'0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19T15:51:32.823"/>
    </inkml:context>
    <inkml:brush xml:id="br0">
      <inkml:brushProperty name="width" value="0.05" units="cm"/>
      <inkml:brushProperty name="height" value="0.3" units="cm"/>
      <inkml:brushProperty name="inkEffects" value="pencil"/>
    </inkml:brush>
  </inkml:definitions>
  <inkml:trace contextRef="#ctx0" brushRef="#br0">1 1 16383,'0'0'0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19T15:51:29.223"/>
    </inkml:context>
    <inkml:brush xml:id="br0">
      <inkml:brushProperty name="width" value="0.05" units="cm"/>
      <inkml:brushProperty name="height" value="0.3" units="cm"/>
      <inkml:brushProperty name="inkEffects" value="pencil"/>
    </inkml:brush>
  </inkml:definitions>
  <inkml:trace contextRef="#ctx0" brushRef="#br0">0 0 16383,'0'0'0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19T15:51:28.544"/>
    </inkml:context>
    <inkml:brush xml:id="br0">
      <inkml:brushProperty name="width" value="0.05" units="cm"/>
      <inkml:brushProperty name="height" value="0.3" units="cm"/>
      <inkml:brushProperty name="inkEffects" value="pencil"/>
    </inkml:brush>
  </inkml:definitions>
  <inkml:trace contextRef="#ctx0" brushRef="#br0">0 1 16383,'0'0'0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19T15:51:19.445"/>
    </inkml:context>
    <inkml:brush xml:id="br0">
      <inkml:brushProperty name="width" value="0.05" units="cm"/>
      <inkml:brushProperty name="height" value="0.3" units="cm"/>
      <inkml:brushProperty name="inkEffects" value="pencil"/>
    </inkml:brush>
  </inkml:definitions>
  <inkml:trace contextRef="#ctx0" brushRef="#br0">1 0 16383,'0'0'0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D891FB7-A1F2-4018-8AAE-7C4FD24FE8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44</Pages>
  <Words>13618</Words>
  <Characters>78305</Characters>
  <Application>Microsoft Office Word</Application>
  <DocSecurity>0</DocSecurity>
  <Lines>1305</Lines>
  <Paragraphs>478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Ibrahim Mohamed Mohamed Hussein Mohamed (2132801)</cp:lastModifiedBy>
  <cp:revision>2</cp:revision>
  <dcterms:created xsi:type="dcterms:W3CDTF">2026-05-21T12:00:00Z</dcterms:created>
  <dcterms:modified xsi:type="dcterms:W3CDTF">2026-05-21T12:00:00Z</dcterms:modified>
</cp:coreProperties>
</file>