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E16C61" w14:textId="77777777" w:rsidR="009B529C" w:rsidRDefault="009B529C" w:rsidP="009B529C">
      <w:pPr>
        <w:ind w:left="720" w:right="1100"/>
        <w:jc w:val="both"/>
        <w:rPr>
          <w:rFonts w:eastAsia="Times New Roman"/>
          <w:color w:val="333333"/>
          <w:sz w:val="28"/>
          <w:szCs w:val="28"/>
          <w:shd w:val="clear" w:color="auto" w:fill="FFFFFF"/>
        </w:rPr>
      </w:pPr>
      <w:r w:rsidRPr="0091449E">
        <w:rPr>
          <w:rFonts w:eastAsia="Times New Roman"/>
          <w:color w:val="333333"/>
          <w:sz w:val="28"/>
          <w:szCs w:val="28"/>
          <w:shd w:val="clear" w:color="auto" w:fill="FFFFFF"/>
        </w:rPr>
        <w:t>‘Europe is not an obstacle to national sovereignty; it is the necessary means to improve national sovereignty</w:t>
      </w:r>
      <w:r>
        <w:rPr>
          <w:rFonts w:eastAsia="Times New Roman"/>
          <w:color w:val="333333"/>
          <w:sz w:val="28"/>
          <w:szCs w:val="28"/>
          <w:shd w:val="clear" w:color="auto" w:fill="FFFFFF"/>
        </w:rPr>
        <w:t xml:space="preserve">’ </w:t>
      </w:r>
      <w:r w:rsidRPr="0091449E">
        <w:rPr>
          <w:rFonts w:eastAsia="Times New Roman"/>
          <w:color w:val="333333"/>
          <w:sz w:val="28"/>
          <w:szCs w:val="28"/>
          <w:shd w:val="clear" w:color="auto" w:fill="FFFFFF"/>
        </w:rPr>
        <w:t xml:space="preserve">(Beck, 2013). </w:t>
      </w:r>
    </w:p>
    <w:p w14:paraId="1207CEE2" w14:textId="77777777" w:rsidR="009B529C" w:rsidRDefault="009B529C" w:rsidP="009B529C">
      <w:pPr>
        <w:ind w:left="720" w:right="1100"/>
        <w:jc w:val="both"/>
        <w:rPr>
          <w:rFonts w:eastAsia="Times New Roman"/>
          <w:color w:val="333333"/>
          <w:sz w:val="28"/>
          <w:szCs w:val="28"/>
          <w:shd w:val="clear" w:color="auto" w:fill="FFFFFF"/>
        </w:rPr>
      </w:pPr>
    </w:p>
    <w:p w14:paraId="50988180" w14:textId="77777777" w:rsidR="009B529C" w:rsidRPr="001859E0" w:rsidRDefault="009B529C" w:rsidP="009B529C">
      <w:pPr>
        <w:spacing w:line="360" w:lineRule="auto"/>
        <w:ind w:right="20"/>
        <w:jc w:val="both"/>
        <w:rPr>
          <w:rFonts w:eastAsia="Times New Roman"/>
          <w:color w:val="333333"/>
          <w:sz w:val="28"/>
          <w:szCs w:val="28"/>
          <w:shd w:val="clear" w:color="auto" w:fill="FFFFFF"/>
        </w:rPr>
      </w:pPr>
      <w:r>
        <w:rPr>
          <w:sz w:val="28"/>
          <w:szCs w:val="28"/>
        </w:rPr>
        <w:t xml:space="preserve">The words of Ulrich Beck provide a provocative and stark contrast to the debate surrounding Britain’s exit (Brexit) from the European Union (EU) where sovereignty was depicted as a zero-sum game (Fabbrini, 2017). Brexit in this respect, presented </w:t>
      </w:r>
      <w:r w:rsidRPr="006D05A1">
        <w:rPr>
          <w:sz w:val="28"/>
          <w:szCs w:val="28"/>
        </w:rPr>
        <w:t>an opportunity to ‘take back control’</w:t>
      </w:r>
      <w:r>
        <w:rPr>
          <w:sz w:val="28"/>
          <w:szCs w:val="28"/>
        </w:rPr>
        <w:t xml:space="preserve"> (Richards, 2016). It professed to offer </w:t>
      </w:r>
      <w:r w:rsidRPr="006D05A1">
        <w:rPr>
          <w:sz w:val="28"/>
          <w:szCs w:val="28"/>
        </w:rPr>
        <w:t xml:space="preserve">public reclamation of autonomy of agency, </w:t>
      </w:r>
      <w:r>
        <w:rPr>
          <w:sz w:val="28"/>
          <w:szCs w:val="28"/>
        </w:rPr>
        <w:t xml:space="preserve">bringing forth the opportunity to </w:t>
      </w:r>
      <w:r w:rsidRPr="006D05A1">
        <w:rPr>
          <w:sz w:val="28"/>
          <w:szCs w:val="28"/>
        </w:rPr>
        <w:t xml:space="preserve">improve the livelihoods of </w:t>
      </w:r>
      <w:r>
        <w:rPr>
          <w:sz w:val="28"/>
          <w:szCs w:val="28"/>
        </w:rPr>
        <w:t xml:space="preserve">those </w:t>
      </w:r>
      <w:r w:rsidRPr="006D05A1">
        <w:rPr>
          <w:sz w:val="28"/>
          <w:szCs w:val="28"/>
        </w:rPr>
        <w:t xml:space="preserve">who felt beset by the threats of immigration </w:t>
      </w:r>
      <w:r>
        <w:rPr>
          <w:sz w:val="28"/>
          <w:szCs w:val="28"/>
        </w:rPr>
        <w:t xml:space="preserve">and </w:t>
      </w:r>
      <w:r w:rsidRPr="006D05A1">
        <w:rPr>
          <w:sz w:val="28"/>
          <w:szCs w:val="28"/>
        </w:rPr>
        <w:t xml:space="preserve">a system </w:t>
      </w:r>
      <w:r>
        <w:rPr>
          <w:sz w:val="28"/>
          <w:szCs w:val="28"/>
        </w:rPr>
        <w:t>which</w:t>
      </w:r>
      <w:r w:rsidRPr="006D05A1">
        <w:rPr>
          <w:sz w:val="28"/>
          <w:szCs w:val="28"/>
        </w:rPr>
        <w:t xml:space="preserve"> failed to deliver for the ordinary citizen</w:t>
      </w:r>
      <w:r>
        <w:rPr>
          <w:sz w:val="28"/>
          <w:szCs w:val="28"/>
        </w:rPr>
        <w:t xml:space="preserve"> (Goodwin, 2016)</w:t>
      </w:r>
      <w:r w:rsidRPr="006D05A1">
        <w:rPr>
          <w:sz w:val="28"/>
          <w:szCs w:val="28"/>
        </w:rPr>
        <w:t>.</w:t>
      </w:r>
      <w:r>
        <w:rPr>
          <w:sz w:val="28"/>
          <w:szCs w:val="28"/>
        </w:rPr>
        <w:t xml:space="preserve"> This perspective will be critically examined and the validity of the referendum as a tool for democracy in an era of post truth and populism challenged. An opposing view will be offered which postulates that the EU increased the UK’s ability to pursue its national interests, acted as a binding force on the constituent nations of the UK and protected those most vulnerable to the UK’s austerity measures, particularly those most deprived in regions of Wales (Wolf, 2016; Parliament. House of Lords, 2017). In recognition that inequalities which besiege the UK, stem not from membership of the EU, but from the failures of domestic government, it is proposed that the decision to withdraw will not only fail to ameliorate the prosperity of UK citizens, but will instead exacerbate divisions in society, undermine the Welsh Government’s agenda to secure Wales’ future, threaten the integrity of the UK and limit its scope and power in the global order (Halikiopoulou and Vasilopoulou, 2014; Sapir and Wolff, 2016). </w:t>
      </w:r>
    </w:p>
    <w:p w14:paraId="05ACFDB2" w14:textId="77777777" w:rsidR="009B529C" w:rsidRDefault="009B529C" w:rsidP="009B529C">
      <w:pPr>
        <w:spacing w:line="360" w:lineRule="auto"/>
        <w:jc w:val="both"/>
        <w:rPr>
          <w:sz w:val="28"/>
          <w:szCs w:val="28"/>
        </w:rPr>
      </w:pPr>
    </w:p>
    <w:p w14:paraId="588D423F" w14:textId="77777777" w:rsidR="009B529C" w:rsidRDefault="009B529C" w:rsidP="009B529C">
      <w:pPr>
        <w:spacing w:line="360" w:lineRule="auto"/>
        <w:jc w:val="both"/>
        <w:rPr>
          <w:sz w:val="28"/>
          <w:szCs w:val="28"/>
        </w:rPr>
      </w:pPr>
      <w:r>
        <w:rPr>
          <w:sz w:val="28"/>
          <w:szCs w:val="28"/>
        </w:rPr>
        <w:t xml:space="preserve">The UK is a nation divided - a frequent observation of the electoral split in which 51.9% voted to leave the EU and 48.1% to remain (Ashcroft and Bevir, 2016). A plethora of analysis has since followed, seeking to explain the result and provide a more comprehensive understanding of the motivations which underlie the outcome (Dorling, Stuart and Stubbs, 2016). Research has revealed that the referendum traversed traditional party boundaries and exposed deeper social and </w:t>
      </w:r>
      <w:r>
        <w:rPr>
          <w:sz w:val="28"/>
          <w:szCs w:val="28"/>
        </w:rPr>
        <w:lastRenderedPageBreak/>
        <w:t>geographical divides (O’Reilly, 2016). The leave vote was more predominant in areas lacking opportunities, with an older population, and a higher proportion of low-skilled and less-educated citizens, highlighting the persistence of class inequalities (Goodwin and Heath, 2016). Whilst this does not account for all supporters of Brexit, there is consensus that the leave vote was driven by those who felt marginalised and detached from the economic liberal elite of the European system (Hobolt, 2016). Referred to as ‘the left behind’, this demographic has been hit hardest by the effects of deindustrialisation and the uneven impacts of globalisation (</w:t>
      </w:r>
      <w:r w:rsidRPr="00EA489E">
        <w:rPr>
          <w:sz w:val="28"/>
          <w:szCs w:val="28"/>
        </w:rPr>
        <w:t>Hanley, 2011</w:t>
      </w:r>
      <w:r>
        <w:rPr>
          <w:sz w:val="28"/>
          <w:szCs w:val="28"/>
        </w:rPr>
        <w:t xml:space="preserve">). Brexit presented itself as an opportunity for these people to reject the status quo, voice discontent and reclaim a sense of agency which had been absent in the lives of those unable to improve their standard of living (Johnston, 2016). This has led some to posit that Brexit represented a rejection of globalisation and the neoliberal policies which facilitated its unimpeded progress and rising inequality left in its wake (Oliver, 2016). This raises the question as to whether domestic economic policy and failure of national government to protect against the harmful impacts of globalisation are more likely candidates for blame than the institutions of the EU. </w:t>
      </w:r>
    </w:p>
    <w:p w14:paraId="3E3347A6" w14:textId="77777777" w:rsidR="009B529C" w:rsidRDefault="009B529C" w:rsidP="009B529C">
      <w:pPr>
        <w:spacing w:line="360" w:lineRule="auto"/>
        <w:jc w:val="both"/>
        <w:rPr>
          <w:sz w:val="28"/>
          <w:szCs w:val="28"/>
        </w:rPr>
      </w:pPr>
    </w:p>
    <w:p w14:paraId="50508033" w14:textId="77777777" w:rsidR="009B529C" w:rsidRDefault="009B529C" w:rsidP="009B529C">
      <w:pPr>
        <w:spacing w:line="360" w:lineRule="auto"/>
        <w:jc w:val="both"/>
        <w:rPr>
          <w:sz w:val="28"/>
          <w:szCs w:val="28"/>
        </w:rPr>
      </w:pPr>
      <w:r>
        <w:rPr>
          <w:sz w:val="28"/>
          <w:szCs w:val="28"/>
        </w:rPr>
        <w:t xml:space="preserve">Disenchantment with Europe is not a recent phenomenon. The ratification of the Maastricht Treaty in 1992 which brought about closer political union, proved contentious amongst Eurosceptic politicians (Wright, 2015). Over the intervening years, governments have found the image of a remote and unaccountable EU, a convenient scapegoat to deflect criticism away from the competency of its governance (Wolff, 2013). The introduction of a ‘referendum lock’ enshrined in the European Union Act (2011), rooted populism in the politics of those opposing EU integration (Wellings and Vines, 2016). The ‘referendum lock’ committed the government to seeking the approval of the British people before any further transfer of powers to the EU could be made. In doing so, the government contributed to the ‘populist zeitgeist’, pitting the people against a European political elite (Muddle, 2004). The populist narrative repudiates ambiguous political jargon in favour of simplicity and direct solutions, finding support amongst the socially excluded who do not believe their interests are served by those in power and who perceive society to be in a state of decline (Elchardus and Spruyt, 2014). This was evident during the referendum campaign, where the populist voice, which claimed to represent the ‘ordinary voter’ and a return to an era of British values, was well received (Inglehart and Norris, 2016). The alignment of populism with the needs of ‘the people’ serves to legitimise the aims of demagogic figures under the pretence of real democracy (Canovan, 1999). Despite its democratic guise, the anti-pluralist nature of populism which dismisses those who do not conform to its values as not part of the people, represents a threat to liberal democracy and the elements which safeguard the rights of minorities from the potential tyranny of the principle of majority rule (Enyedi, 2017). The populist rhetoric of both the American presidential and UK referendum campaigns represented a retreat to nationalism which found support with those resentful of cultural change (Inglehart and Norris, 2016). Public concerns regarding the impact of unrestricted freedom of movement in a climate of austerity, cuts to public services and lack of affordable housing, were seized upon by right-wing populist figures such as Nigel Farage and used to stoke hostility towards an immigrant ‘other’ (European Commission against Racism and Intolerance, 2016). The ‘politics of fear’ invoked by populism, transforms the concerns of a section of society into xenophobic rhetoric (Wodak, </w:t>
      </w:r>
      <w:r w:rsidRPr="00442108">
        <w:rPr>
          <w:sz w:val="28"/>
          <w:szCs w:val="28"/>
        </w:rPr>
        <w:t>2015</w:t>
      </w:r>
      <w:r>
        <w:rPr>
          <w:sz w:val="28"/>
          <w:szCs w:val="28"/>
        </w:rPr>
        <w:t xml:space="preserve">). Exclusionary narratives, previously the preserve of the far-right, entered mainstream politics, prompting an All Party Parliamentary Group on Social Integration (2017) to describe the tone of the immigration debate as ‘poisonous’. The divisive nature of populism poses a threat to the cohesion of society as manifested in the sharp increase in hate crime following the referendum (BBC, 2016). However, to perceive populism solely in terms of its divisiveness, risks detracting from the underlying issues which enabled its rise (Davis, 2017). A succession of political scandals and betrayed election pledges have fostered a sense of distrust and cynicism which have encouraged a disgruntled electorate to look to populist figures for change (Barnett, 2017). </w:t>
      </w:r>
    </w:p>
    <w:p w14:paraId="3B52F6A6" w14:textId="77777777" w:rsidR="009B529C" w:rsidRDefault="009B529C" w:rsidP="009B529C">
      <w:pPr>
        <w:spacing w:line="360" w:lineRule="auto"/>
        <w:jc w:val="both"/>
        <w:rPr>
          <w:sz w:val="28"/>
          <w:szCs w:val="28"/>
        </w:rPr>
      </w:pPr>
    </w:p>
    <w:p w14:paraId="78CD1B23" w14:textId="77777777" w:rsidR="009B529C" w:rsidRDefault="009B529C" w:rsidP="009B529C">
      <w:pPr>
        <w:spacing w:line="360" w:lineRule="auto"/>
        <w:jc w:val="both"/>
        <w:rPr>
          <w:sz w:val="28"/>
          <w:szCs w:val="28"/>
        </w:rPr>
      </w:pPr>
      <w:r>
        <w:rPr>
          <w:sz w:val="28"/>
          <w:szCs w:val="28"/>
        </w:rPr>
        <w:t xml:space="preserve">Whilst the direct approach of the populist avoids the obfuscation and spin of traditional politics, populism’s frankness is not representative of a move towards veracity. It is underpinned by the mendacity of what has been termed post truth: assertions which seek to invoke an emotional reaction and which have little grounding in fact or expertise (Speed and Mannion, 2017; </w:t>
      </w:r>
      <w:r w:rsidRPr="0011201C">
        <w:rPr>
          <w:sz w:val="28"/>
          <w:szCs w:val="28"/>
        </w:rPr>
        <w:t>Davis, 2017)</w:t>
      </w:r>
      <w:r>
        <w:rPr>
          <w:sz w:val="28"/>
          <w:szCs w:val="28"/>
        </w:rPr>
        <w:t xml:space="preserve">. Favoured by the autocrat, the devaluing of truth undermines the democratic process; its threat vividly brought to life in Dancona’s (2017, pg2) description of post truth as </w:t>
      </w:r>
      <w:r w:rsidRPr="008269FF">
        <w:rPr>
          <w:sz w:val="28"/>
          <w:szCs w:val="28"/>
        </w:rPr>
        <w:t>‘pernicious relativism disguised as legitimate scepticism’</w:t>
      </w:r>
      <w:r>
        <w:rPr>
          <w:sz w:val="28"/>
          <w:szCs w:val="28"/>
        </w:rPr>
        <w:t xml:space="preserve"> (Ball, 2017). Evocative of an Orwellian dystopia, the Brexit campaign sought to manipulate the electorate and ‘narrow the range of thought’ through opportunistic use of half-truths and misleading claims (Orwell, 1949). Such methods are evidenced in the Leave campaign’s suggestion that Turkey would join the EU and result in an influx of Muslims and that an additional £350 million could be spent on the NHS a week should the UK leave the EU - both of which considered highly misleading (Barnett, 2017). However, to assume that post truth won the referendum is to assume that the public were manipulated and deceived to such a degree that their agency was invalidated (Ball, 2017). An Ipsos MORI and Mumsnet (2016) joint report reveals evidence to the contrary, reporting that only 9% of Leave voters trusted politicians. This suggests that their desire for change was strong enough to compel them to vote leave regardless of whether they believed the assertions made. The poor did not need persuading that the current system was not on their side having borne the greatest impact of the financial crash whilst witnessing an estimated £141 billion bailout of the banking sector (Oxfam, 2013). Aligning with the populist was a move towards supporting their own interests, having long known that these were ignored by the political elite (Davies, 2017). The same elite throughout the referendum campaign, referred to those who have failed to prosper from a globalised economy as ‘the left behind’, implying a lack of intent and inferring that their situation was accidental, thereby dissolving the government of its responsibility (Barnett, 2017). Whilst populism compels</w:t>
      </w:r>
      <w:r w:rsidRPr="00276E8B">
        <w:rPr>
          <w:sz w:val="28"/>
          <w:szCs w:val="28"/>
        </w:rPr>
        <w:t xml:space="preserve"> politicians to confront the concerns of </w:t>
      </w:r>
      <w:r>
        <w:rPr>
          <w:sz w:val="28"/>
          <w:szCs w:val="28"/>
        </w:rPr>
        <w:t>citizens, danger lies in its appeal to the emotions and discontent of ‘the people’ which creates a harmful dichotomy between the ‘pure people’ and ‘corrupt elite’ (Mudde, 2004). A view reaffirmed by the Social Mobility Commission’s (2017) State of the Nation Report, which refers to the ‘deeply corrosive’ effect of an ‘us and them society’. Change is needed to redress the social, economic and regional disparities which threaten the cohesion of the UK: for many the answer lies in the reclamation of sovereignty and control offered by Brexit; to which this essay will now turn.</w:t>
      </w:r>
    </w:p>
    <w:p w14:paraId="6F970FF0" w14:textId="77777777" w:rsidR="009B529C" w:rsidRDefault="009B529C" w:rsidP="009B529C">
      <w:pPr>
        <w:spacing w:line="360" w:lineRule="auto"/>
        <w:jc w:val="both"/>
        <w:rPr>
          <w:sz w:val="28"/>
          <w:szCs w:val="28"/>
        </w:rPr>
      </w:pPr>
    </w:p>
    <w:p w14:paraId="114B5EB4" w14:textId="77777777" w:rsidR="009B529C" w:rsidRDefault="009B529C" w:rsidP="009B529C">
      <w:pPr>
        <w:spacing w:line="360" w:lineRule="auto"/>
        <w:jc w:val="both"/>
        <w:rPr>
          <w:sz w:val="28"/>
          <w:szCs w:val="28"/>
        </w:rPr>
      </w:pPr>
      <w:r>
        <w:rPr>
          <w:sz w:val="28"/>
          <w:szCs w:val="28"/>
        </w:rPr>
        <w:t xml:space="preserve">The politics of sovereignty dominated the debate on Brexit, primarily as this was perceived to be the means by which to control immigration (Portes, </w:t>
      </w:r>
      <w:r w:rsidRPr="00F9681C">
        <w:rPr>
          <w:sz w:val="28"/>
          <w:szCs w:val="28"/>
        </w:rPr>
        <w:t>2016</w:t>
      </w:r>
      <w:r>
        <w:rPr>
          <w:sz w:val="28"/>
          <w:szCs w:val="28"/>
        </w:rPr>
        <w:t xml:space="preserve">). Uncontrolled immigration has been deemed a threat to native employment and a contributing factor towards lower wages, shortage of housing and pressure on public services (The Economist, 2016). However, the consensus amongst economists is that immigration has benefited public finances (Baldwin, 2016); a view supported by a recent report from HM Revenue &amp; Customs (2016) which concluded that non-UK European nationals made a net contribution of £2.54 billion to the economy during the tax year 2013-14. Despite this positive fiscal contribution, it remains necessary to analyse the impact of immigration upon individuals and the services on which they rely, as it is these issues which are salient to many leave voters. Research has evidenced that EU immigration has neither significantly affected the employment prospects of native people nor precipitated any fall in wages (Petrongolo, 2016). Where negative effects were identified, this was experienced by existing migrants who were most affected by the risk of substitution posed by the more up-to-date skills of newer migrants (Ruhs and Vargas-Silva, 2017). The lack of impact on native employment is supported by Tilford (2016) who attributes the struggles of UK citizens not to immigration but to the recession following the financial crisis of 2008 and the consequential fall in real wages.  Immigration is likewise blamed for the housing crisis where it is supposed that the rising number of migrants has created a shortage of affordable housing and led to increased prices and tensions between natives and migrants over competition for scarce social hosing (Battiston </w:t>
      </w:r>
      <w:r w:rsidRPr="00C82017">
        <w:rPr>
          <w:i/>
          <w:sz w:val="28"/>
          <w:szCs w:val="28"/>
        </w:rPr>
        <w:t>et al,</w:t>
      </w:r>
      <w:r>
        <w:rPr>
          <w:sz w:val="28"/>
          <w:szCs w:val="28"/>
        </w:rPr>
        <w:t xml:space="preserve"> 2014). Migrants contribute to the size of the overall population and therefore to demand for housing, however, there is little evidence of this increasing house prices (Vargas-Silva, 2017). Additionally, migrants are less likely to live in social housing compared to native households and research has concluded that there is no evidence of bias towards migrants in allocating social housing (Battiston </w:t>
      </w:r>
      <w:r w:rsidRPr="0031740A">
        <w:rPr>
          <w:i/>
          <w:sz w:val="28"/>
          <w:szCs w:val="28"/>
        </w:rPr>
        <w:t>et al</w:t>
      </w:r>
      <w:r>
        <w:rPr>
          <w:sz w:val="28"/>
          <w:szCs w:val="28"/>
        </w:rPr>
        <w:t>, 2014). The origins of the UK housing crisis lay not in the hands of migrants but in the neo-liberal policies of government (Bowie, 2017). The Thatcher Government of the 1980s advanced neoliberalism in an effort to reduce public dependency on the state; privatising council housing through the ‘Right to Buy’ and liberalising the mortgage market (Robertson, 2017). The effect of which was to severely reduce social housing stock and dramatically increase house prices. Successive governments have failed to redress these issues which has led to the current shortage of affordable housing (National Housing Federation, 2017). Finally, immigration is charged with increasing pressure on public services such as the NHS and education, to the detriment of those born in the UK. As has been previously acknowledged, immigration is a net contributor to the UK economy and so it is the responsibility of government to channel the taxation of immigrants to the services on which their residency has placed extra demands (Tilford, 2016). In addition to financing public services, immigrants also make significant contributions to its provision, representing ‘more than a third of medical practitioners… and over one fifth of nurses’ (Sumption and Young, 2014). Despite a plethora of evidence refuting the ill-effects of immigration, hostility towards migrants continues to frame the debate surrounding the UK’s departure from the EU. Theresa May’s (2017a) speech setting out the plan for Brexit promulgated many of the unproven controversies surrounding immigration, one of many occasions during which politicians have reinforced anti-immigrant sentiment to deflect attention from the real cause of the UK’s problems.  In this respect, the government can be viewed as complicit in the scapegoating of migrants which is deemed preferable to conceding to national policy failures (Tilford, 2017).</w:t>
      </w:r>
    </w:p>
    <w:p w14:paraId="137CE441" w14:textId="77777777" w:rsidR="009B529C" w:rsidRDefault="009B529C" w:rsidP="009B529C">
      <w:pPr>
        <w:spacing w:line="360" w:lineRule="auto"/>
        <w:jc w:val="both"/>
        <w:rPr>
          <w:sz w:val="28"/>
          <w:szCs w:val="28"/>
        </w:rPr>
      </w:pPr>
    </w:p>
    <w:p w14:paraId="394D4251" w14:textId="77777777" w:rsidR="009B529C" w:rsidRDefault="009B529C" w:rsidP="009B529C">
      <w:pPr>
        <w:spacing w:line="360" w:lineRule="auto"/>
        <w:jc w:val="both"/>
        <w:rPr>
          <w:sz w:val="28"/>
          <w:szCs w:val="28"/>
        </w:rPr>
      </w:pPr>
      <w:r>
        <w:rPr>
          <w:sz w:val="28"/>
          <w:szCs w:val="28"/>
        </w:rPr>
        <w:t>As evidenced above, there is little indication that leaving the EU, will by itself, redress the factors underlying the economic, social and regional disparities which have surfaced during the referendum. The prime minister’s awareness of the political climate which led to the country’s “quiet revolution” was conveyed during her conference party speech, in which she acknowledged that change is needed to engender “a country that works for everyone” (May, 2017b). Delivering a successful Brexit outcome, will therefore require taking into consideration the disparate interests of the public and wider devolved nations.  The government’s ongoing negotiations with the EU are burdened with this weight of expectancy; a challenge which if not met risks deepening social divisions and dissolving the UK (Ford and Goodwin, 2017). Underlying the challenging circumstances of the negotiations are the weaknesses of the referendum process. Referendums are commonly perceived as a means of deepening democracy by referring issues of importance to the public (House of Lords, 2010). However, an oppositional perspective, views referendums as a ‘binary form of democracy’ where a choice between In or Out of the EU, symbolises a choice between two ideologies rather than a representation of direct democracy</w:t>
      </w:r>
      <w:r w:rsidRPr="00D868B8">
        <w:rPr>
          <w:sz w:val="28"/>
          <w:szCs w:val="28"/>
        </w:rPr>
        <w:t xml:space="preserve"> </w:t>
      </w:r>
      <w:r>
        <w:rPr>
          <w:sz w:val="28"/>
          <w:szCs w:val="28"/>
        </w:rPr>
        <w:t xml:space="preserve">(Barnes, 2016). Furthermore, a referendum’s propensity to define the ‘will of the people’ in a singular voice, presents a risk to liberal democracy in that it ignores the plurality of the people and in the case of the EU referendum the 48% who voted to remain (Ash, 2017). In this respect, the referendum fails to capture the complexity of the issues involved and enables negotiations to take place without a nuanced understanding of public intent on areas of importance such as the customs union and the single market. </w:t>
      </w:r>
    </w:p>
    <w:p w14:paraId="63F5F9CF" w14:textId="77777777" w:rsidR="009B529C" w:rsidRDefault="009B529C" w:rsidP="009B529C">
      <w:pPr>
        <w:spacing w:line="360" w:lineRule="auto"/>
        <w:jc w:val="both"/>
        <w:rPr>
          <w:sz w:val="28"/>
          <w:szCs w:val="28"/>
        </w:rPr>
      </w:pPr>
    </w:p>
    <w:p w14:paraId="6E7D78FA" w14:textId="77777777" w:rsidR="009B529C" w:rsidRDefault="009B529C" w:rsidP="009B529C">
      <w:pPr>
        <w:spacing w:line="360" w:lineRule="auto"/>
        <w:jc w:val="both"/>
        <w:rPr>
          <w:sz w:val="28"/>
          <w:szCs w:val="28"/>
        </w:rPr>
      </w:pPr>
      <w:r>
        <w:rPr>
          <w:sz w:val="28"/>
          <w:szCs w:val="28"/>
        </w:rPr>
        <w:t xml:space="preserve">News of current negotiations has dominated media headlines and as at the time of writing the European Commission is satisfied that sufficient progress has been made to advance to the second phase of Article 50 negotiations (European Commission, 2017). The complexity surrounding the devolved governments and the UK withdrawal from the EU has been widely acknowledged and described in a report by the House of Lords’ European Union Committee as ‘one of the most… politically contentious elements’ of the Brexit process (Parliament. House of Lords, 2017). Not least due to the incongruity of Theresa May’s statement (2017) that ‘we voted… as one United Kingdom, we will negotiate as one United Kingdom, and we will leave… as one United Kingdom’. In stressing the importance of the Union, Theresa May seeks to minimise the potential for division arising from the differing electoral outcomes of the devolved nations. The remain majority vote of both Scotland and Northern Ireland poses a significant constitutional challenge, presenting a threat to peace in Ireland and raising the issue of independence in Scotland (Blick, 2016). Consequentially, Wales (which had a majority leave vote in alignment with England) risks being overlooked in the shadow of the more problematic issues surrounding the other devolved administrations (House of Lords, 2017). The greater political weight of Northern Ireland was displayed when the Democratic Unionist Party (DUP) brought about a halt to the conclusion of the first phase of Article 50 negotiations over the issue of regulatory divergence between Northern Ireland and the UK (BBC, 2017). The Welsh Government’s lack of political leverage, undermines its ability to influence the Brexit deal and obtain the best outcome for Wales. </w:t>
      </w:r>
    </w:p>
    <w:p w14:paraId="5E96F58C" w14:textId="77777777" w:rsidR="009B529C" w:rsidRDefault="009B529C" w:rsidP="009B529C">
      <w:pPr>
        <w:spacing w:line="360" w:lineRule="auto"/>
        <w:jc w:val="both"/>
        <w:rPr>
          <w:sz w:val="28"/>
          <w:szCs w:val="28"/>
        </w:rPr>
      </w:pPr>
    </w:p>
    <w:p w14:paraId="6056D6E5" w14:textId="77777777" w:rsidR="009B529C" w:rsidRDefault="009B529C" w:rsidP="009B529C">
      <w:pPr>
        <w:spacing w:line="360" w:lineRule="auto"/>
        <w:jc w:val="both"/>
        <w:rPr>
          <w:sz w:val="28"/>
          <w:szCs w:val="28"/>
        </w:rPr>
      </w:pPr>
      <w:r>
        <w:rPr>
          <w:sz w:val="28"/>
          <w:szCs w:val="28"/>
        </w:rPr>
        <w:t xml:space="preserve">In acknowledgment of the substantial impact Brexit could have upon Wales, the Welsh Government (2017c) has made clear its intent to ensure the interests of Wales are protected. The devolved administration has sought to work closely with the UK Government to ensure their priorities are represented during the EU negotiations and an agreement is reached which will secure Wales’ future prosperity. The First Minister of Wales, Carwyn Jones (2017), has however expressed concern over the reciprocity of the relationship, stating that the UK Government has not shown a “willingness to engage” and demonstrated a “fundamental lack of trust”. The decision of the Supreme Court (2017) which ruled that the UK Government need not seek the authorisation of the devolved institutions before enacting Brexit, reinforced the primacy of Parliament and made apparent the limited scope of the devolved governments in the Brexit process (Birrell and Gray, 2017). </w:t>
      </w:r>
    </w:p>
    <w:p w14:paraId="7E7F03A0" w14:textId="77777777" w:rsidR="009B529C" w:rsidRDefault="009B529C" w:rsidP="009B529C">
      <w:pPr>
        <w:spacing w:line="360" w:lineRule="auto"/>
        <w:jc w:val="both"/>
        <w:rPr>
          <w:sz w:val="28"/>
          <w:szCs w:val="28"/>
        </w:rPr>
      </w:pPr>
    </w:p>
    <w:p w14:paraId="69BB1BAA" w14:textId="77777777" w:rsidR="009B529C" w:rsidRDefault="009B529C" w:rsidP="009B529C">
      <w:pPr>
        <w:spacing w:line="360" w:lineRule="auto"/>
        <w:jc w:val="both"/>
        <w:rPr>
          <w:sz w:val="28"/>
          <w:szCs w:val="28"/>
        </w:rPr>
      </w:pPr>
      <w:r>
        <w:rPr>
          <w:sz w:val="28"/>
          <w:szCs w:val="28"/>
        </w:rPr>
        <w:t>Further concerns have been raised in relation to the European Union (Withdrawal) Bill which sets out the process of transferring EU law into UK law following withdrawal from the EU and its impact upon the powers of Welsh Ministers (Moss and Jones, 2017). The Welsh Government and Scottish Government have refused consent for the Bill in its current form, jointly criticising the UK Government’s approach to the repatriation of EU powers in what they deem as “an attack on the founding principles of devolution” (First Ministers of Wales and Scotland, 2017).  Clause 11 of the Bill prevents EU powers on areas of devolved policy from returning directly to Cardiff, restricting the legislative competence of the devolved government (Moss and Jones, 2017). In effect, the powers would return to Westminster in a move which the Welsh First Minister describes as ‘a naked power-grab’ (Fist Ministers of Wales and Scotland, 2017). The motivation behind the centralisation of returning powers is to provide continuity upon withdrawal and certainty in the law, in the immediate wake of Brexit (</w:t>
      </w:r>
      <w:r w:rsidRPr="00207642">
        <w:rPr>
          <w:sz w:val="28"/>
          <w:szCs w:val="28"/>
        </w:rPr>
        <w:t>Parliament. House of Lords, 2017</w:t>
      </w:r>
      <w:r>
        <w:rPr>
          <w:sz w:val="28"/>
          <w:szCs w:val="28"/>
        </w:rPr>
        <w:t>). Currently, the supremacy of EU law acts as a binding force, preventing the devolved administrations from enacting laws contrary to EU legislation and consequently from diverging with each other. To this end, EU membership has facilitated the operation of the UK’s internal single market by ensuring the uniformity of laws and regulations across the Union (Parliament. House of Lords, 2017). The need for common frameworks which prevent barriers to trade within the UK market is one which is recognised by the Welsh Government as a priority, yet it believes that this need not be at the expense of the devolution settlement and continues to seek the transfer of EU powers to Wales (</w:t>
      </w:r>
      <w:r w:rsidRPr="000126D3">
        <w:rPr>
          <w:sz w:val="28"/>
          <w:szCs w:val="28"/>
        </w:rPr>
        <w:t>Welsh Government, 2017c</w:t>
      </w:r>
      <w:r>
        <w:rPr>
          <w:sz w:val="28"/>
          <w:szCs w:val="28"/>
        </w:rPr>
        <w:t xml:space="preserve">). A view supported by the third sector and </w:t>
      </w:r>
      <w:r w:rsidRPr="00420159">
        <w:rPr>
          <w:sz w:val="28"/>
          <w:szCs w:val="28"/>
        </w:rPr>
        <w:t>Plaid Cymru leader Leanne Wood</w:t>
      </w:r>
      <w:r>
        <w:rPr>
          <w:sz w:val="28"/>
          <w:szCs w:val="28"/>
        </w:rPr>
        <w:t xml:space="preserve"> who reason that </w:t>
      </w:r>
      <w:r w:rsidRPr="00420159">
        <w:rPr>
          <w:sz w:val="28"/>
          <w:szCs w:val="28"/>
        </w:rPr>
        <w:t xml:space="preserve">the loss of power </w:t>
      </w:r>
      <w:r>
        <w:rPr>
          <w:sz w:val="28"/>
          <w:szCs w:val="28"/>
        </w:rPr>
        <w:t>will inhibit</w:t>
      </w:r>
      <w:r w:rsidRPr="00420159">
        <w:rPr>
          <w:sz w:val="28"/>
          <w:szCs w:val="28"/>
        </w:rPr>
        <w:t xml:space="preserve"> the ability of the Welsh Government and the </w:t>
      </w:r>
      <w:r w:rsidRPr="00420159">
        <w:rPr>
          <w:color w:val="000000" w:themeColor="text1"/>
          <w:sz w:val="28"/>
          <w:szCs w:val="28"/>
        </w:rPr>
        <w:t>third</w:t>
      </w:r>
      <w:r w:rsidRPr="00420159">
        <w:rPr>
          <w:sz w:val="28"/>
          <w:szCs w:val="28"/>
        </w:rPr>
        <w:t xml:space="preserve"> sector to respond to the specific needs of the people in Wales (WCVA and SCVO, 2017).</w:t>
      </w:r>
      <w:r>
        <w:rPr>
          <w:sz w:val="28"/>
          <w:szCs w:val="28"/>
        </w:rPr>
        <w:t xml:space="preserve"> </w:t>
      </w:r>
    </w:p>
    <w:p w14:paraId="4A21436A" w14:textId="77777777" w:rsidR="009B529C" w:rsidRDefault="009B529C" w:rsidP="009B529C">
      <w:pPr>
        <w:spacing w:line="360" w:lineRule="auto"/>
        <w:jc w:val="both"/>
        <w:rPr>
          <w:sz w:val="28"/>
          <w:szCs w:val="28"/>
        </w:rPr>
      </w:pPr>
    </w:p>
    <w:p w14:paraId="7924209B" w14:textId="77777777" w:rsidR="009B529C" w:rsidRDefault="009B529C" w:rsidP="009B529C">
      <w:pPr>
        <w:spacing w:line="360" w:lineRule="auto"/>
        <w:jc w:val="both"/>
        <w:rPr>
          <w:sz w:val="28"/>
          <w:szCs w:val="28"/>
        </w:rPr>
      </w:pPr>
      <w:r>
        <w:rPr>
          <w:sz w:val="28"/>
          <w:szCs w:val="28"/>
        </w:rPr>
        <w:t xml:space="preserve">Of key importance to the Welsh Government, will be the impact of Brexit on the economy and on its ability to deliver the national strategy which seeks to ensure ‘prosperity for all’ (Welsh Government, 2017a). The legacy of deindustrialisation lives on in many welsh towns and villages and whilst the Welsh Government has successfully reduced unemployment rates, earnings and household income have fallen relative to the UK </w:t>
      </w:r>
      <w:r w:rsidRPr="001A18F0">
        <w:rPr>
          <w:sz w:val="28"/>
          <w:szCs w:val="28"/>
        </w:rPr>
        <w:t>(Cole and Stafford, 2015</w:t>
      </w:r>
      <w:r>
        <w:rPr>
          <w:sz w:val="28"/>
          <w:szCs w:val="28"/>
        </w:rPr>
        <w:t>; Dickens, 2017). Wales therefore, faces significant economic challenges which risk being exacerbated by the UKs withdrawal from the European Union, should economic forecasts come to pass (Baldwin, 2016). Of all four nations, Wales is considered particularly vulnerable to the economic impacts of withdrawal from the EU given its reliance on the single market and receipt of EU funding (Parliament. House of Lords, 2017). Statistics show that Wales is heavily dependent on tariff free trade with Europe, exporting approximately two thirds of all goods to the EU; a higher proportion in comparison to the rest of the UK (Welsh Government, 2017c). Additionally, access to the single market attracts foreign direct investment, particularly in manufacturing, which a small nation such as Wales might not otherwise secure (Parliament. House of Lords, 2017). Brexit however presents a threat not only to Welsh jobs and businesses but also indirectly to Welsh culture and language (Parliament. House of Lords, 2017). The Farmers’ Union of Wales has expressed concern that without subsidies from the EU’s Common Agricultural Policy, welsh farming in the hands of Westminster, will suffer and have a devastating impact on local communities and the welsh language, of which farming is the lifeblood (O’Carroll, 2017). Over three consecutive programing periods, Wales has been awarded the highest level of structural funding from the EU totalling over £</w:t>
      </w:r>
      <w:r w:rsidRPr="004236CF">
        <w:rPr>
          <w:sz w:val="28"/>
          <w:szCs w:val="28"/>
        </w:rPr>
        <w:t>5</w:t>
      </w:r>
      <w:r>
        <w:rPr>
          <w:sz w:val="28"/>
          <w:szCs w:val="28"/>
        </w:rPr>
        <w:t xml:space="preserve"> </w:t>
      </w:r>
      <w:r w:rsidRPr="004236CF">
        <w:rPr>
          <w:sz w:val="28"/>
          <w:szCs w:val="28"/>
        </w:rPr>
        <w:t>billion</w:t>
      </w:r>
      <w:r>
        <w:rPr>
          <w:sz w:val="28"/>
          <w:szCs w:val="28"/>
        </w:rPr>
        <w:t xml:space="preserve"> from the period 2000 to 2020 (Welsh Government 2015; Welsh Government, 2017d). The funds are considered vital to improving the lives of people in Wales and tackling poverty, the scale of which was recently highlighted by the Joseph Rowntree Foundation (2016) which reported that 23% of Wales’ population live in poverty (Welsh European Funding Office, 2017). The Welsh Government has sought reassurance from Westminster that it will match the level of EU funding to be lost, however, when questioned in the House of Commons, the Welsh Secretary would only concede that Wales would receive its “fair share” (HC Deb 13 July 2016). Furthermore, the means by which UK funding is allocated to devolved administrations has been widely criticised for its failure to take account of need in its consideration of funding (Parliament. House of Commons, 2016). The Barnett formula operates according to population size and would significantly lower the amount of funding received by Wales in comparison to the needs-based provision of the EU (Parliament. House of Lords, 2017). </w:t>
      </w:r>
    </w:p>
    <w:p w14:paraId="7A03D81C" w14:textId="77777777" w:rsidR="009B529C" w:rsidRDefault="009B529C" w:rsidP="009B529C">
      <w:pPr>
        <w:spacing w:line="360" w:lineRule="auto"/>
        <w:jc w:val="both"/>
        <w:rPr>
          <w:sz w:val="28"/>
          <w:szCs w:val="28"/>
        </w:rPr>
      </w:pPr>
    </w:p>
    <w:p w14:paraId="0086A97B" w14:textId="77777777" w:rsidR="009B529C" w:rsidRDefault="009B529C" w:rsidP="009B529C">
      <w:pPr>
        <w:spacing w:line="360" w:lineRule="auto"/>
        <w:jc w:val="both"/>
        <w:rPr>
          <w:sz w:val="28"/>
          <w:szCs w:val="28"/>
        </w:rPr>
      </w:pPr>
      <w:r>
        <w:rPr>
          <w:sz w:val="28"/>
          <w:szCs w:val="28"/>
        </w:rPr>
        <w:t>Wales is a net beneficiary of the EU, receiving approximately £245 million more in the way of funding than it pays in (Wales Governance Centre, 2016). The impact of Brexit upon the Welsh economy and Wales’ most deprived communities could therefore be substantial and plays a significant role in the Welsh Government’s (2017c) call for ‘full and unfettered access to the single market’ in a bid to minimise the potential harm from withdrawal. This option would involve signing the European Economic Area agreement, also referred to as the ‘Norway model’, which would give the UK access to the single market without being a member of the EU. It would however, also mean that not only would goods and services be able to move freely across the single market but so too would people, rendering the most economically favourable option, politically unviable (Dhingra and Sampson, 2016). The UK government has ruled out this option but aspires for trade which is as free and frictionless as possible (Department for Exiting the European Union, 2017). The government’s position, however, is contradictory as the elimination of tariffs to ensure frictionless trade will require regulatory alignment with the EU (complying with rules which the UK would no longer have direct influence over) and is therefore incompatible with its ambition for regaining sovereignty (Lang, 2014). The alternative of a ‘hard Brexit’ where trade with the EU would take place under World Trade Organization rules</w:t>
      </w:r>
      <w:r w:rsidRPr="00255D3F">
        <w:rPr>
          <w:sz w:val="28"/>
          <w:szCs w:val="28"/>
        </w:rPr>
        <w:t xml:space="preserve"> </w:t>
      </w:r>
      <w:r>
        <w:rPr>
          <w:sz w:val="28"/>
          <w:szCs w:val="28"/>
        </w:rPr>
        <w:t xml:space="preserve">is not considered an attractive proposition given that it is predicted to cost ‘£1,700 per household’ according to analysis by the Centre for Economic Performance (Dhingra </w:t>
      </w:r>
      <w:r>
        <w:rPr>
          <w:i/>
          <w:sz w:val="28"/>
          <w:szCs w:val="28"/>
        </w:rPr>
        <w:t xml:space="preserve">et al, </w:t>
      </w:r>
      <w:r>
        <w:rPr>
          <w:sz w:val="28"/>
          <w:szCs w:val="28"/>
        </w:rPr>
        <w:t xml:space="preserve">2016). </w:t>
      </w:r>
    </w:p>
    <w:p w14:paraId="4920782C" w14:textId="77777777" w:rsidR="009B529C" w:rsidRDefault="009B529C" w:rsidP="009B529C">
      <w:pPr>
        <w:spacing w:line="360" w:lineRule="auto"/>
        <w:jc w:val="both"/>
        <w:rPr>
          <w:sz w:val="28"/>
          <w:szCs w:val="28"/>
        </w:rPr>
      </w:pPr>
    </w:p>
    <w:p w14:paraId="7DAF1B6E" w14:textId="77777777" w:rsidR="009B529C" w:rsidRDefault="009B529C" w:rsidP="009B529C">
      <w:pPr>
        <w:spacing w:line="360" w:lineRule="auto"/>
        <w:jc w:val="both"/>
        <w:rPr>
          <w:sz w:val="28"/>
          <w:szCs w:val="28"/>
        </w:rPr>
      </w:pPr>
      <w:r>
        <w:rPr>
          <w:sz w:val="28"/>
          <w:szCs w:val="28"/>
        </w:rPr>
        <w:t>In order to overcome the challenges surrounding the existing EU relationship models, Theresa May has signalled her intent to negotiate a bespoke deal with the EU (Sparrow, 2017). The reality of which however, will mean a trade-off between market access and sovereignty (</w:t>
      </w:r>
      <w:r>
        <w:rPr>
          <w:rFonts w:eastAsia="Times New Roman"/>
          <w:color w:val="000000" w:themeColor="text1"/>
          <w:sz w:val="28"/>
          <w:szCs w:val="28"/>
        </w:rPr>
        <w:t>Parliament. House of Lords, 2016)</w:t>
      </w:r>
      <w:r>
        <w:rPr>
          <w:sz w:val="28"/>
          <w:szCs w:val="28"/>
        </w:rPr>
        <w:t>.</w:t>
      </w:r>
      <w:r w:rsidRPr="00E4441A">
        <w:rPr>
          <w:sz w:val="28"/>
          <w:szCs w:val="28"/>
        </w:rPr>
        <w:t xml:space="preserve"> </w:t>
      </w:r>
      <w:r>
        <w:rPr>
          <w:sz w:val="28"/>
          <w:szCs w:val="28"/>
        </w:rPr>
        <w:t>Supporters of the UK’s decision to leave the EU perceived the return of sovereignty to the UK to be commensurate with an increase in power (LSE Commission, 2016). Analysing Brexit from the perspective of neoclassical realism, can help elucidate the global standing of the UK post Brexit where the conclusion of many is that the UK’s global power and influence would weaken (Oliver, 2017). Voting power analysis concurs with the theory that the UK’s prospects would worsen outside of the EU, with results showing that the UK’s power according to population size would lower its ranking from its current 3</w:t>
      </w:r>
      <w:r w:rsidRPr="00023F4A">
        <w:rPr>
          <w:sz w:val="28"/>
          <w:szCs w:val="28"/>
          <w:vertAlign w:val="superscript"/>
        </w:rPr>
        <w:t>rd</w:t>
      </w:r>
      <w:r>
        <w:rPr>
          <w:sz w:val="28"/>
          <w:szCs w:val="28"/>
        </w:rPr>
        <w:t xml:space="preserve"> place position, to a much diminished 14</w:t>
      </w:r>
      <w:r w:rsidRPr="00023F4A">
        <w:rPr>
          <w:sz w:val="28"/>
          <w:szCs w:val="28"/>
          <w:vertAlign w:val="superscript"/>
        </w:rPr>
        <w:t>th</w:t>
      </w:r>
      <w:r>
        <w:rPr>
          <w:sz w:val="28"/>
          <w:szCs w:val="28"/>
        </w:rPr>
        <w:t>, as a stand-alone country (Leech, 2016).</w:t>
      </w:r>
    </w:p>
    <w:p w14:paraId="41BC4266" w14:textId="77777777" w:rsidR="009B529C" w:rsidRDefault="009B529C" w:rsidP="009B529C">
      <w:pPr>
        <w:spacing w:line="360" w:lineRule="auto"/>
        <w:jc w:val="both"/>
        <w:rPr>
          <w:sz w:val="28"/>
          <w:szCs w:val="28"/>
        </w:rPr>
      </w:pPr>
    </w:p>
    <w:p w14:paraId="6E4C0B35" w14:textId="77777777" w:rsidR="009B529C" w:rsidRPr="00A04174" w:rsidRDefault="009B529C" w:rsidP="009B529C">
      <w:pPr>
        <w:spacing w:line="360" w:lineRule="auto"/>
        <w:jc w:val="both"/>
        <w:rPr>
          <w:sz w:val="28"/>
          <w:szCs w:val="28"/>
        </w:rPr>
      </w:pPr>
      <w:r w:rsidRPr="00A04174">
        <w:rPr>
          <w:sz w:val="28"/>
          <w:szCs w:val="28"/>
        </w:rPr>
        <w:t xml:space="preserve">In conclusion, the reasons behind Brexit are numerous and complex, but of significance is the inequality </w:t>
      </w:r>
      <w:r>
        <w:rPr>
          <w:sz w:val="28"/>
          <w:szCs w:val="28"/>
        </w:rPr>
        <w:t>underpinning the public’s polarised views of the EU. To the prosperous the EU offered cultural enrichment and opportunities, however these were beyond the reach of more impoverished communities which perceived EU membership and free movement as an economic and cultural threat (Stocker, 2017).</w:t>
      </w:r>
      <w:r w:rsidRPr="00A04174">
        <w:rPr>
          <w:sz w:val="28"/>
          <w:szCs w:val="28"/>
        </w:rPr>
        <w:t xml:space="preserve"> </w:t>
      </w:r>
      <w:r>
        <w:rPr>
          <w:sz w:val="28"/>
          <w:szCs w:val="28"/>
        </w:rPr>
        <w:t xml:space="preserve">Public disenchantment with the elite, created a void which the populist UKIP party was eager to fill (De Spiegeleire </w:t>
      </w:r>
      <w:r w:rsidRPr="00153BC7">
        <w:rPr>
          <w:i/>
          <w:sz w:val="28"/>
          <w:szCs w:val="28"/>
        </w:rPr>
        <w:t>et al</w:t>
      </w:r>
      <w:r>
        <w:rPr>
          <w:sz w:val="28"/>
          <w:szCs w:val="28"/>
        </w:rPr>
        <w:t>, 2017). The populist narrative however serves only to divide and must be eschewed in the interests of social cohesion by a government committed to pluralism and social justice. Brexit</w:t>
      </w:r>
      <w:r w:rsidRPr="00A04174">
        <w:rPr>
          <w:sz w:val="28"/>
          <w:szCs w:val="28"/>
        </w:rPr>
        <w:t xml:space="preserve">, offers a pessimistic forecast, particularly for the more deprived and rural areas of Wales which are most exposed to its risks. Whilst the Welsh Government has asserted its ambition to inform exit negotiations so as to ensure the prosperity of Wales, without a direct voice at the negotiations and with little political leverage, its influence is limited. </w:t>
      </w:r>
      <w:r>
        <w:rPr>
          <w:sz w:val="28"/>
          <w:szCs w:val="28"/>
        </w:rPr>
        <w:t xml:space="preserve"> </w:t>
      </w:r>
      <w:r w:rsidRPr="00A04174">
        <w:rPr>
          <w:sz w:val="28"/>
          <w:szCs w:val="28"/>
        </w:rPr>
        <w:t>It is therefore imperative that the UK government secure a favourable trade deal with its European neighbours, particularly in light of its</w:t>
      </w:r>
      <w:r>
        <w:rPr>
          <w:sz w:val="28"/>
          <w:szCs w:val="28"/>
        </w:rPr>
        <w:t xml:space="preserve"> diminished global standing (LSE Commission, 2016</w:t>
      </w:r>
      <w:r w:rsidRPr="00A04174">
        <w:rPr>
          <w:sz w:val="28"/>
          <w:szCs w:val="28"/>
        </w:rPr>
        <w:t xml:space="preserve">). </w:t>
      </w:r>
      <w:r>
        <w:rPr>
          <w:sz w:val="28"/>
          <w:szCs w:val="28"/>
        </w:rPr>
        <w:t>The</w:t>
      </w:r>
      <w:r w:rsidRPr="00A04174">
        <w:rPr>
          <w:sz w:val="28"/>
          <w:szCs w:val="28"/>
        </w:rPr>
        <w:t xml:space="preserve"> </w:t>
      </w:r>
      <w:r>
        <w:rPr>
          <w:sz w:val="28"/>
          <w:szCs w:val="28"/>
        </w:rPr>
        <w:t xml:space="preserve">UK in its </w:t>
      </w:r>
      <w:r w:rsidRPr="00A04174">
        <w:rPr>
          <w:sz w:val="28"/>
          <w:szCs w:val="28"/>
        </w:rPr>
        <w:t xml:space="preserve">quest </w:t>
      </w:r>
      <w:r>
        <w:rPr>
          <w:sz w:val="28"/>
          <w:szCs w:val="28"/>
        </w:rPr>
        <w:t>for sovereignty, failed to realise</w:t>
      </w:r>
      <w:r w:rsidRPr="00A04174">
        <w:rPr>
          <w:sz w:val="28"/>
          <w:szCs w:val="28"/>
        </w:rPr>
        <w:t xml:space="preserve"> that powe</w:t>
      </w:r>
      <w:bookmarkStart w:id="0" w:name="_GoBack"/>
      <w:bookmarkEnd w:id="0"/>
      <w:r w:rsidRPr="00A04174">
        <w:rPr>
          <w:sz w:val="28"/>
          <w:szCs w:val="28"/>
        </w:rPr>
        <w:t>r and influence no longer play to the rules of a bygone era (Beck, 2005). In an age of globalisation, power is increased through co-operation and interdep</w:t>
      </w:r>
      <w:r>
        <w:rPr>
          <w:sz w:val="28"/>
          <w:szCs w:val="28"/>
        </w:rPr>
        <w:t xml:space="preserve">endency where </w:t>
      </w:r>
      <w:r w:rsidRPr="00A04174">
        <w:rPr>
          <w:sz w:val="28"/>
          <w:szCs w:val="28"/>
        </w:rPr>
        <w:t>the</w:t>
      </w:r>
      <w:r>
        <w:rPr>
          <w:sz w:val="28"/>
          <w:szCs w:val="28"/>
        </w:rPr>
        <w:t xml:space="preserve"> pooling of sovereignty enables</w:t>
      </w:r>
      <w:r w:rsidRPr="00A04174">
        <w:rPr>
          <w:sz w:val="28"/>
          <w:szCs w:val="28"/>
        </w:rPr>
        <w:t xml:space="preserve"> the progression of national interests (Beck, 2005; Sapir and Wolff, 2016). The withdrawal of the UK in pursuance of national autonomy, may have inadvertently brought about its decline (Niblett, 2016). </w:t>
      </w:r>
    </w:p>
    <w:p w14:paraId="7656ED62" w14:textId="77777777" w:rsidR="009B529C" w:rsidRDefault="009B529C" w:rsidP="009B529C">
      <w:pPr>
        <w:spacing w:line="360" w:lineRule="auto"/>
        <w:jc w:val="both"/>
        <w:rPr>
          <w:sz w:val="28"/>
          <w:szCs w:val="28"/>
        </w:rPr>
      </w:pPr>
    </w:p>
    <w:p w14:paraId="7FDDAFA0" w14:textId="77777777" w:rsidR="005D5706" w:rsidRDefault="009B529C"/>
    <w:sectPr w:rsidR="005D5706" w:rsidSect="00F7167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29C"/>
    <w:rsid w:val="009B529C"/>
    <w:rsid w:val="00C91A78"/>
    <w:rsid w:val="00F71679"/>
    <w:rsid w:val="00FE1FF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FE59F2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529C"/>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4152</Words>
  <Characters>23673</Characters>
  <Application>Microsoft Macintosh Word</Application>
  <DocSecurity>0</DocSecurity>
  <Lines>197</Lines>
  <Paragraphs>55</Paragraphs>
  <ScaleCrop>false</ScaleCrop>
  <LinksUpToDate>false</LinksUpToDate>
  <CharactersWithSpaces>27770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2018-01-18T13:31:00Z</dcterms:created>
  <dcterms:modified xsi:type="dcterms:W3CDTF">2018-01-18T13:31:00Z</dcterms:modified>
</cp:coreProperties>
</file>