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722"/>
        <w:gridCol w:w="3647"/>
        <w:gridCol w:w="3647"/>
      </w:tblGrid>
      <w:tr w:rsidR="00436504" w14:paraId="138CAA02" w14:textId="77777777" w:rsidTr="00591FF4">
        <w:tc>
          <w:tcPr>
            <w:tcW w:w="1722" w:type="dxa"/>
          </w:tcPr>
          <w:p w14:paraId="1BF87D3D" w14:textId="77777777" w:rsidR="00436504" w:rsidRPr="00436504" w:rsidRDefault="00436504" w:rsidP="00591FF4">
            <w:pPr>
              <w:pStyle w:val="AssignBody"/>
              <w:rPr>
                <w:rFonts w:ascii="Century" w:hAnsi="Century"/>
              </w:rPr>
            </w:pPr>
          </w:p>
        </w:tc>
        <w:tc>
          <w:tcPr>
            <w:tcW w:w="3647" w:type="dxa"/>
          </w:tcPr>
          <w:p w14:paraId="26E9583D" w14:textId="71C03FB3" w:rsidR="00436504" w:rsidRPr="00436504" w:rsidRDefault="00436504" w:rsidP="00591FF4">
            <w:pPr>
              <w:pStyle w:val="AssignBody"/>
              <w:rPr>
                <w:rFonts w:ascii="Century" w:hAnsi="Century"/>
              </w:rPr>
            </w:pPr>
            <w:r w:rsidRPr="00436504">
              <w:rPr>
                <w:rFonts w:ascii="Century" w:hAnsi="Century"/>
              </w:rPr>
              <w:t>T</w:t>
            </w:r>
            <w:r w:rsidRPr="00436504">
              <w:rPr>
                <w:rFonts w:ascii="Century" w:hAnsi="Century"/>
              </w:rPr>
              <w:t>arget</w:t>
            </w:r>
          </w:p>
        </w:tc>
        <w:tc>
          <w:tcPr>
            <w:tcW w:w="3647" w:type="dxa"/>
          </w:tcPr>
          <w:p w14:paraId="30F1EF6A" w14:textId="77777777" w:rsidR="00436504" w:rsidRPr="00436504" w:rsidRDefault="00436504" w:rsidP="00591FF4">
            <w:pPr>
              <w:pStyle w:val="NormalWeb"/>
              <w:spacing w:before="0" w:beforeAutospacing="0" w:after="0" w:afterAutospacing="0"/>
              <w:rPr>
                <w:rFonts w:ascii="Century" w:hAnsi="Century" w:cs="Arial"/>
                <w:lang w:val="en-US"/>
              </w:rPr>
            </w:pPr>
            <w:r w:rsidRPr="00436504">
              <w:rPr>
                <w:rFonts w:ascii="Century" w:hAnsi="Century" w:cs="Arial"/>
                <w:lang w:val="en-US"/>
              </w:rPr>
              <w:t>What I have done in this assignment...</w:t>
            </w:r>
          </w:p>
          <w:p w14:paraId="4C7A86A8" w14:textId="77777777" w:rsidR="00436504" w:rsidRPr="00436504" w:rsidRDefault="00436504" w:rsidP="00591FF4">
            <w:pPr>
              <w:pStyle w:val="AssignBody"/>
              <w:rPr>
                <w:rFonts w:ascii="Century" w:hAnsi="Century"/>
              </w:rPr>
            </w:pPr>
          </w:p>
        </w:tc>
      </w:tr>
      <w:tr w:rsidR="00436504" w14:paraId="653FB540" w14:textId="77777777" w:rsidTr="00591FF4">
        <w:tc>
          <w:tcPr>
            <w:tcW w:w="1722" w:type="dxa"/>
          </w:tcPr>
          <w:p w14:paraId="1662D370" w14:textId="7758A66B" w:rsidR="00436504" w:rsidRPr="00436504" w:rsidRDefault="00436504" w:rsidP="00591FF4">
            <w:pPr>
              <w:pStyle w:val="AssignBody"/>
              <w:rPr>
                <w:rFonts w:ascii="Century" w:hAnsi="Century"/>
              </w:rPr>
            </w:pPr>
            <w:r w:rsidRPr="00436504">
              <w:rPr>
                <w:rFonts w:ascii="Century" w:hAnsi="Century"/>
              </w:rPr>
              <w:t>Target 1</w:t>
            </w:r>
          </w:p>
        </w:tc>
        <w:tc>
          <w:tcPr>
            <w:tcW w:w="3647" w:type="dxa"/>
          </w:tcPr>
          <w:p w14:paraId="685638D1" w14:textId="4893B85D" w:rsidR="00436504" w:rsidRPr="00436504" w:rsidRDefault="00436504" w:rsidP="00591FF4">
            <w:pPr>
              <w:pStyle w:val="AssignBody"/>
              <w:rPr>
                <w:rFonts w:ascii="Century" w:hAnsi="Century"/>
              </w:rPr>
            </w:pPr>
            <w:r w:rsidRPr="00436504">
              <w:rPr>
                <w:rFonts w:ascii="Century" w:hAnsi="Century" w:cs="Segoe UI"/>
                <w:color w:val="000000"/>
                <w:lang w:val="en-US"/>
              </w:rPr>
              <w:t>Please ensure you develop a more critical style - consider different points of view and challenges that may be faced.</w:t>
            </w:r>
            <w:r w:rsidRPr="00436504">
              <w:rPr>
                <w:rFonts w:ascii="Century" w:hAnsi="Century" w:cs="Segoe UI"/>
                <w:color w:val="000000"/>
              </w:rPr>
              <w:t> </w:t>
            </w:r>
          </w:p>
        </w:tc>
        <w:tc>
          <w:tcPr>
            <w:tcW w:w="3647" w:type="dxa"/>
          </w:tcPr>
          <w:p w14:paraId="4ECE8E8E" w14:textId="36DB48FA" w:rsidR="00436504" w:rsidRPr="00436504" w:rsidRDefault="00A23A17" w:rsidP="00591FF4">
            <w:pPr>
              <w:pStyle w:val="AssignBody"/>
              <w:rPr>
                <w:rFonts w:ascii="Century" w:hAnsi="Century"/>
              </w:rPr>
            </w:pPr>
            <w:r>
              <w:rPr>
                <w:rFonts w:ascii="Century" w:hAnsi="Century"/>
              </w:rPr>
              <w:t xml:space="preserve">In this assessment, I have tried to be more critical and consider different challenges that may be faced. </w:t>
            </w:r>
          </w:p>
        </w:tc>
      </w:tr>
      <w:tr w:rsidR="00436504" w14:paraId="080D83FD" w14:textId="77777777" w:rsidTr="00591FF4">
        <w:tc>
          <w:tcPr>
            <w:tcW w:w="1722" w:type="dxa"/>
          </w:tcPr>
          <w:p w14:paraId="58194605" w14:textId="1EF54265" w:rsidR="00436504" w:rsidRPr="00436504" w:rsidRDefault="00436504" w:rsidP="00591FF4">
            <w:pPr>
              <w:pStyle w:val="AssignBody"/>
              <w:rPr>
                <w:rFonts w:ascii="Century" w:hAnsi="Century"/>
              </w:rPr>
            </w:pPr>
            <w:r w:rsidRPr="00436504">
              <w:rPr>
                <w:rFonts w:ascii="Century" w:hAnsi="Century"/>
              </w:rPr>
              <w:t>Target 2</w:t>
            </w:r>
          </w:p>
        </w:tc>
        <w:tc>
          <w:tcPr>
            <w:tcW w:w="3647" w:type="dxa"/>
          </w:tcPr>
          <w:p w14:paraId="5CA00BA0" w14:textId="454BB8A7" w:rsidR="00436504" w:rsidRPr="00436504" w:rsidRDefault="00436504" w:rsidP="00591FF4">
            <w:pPr>
              <w:pStyle w:val="AssignBody"/>
              <w:rPr>
                <w:rFonts w:ascii="Century" w:hAnsi="Century"/>
              </w:rPr>
            </w:pPr>
            <w:r w:rsidRPr="00436504">
              <w:rPr>
                <w:rFonts w:ascii="Century" w:hAnsi="Century" w:cs="Segoe UI"/>
                <w:color w:val="000000"/>
                <w:lang w:val="en-US"/>
              </w:rPr>
              <w:t>Consider the style and structure of a blog - aim to mimic the style and structure.</w:t>
            </w:r>
            <w:r w:rsidRPr="00436504">
              <w:rPr>
                <w:rFonts w:ascii="Century" w:hAnsi="Century" w:cs="Segoe UI"/>
                <w:color w:val="000000"/>
              </w:rPr>
              <w:t> You should be clear about the context of your writing and include a concluding statement.</w:t>
            </w:r>
          </w:p>
        </w:tc>
        <w:tc>
          <w:tcPr>
            <w:tcW w:w="3647" w:type="dxa"/>
          </w:tcPr>
          <w:p w14:paraId="02EAE2DA" w14:textId="5BAD0EE2" w:rsidR="00436504" w:rsidRPr="00436504" w:rsidRDefault="00A23A17" w:rsidP="00591FF4">
            <w:pPr>
              <w:pStyle w:val="AssignBody"/>
              <w:rPr>
                <w:rFonts w:ascii="Century" w:hAnsi="Century"/>
              </w:rPr>
            </w:pPr>
            <w:r>
              <w:rPr>
                <w:rFonts w:ascii="Century" w:hAnsi="Century"/>
              </w:rPr>
              <w:t xml:space="preserve">Although this is not a blog, I have tried to consider the style and structed needed for this assessment. </w:t>
            </w:r>
            <w:r w:rsidR="00965E04">
              <w:rPr>
                <w:rFonts w:ascii="Century" w:hAnsi="Century"/>
              </w:rPr>
              <w:t>In this assessment I have added a clear concluding statement.</w:t>
            </w:r>
          </w:p>
        </w:tc>
      </w:tr>
    </w:tbl>
    <w:p w14:paraId="7D24E0E9" w14:textId="77777777" w:rsidR="00436504" w:rsidRDefault="00436504" w:rsidP="001705B5">
      <w:pPr>
        <w:spacing w:line="480" w:lineRule="auto"/>
        <w:rPr>
          <w:rFonts w:ascii="Century" w:hAnsi="Century"/>
        </w:rPr>
      </w:pPr>
    </w:p>
    <w:p w14:paraId="603EB978" w14:textId="220136F1" w:rsidR="00554091" w:rsidRPr="00554091" w:rsidRDefault="00554091" w:rsidP="00554091">
      <w:pPr>
        <w:rPr>
          <w:rFonts w:ascii="Century" w:eastAsia="Times New Roman" w:hAnsi="Century" w:cs="Times New Roman"/>
          <w:color w:val="000000" w:themeColor="text1"/>
          <w:kern w:val="0"/>
          <w:lang w:eastAsia="en-GB"/>
          <w14:ligatures w14:val="none"/>
        </w:rPr>
      </w:pPr>
      <w:r w:rsidRPr="00554091">
        <w:rPr>
          <w:rFonts w:ascii="Century" w:hAnsi="Century"/>
          <w:b/>
          <w:bCs/>
        </w:rPr>
        <w:t>Acknowledgment of AI Tool Use</w:t>
      </w:r>
      <w:r w:rsidRPr="00554091">
        <w:rPr>
          <w:rFonts w:ascii="Century" w:hAnsi="Century"/>
          <w:b/>
          <w:bCs/>
        </w:rPr>
        <w:br/>
      </w:r>
      <w:r w:rsidRPr="00554091">
        <w:rPr>
          <w:rFonts w:ascii="Century" w:eastAsia="Times New Roman" w:hAnsi="Century" w:cs="Times New Roman"/>
          <w:color w:val="212121"/>
          <w:kern w:val="0"/>
          <w:lang w:eastAsia="en-GB"/>
          <w14:ligatures w14:val="none"/>
        </w:rPr>
        <w:t xml:space="preserve">I acknowledge the use of </w:t>
      </w:r>
      <w:r w:rsidRPr="00554091">
        <w:rPr>
          <w:rFonts w:ascii="Century" w:eastAsia="Times New Roman" w:hAnsi="Century" w:cs="Times New Roman"/>
          <w:color w:val="212121"/>
          <w:kern w:val="0"/>
          <w:lang w:eastAsia="en-GB"/>
          <w14:ligatures w14:val="none"/>
        </w:rPr>
        <w:t xml:space="preserve">ChatGPT </w:t>
      </w:r>
      <w:hyperlink r:id="rId5" w:history="1">
        <w:r w:rsidRPr="00554091">
          <w:rPr>
            <w:rStyle w:val="Hyperlink"/>
            <w:rFonts w:ascii="Century" w:eastAsia="Times New Roman" w:hAnsi="Century" w:cs="Times New Roman"/>
            <w:color w:val="000000" w:themeColor="text1"/>
            <w:kern w:val="0"/>
            <w:lang w:eastAsia="en-GB"/>
            <w14:ligatures w14:val="none"/>
          </w:rPr>
          <w:t>https://chatgpt.com</w:t>
        </w:r>
      </w:hyperlink>
      <w:r w:rsidRPr="00554091">
        <w:rPr>
          <w:rFonts w:ascii="Century" w:eastAsia="Times New Roman" w:hAnsi="Century" w:cs="Times New Roman"/>
          <w:color w:val="000000" w:themeColor="text1"/>
          <w:kern w:val="0"/>
          <w:lang w:eastAsia="en-GB"/>
          <w14:ligatures w14:val="none"/>
        </w:rPr>
        <w:t xml:space="preserve"> </w:t>
      </w:r>
      <w:r w:rsidRPr="00554091">
        <w:rPr>
          <w:rFonts w:ascii="Century" w:eastAsia="Times New Roman" w:hAnsi="Century" w:cs="Times New Roman"/>
          <w:color w:val="000000" w:themeColor="text1"/>
          <w:kern w:val="0"/>
          <w:lang w:eastAsia="en-GB"/>
          <w14:ligatures w14:val="none"/>
        </w:rPr>
        <w:t xml:space="preserve">on </w:t>
      </w:r>
      <w:r w:rsidRPr="00554091">
        <w:rPr>
          <w:rFonts w:ascii="Century" w:eastAsia="Times New Roman" w:hAnsi="Century" w:cs="Times New Roman"/>
          <w:color w:val="000000" w:themeColor="text1"/>
          <w:kern w:val="0"/>
          <w:lang w:eastAsia="en-GB"/>
          <w14:ligatures w14:val="none"/>
        </w:rPr>
        <w:t>03/03/2025</w:t>
      </w:r>
      <w:r w:rsidRPr="00554091">
        <w:rPr>
          <w:rFonts w:ascii="Century" w:eastAsia="Times New Roman" w:hAnsi="Century" w:cs="Times New Roman"/>
          <w:color w:val="000000" w:themeColor="text1"/>
          <w:kern w:val="0"/>
          <w:lang w:eastAsia="en-GB"/>
          <w14:ligatures w14:val="none"/>
        </w:rPr>
        <w:t xml:space="preserve"> to </w:t>
      </w:r>
      <w:r w:rsidRPr="00554091">
        <w:rPr>
          <w:rFonts w:ascii="Century" w:eastAsia="Times New Roman" w:hAnsi="Century" w:cs="Times New Roman"/>
          <w:color w:val="000000" w:themeColor="text1"/>
          <w:kern w:val="0"/>
          <w:lang w:eastAsia="en-GB"/>
          <w14:ligatures w14:val="none"/>
        </w:rPr>
        <w:t>check the spelling and grammar of my work.</w:t>
      </w:r>
      <w:r w:rsidRPr="00554091">
        <w:rPr>
          <w:rFonts w:ascii="Century" w:eastAsia="Times New Roman" w:hAnsi="Century" w:cs="Times New Roman"/>
          <w:color w:val="000000" w:themeColor="text1"/>
          <w:kern w:val="0"/>
          <w:lang w:eastAsia="en-GB"/>
          <w14:ligatures w14:val="none"/>
        </w:rPr>
        <w:t xml:space="preserve"> I used the prompt: </w:t>
      </w:r>
    </w:p>
    <w:p w14:paraId="615E12F9" w14:textId="77777777" w:rsidR="00554091" w:rsidRPr="00554091" w:rsidRDefault="00554091" w:rsidP="00554091">
      <w:pPr>
        <w:rPr>
          <w:rFonts w:ascii="Century" w:eastAsia="Times New Roman" w:hAnsi="Century" w:cs="Times New Roman"/>
          <w:color w:val="000000" w:themeColor="text1"/>
          <w:kern w:val="0"/>
          <w:lang w:eastAsia="en-GB"/>
          <w14:ligatures w14:val="none"/>
        </w:rPr>
      </w:pPr>
      <w:r w:rsidRPr="00554091">
        <w:rPr>
          <w:rFonts w:ascii="Century" w:eastAsia="Times New Roman" w:hAnsi="Century" w:cs="Times New Roman"/>
          <w:color w:val="000000" w:themeColor="text1"/>
          <w:kern w:val="0"/>
          <w:lang w:eastAsia="en-GB"/>
          <w14:ligatures w14:val="none"/>
        </w:rPr>
        <w:t> </w:t>
      </w:r>
    </w:p>
    <w:p w14:paraId="4DCE5A74" w14:textId="2BEC955A" w:rsidR="00554091" w:rsidRPr="00554091" w:rsidRDefault="00554091" w:rsidP="00554091">
      <w:pPr>
        <w:pStyle w:val="ListParagraph"/>
        <w:numPr>
          <w:ilvl w:val="0"/>
          <w:numId w:val="5"/>
        </w:numPr>
        <w:rPr>
          <w:rFonts w:ascii="Century" w:eastAsia="Times New Roman" w:hAnsi="Century" w:cs="Times New Roman"/>
          <w:color w:val="212121"/>
          <w:kern w:val="0"/>
          <w:lang w:eastAsia="en-GB"/>
          <w14:ligatures w14:val="none"/>
        </w:rPr>
      </w:pPr>
      <w:r w:rsidRPr="00554091">
        <w:rPr>
          <w:rFonts w:ascii="Century" w:eastAsia="Times New Roman" w:hAnsi="Century" w:cs="Times New Roman"/>
          <w:color w:val="212121"/>
          <w:kern w:val="0"/>
          <w:lang w:eastAsia="en-GB"/>
          <w14:ligatures w14:val="none"/>
        </w:rPr>
        <w:t>Can you please check my spelling and grammar:</w:t>
      </w:r>
    </w:p>
    <w:p w14:paraId="710AC740" w14:textId="0070E7FD" w:rsidR="00554091" w:rsidRPr="00554091" w:rsidRDefault="00554091" w:rsidP="00554091">
      <w:pPr>
        <w:rPr>
          <w:rFonts w:ascii="Aptos" w:eastAsia="Times New Roman" w:hAnsi="Aptos" w:cs="Times New Roman"/>
          <w:color w:val="212121"/>
          <w:kern w:val="0"/>
          <w:lang w:eastAsia="en-GB"/>
          <w14:ligatures w14:val="none"/>
        </w:rPr>
      </w:pPr>
    </w:p>
    <w:p w14:paraId="458AD890" w14:textId="77777777" w:rsidR="00554091" w:rsidRPr="00554091" w:rsidRDefault="00554091" w:rsidP="00554091">
      <w:pPr>
        <w:rPr>
          <w:rFonts w:ascii="Aptos" w:eastAsia="Times New Roman" w:hAnsi="Aptos" w:cs="Times New Roman"/>
          <w:color w:val="212121"/>
          <w:kern w:val="0"/>
          <w:lang w:eastAsia="en-GB"/>
          <w14:ligatures w14:val="none"/>
        </w:rPr>
      </w:pPr>
      <w:r w:rsidRPr="00554091">
        <w:rPr>
          <w:rFonts w:ascii="Aptos" w:eastAsia="Times New Roman" w:hAnsi="Aptos" w:cs="Times New Roman"/>
          <w:color w:val="212121"/>
          <w:kern w:val="0"/>
          <w:lang w:eastAsia="en-GB"/>
          <w14:ligatures w14:val="none"/>
        </w:rPr>
        <w:t> </w:t>
      </w:r>
    </w:p>
    <w:p w14:paraId="3129F516" w14:textId="7AA2DEF5" w:rsidR="00436504" w:rsidRPr="00554091" w:rsidRDefault="00436504" w:rsidP="001705B5">
      <w:pPr>
        <w:spacing w:line="480" w:lineRule="auto"/>
        <w:rPr>
          <w:rFonts w:ascii="Century" w:hAnsi="Century"/>
          <w:b/>
          <w:bCs/>
        </w:rPr>
      </w:pPr>
    </w:p>
    <w:p w14:paraId="32CAFD07" w14:textId="77777777" w:rsidR="00436504" w:rsidRDefault="00436504" w:rsidP="001705B5">
      <w:pPr>
        <w:spacing w:line="480" w:lineRule="auto"/>
        <w:rPr>
          <w:rFonts w:ascii="Century" w:hAnsi="Century"/>
        </w:rPr>
      </w:pPr>
    </w:p>
    <w:p w14:paraId="7FFFD992" w14:textId="77777777" w:rsidR="00436504" w:rsidRDefault="00436504" w:rsidP="001705B5">
      <w:pPr>
        <w:spacing w:line="480" w:lineRule="auto"/>
        <w:rPr>
          <w:rFonts w:ascii="Century" w:hAnsi="Century"/>
        </w:rPr>
      </w:pPr>
    </w:p>
    <w:p w14:paraId="70800033" w14:textId="77777777" w:rsidR="00436504" w:rsidRDefault="00436504" w:rsidP="001705B5">
      <w:pPr>
        <w:spacing w:line="480" w:lineRule="auto"/>
        <w:rPr>
          <w:rFonts w:ascii="Century" w:hAnsi="Century"/>
        </w:rPr>
      </w:pPr>
    </w:p>
    <w:p w14:paraId="53083391" w14:textId="77777777" w:rsidR="00436504" w:rsidRDefault="00436504" w:rsidP="001705B5">
      <w:pPr>
        <w:spacing w:line="480" w:lineRule="auto"/>
        <w:rPr>
          <w:rFonts w:ascii="Century" w:hAnsi="Century"/>
        </w:rPr>
      </w:pPr>
    </w:p>
    <w:p w14:paraId="65CD9C77" w14:textId="77777777" w:rsidR="00436504" w:rsidRDefault="00436504" w:rsidP="001705B5">
      <w:pPr>
        <w:spacing w:line="480" w:lineRule="auto"/>
        <w:rPr>
          <w:rFonts w:ascii="Century" w:hAnsi="Century"/>
        </w:rPr>
      </w:pPr>
    </w:p>
    <w:p w14:paraId="62CE6AD1" w14:textId="77777777" w:rsidR="00436504" w:rsidRDefault="00436504" w:rsidP="001705B5">
      <w:pPr>
        <w:spacing w:line="480" w:lineRule="auto"/>
        <w:rPr>
          <w:rFonts w:ascii="Century" w:hAnsi="Century"/>
          <w:b/>
          <w:bCs/>
          <w:sz w:val="22"/>
          <w:szCs w:val="22"/>
        </w:rPr>
      </w:pPr>
    </w:p>
    <w:p w14:paraId="16F0C99F" w14:textId="77777777" w:rsidR="00436504" w:rsidRDefault="00436504" w:rsidP="001705B5">
      <w:pPr>
        <w:spacing w:line="480" w:lineRule="auto"/>
        <w:rPr>
          <w:rFonts w:ascii="Century" w:hAnsi="Century"/>
          <w:b/>
          <w:bCs/>
          <w:sz w:val="22"/>
          <w:szCs w:val="22"/>
        </w:rPr>
      </w:pPr>
    </w:p>
    <w:p w14:paraId="208A60D6" w14:textId="77777777" w:rsidR="00436504" w:rsidRDefault="00436504" w:rsidP="001705B5">
      <w:pPr>
        <w:spacing w:line="480" w:lineRule="auto"/>
        <w:rPr>
          <w:rFonts w:ascii="Century" w:hAnsi="Century"/>
          <w:b/>
          <w:bCs/>
          <w:sz w:val="22"/>
          <w:szCs w:val="22"/>
        </w:rPr>
      </w:pPr>
    </w:p>
    <w:p w14:paraId="77B14944" w14:textId="77777777" w:rsidR="00436504" w:rsidRDefault="00436504" w:rsidP="001705B5">
      <w:pPr>
        <w:spacing w:line="480" w:lineRule="auto"/>
        <w:rPr>
          <w:rFonts w:ascii="Century" w:hAnsi="Century"/>
          <w:b/>
          <w:bCs/>
          <w:sz w:val="22"/>
          <w:szCs w:val="22"/>
        </w:rPr>
      </w:pPr>
    </w:p>
    <w:p w14:paraId="32623748" w14:textId="33087653" w:rsidR="00965E04" w:rsidRPr="00965E04" w:rsidRDefault="00965E04" w:rsidP="00554091">
      <w:pPr>
        <w:pStyle w:val="p1"/>
        <w:spacing w:line="360" w:lineRule="auto"/>
        <w:jc w:val="center"/>
        <w:rPr>
          <w:rFonts w:ascii="Century" w:hAnsi="Century"/>
          <w:b/>
          <w:bCs/>
          <w:sz w:val="36"/>
          <w:szCs w:val="36"/>
          <w:u w:val="single"/>
        </w:rPr>
      </w:pPr>
      <w:r w:rsidRPr="00965E04">
        <w:rPr>
          <w:rFonts w:ascii="Century" w:hAnsi="Century"/>
          <w:b/>
          <w:bCs/>
          <w:sz w:val="36"/>
          <w:szCs w:val="36"/>
          <w:u w:val="single"/>
        </w:rPr>
        <w:lastRenderedPageBreak/>
        <w:t>A Critical Evaluation of the</w:t>
      </w:r>
      <w:r w:rsidRPr="00965E04">
        <w:rPr>
          <w:rFonts w:ascii="Century" w:hAnsi="Century"/>
          <w:b/>
          <w:bCs/>
          <w:sz w:val="36"/>
          <w:szCs w:val="36"/>
          <w:u w:val="single"/>
        </w:rPr>
        <w:t xml:space="preserve"> </w:t>
      </w:r>
      <w:r w:rsidRPr="00965E04">
        <w:rPr>
          <w:rFonts w:ascii="Century" w:hAnsi="Century"/>
          <w:b/>
          <w:bCs/>
          <w:sz w:val="36"/>
          <w:szCs w:val="36"/>
          <w:u w:val="single"/>
        </w:rPr>
        <w:t>Development of a Strategic</w:t>
      </w:r>
      <w:r w:rsidRPr="00965E04">
        <w:rPr>
          <w:rFonts w:ascii="Century" w:hAnsi="Century"/>
          <w:b/>
          <w:bCs/>
          <w:sz w:val="36"/>
          <w:szCs w:val="36"/>
          <w:u w:val="single"/>
        </w:rPr>
        <w:t xml:space="preserve"> </w:t>
      </w:r>
      <w:r w:rsidRPr="00965E04">
        <w:rPr>
          <w:rFonts w:ascii="Century" w:hAnsi="Century"/>
          <w:b/>
          <w:bCs/>
          <w:sz w:val="36"/>
          <w:szCs w:val="36"/>
          <w:u w:val="single"/>
        </w:rPr>
        <w:t>Target in a School</w:t>
      </w:r>
      <w:r w:rsidRPr="00965E04">
        <w:rPr>
          <w:rFonts w:ascii="Century" w:hAnsi="Century"/>
          <w:b/>
          <w:bCs/>
          <w:sz w:val="36"/>
          <w:szCs w:val="36"/>
          <w:u w:val="single"/>
        </w:rPr>
        <w:t xml:space="preserve"> </w:t>
      </w:r>
      <w:r w:rsidRPr="00965E04">
        <w:rPr>
          <w:rFonts w:ascii="Century" w:hAnsi="Century"/>
          <w:b/>
          <w:bCs/>
          <w:sz w:val="36"/>
          <w:szCs w:val="36"/>
          <w:u w:val="single"/>
        </w:rPr>
        <w:t>Development Plan: Actions,</w:t>
      </w:r>
      <w:r w:rsidRPr="00965E04">
        <w:rPr>
          <w:rFonts w:ascii="Century" w:hAnsi="Century"/>
          <w:b/>
          <w:bCs/>
          <w:sz w:val="36"/>
          <w:szCs w:val="36"/>
          <w:u w:val="single"/>
        </w:rPr>
        <w:t xml:space="preserve"> </w:t>
      </w:r>
      <w:r w:rsidRPr="00965E04">
        <w:rPr>
          <w:rFonts w:ascii="Century" w:hAnsi="Century"/>
          <w:b/>
          <w:bCs/>
          <w:sz w:val="36"/>
          <w:szCs w:val="36"/>
          <w:u w:val="single"/>
        </w:rPr>
        <w:t>Impact, and Evidence-Based</w:t>
      </w:r>
      <w:r w:rsidRPr="00965E04">
        <w:rPr>
          <w:rFonts w:ascii="Century" w:hAnsi="Century"/>
          <w:b/>
          <w:bCs/>
          <w:sz w:val="36"/>
          <w:szCs w:val="36"/>
          <w:u w:val="single"/>
        </w:rPr>
        <w:t xml:space="preserve"> </w:t>
      </w:r>
      <w:r w:rsidRPr="00965E04">
        <w:rPr>
          <w:rFonts w:ascii="Century" w:hAnsi="Century"/>
          <w:b/>
          <w:bCs/>
          <w:sz w:val="36"/>
          <w:szCs w:val="36"/>
          <w:u w:val="single"/>
        </w:rPr>
        <w:t>Reflections</w:t>
      </w:r>
    </w:p>
    <w:p w14:paraId="2FEF4B51" w14:textId="77777777" w:rsidR="00965E04" w:rsidRDefault="00965E04" w:rsidP="00965E04">
      <w:pPr>
        <w:spacing w:line="360" w:lineRule="auto"/>
        <w:rPr>
          <w:rFonts w:ascii="Century" w:hAnsi="Century"/>
          <w:b/>
          <w:bCs/>
          <w:sz w:val="28"/>
          <w:szCs w:val="28"/>
        </w:rPr>
      </w:pPr>
    </w:p>
    <w:p w14:paraId="358229F2" w14:textId="50E9AF1A" w:rsidR="00D00B6E" w:rsidRPr="00436504" w:rsidRDefault="00D00B6E" w:rsidP="00965E04">
      <w:pPr>
        <w:spacing w:line="360" w:lineRule="auto"/>
        <w:rPr>
          <w:rFonts w:ascii="Century" w:hAnsi="Century"/>
          <w:sz w:val="22"/>
          <w:szCs w:val="22"/>
        </w:rPr>
      </w:pPr>
      <w:r w:rsidRPr="00965E04">
        <w:rPr>
          <w:rFonts w:ascii="Century" w:hAnsi="Century"/>
          <w:b/>
          <w:bCs/>
          <w:sz w:val="28"/>
          <w:szCs w:val="28"/>
        </w:rPr>
        <w:t>Introduction:</w:t>
      </w:r>
      <w:r w:rsidRPr="00436504">
        <w:rPr>
          <w:rFonts w:ascii="Century" w:hAnsi="Century"/>
          <w:sz w:val="22"/>
          <w:szCs w:val="22"/>
        </w:rPr>
        <w:br/>
      </w:r>
      <w:r w:rsidR="003B30DE" w:rsidRPr="00436504">
        <w:rPr>
          <w:rFonts w:ascii="Century" w:hAnsi="Century"/>
          <w:sz w:val="22"/>
          <w:szCs w:val="22"/>
        </w:rPr>
        <w:t xml:space="preserve">In this assessment, I will critically evaluate a specific target in my placement schools School Development Plan. The target I have chosen to focus on is improving student well-being to increase attendance by 2% and to close the attainment gap between free school meal students and non-free school meal students. </w:t>
      </w:r>
    </w:p>
    <w:p w14:paraId="744F0D3F" w14:textId="2A0E32B5" w:rsidR="00A24D56" w:rsidRPr="00436504" w:rsidRDefault="003B30DE" w:rsidP="00965E04">
      <w:pPr>
        <w:spacing w:line="360" w:lineRule="auto"/>
        <w:rPr>
          <w:rFonts w:ascii="Century" w:hAnsi="Century"/>
          <w:sz w:val="22"/>
          <w:szCs w:val="22"/>
        </w:rPr>
      </w:pPr>
      <w:r w:rsidRPr="00436504">
        <w:rPr>
          <w:rFonts w:ascii="Century" w:hAnsi="Century"/>
          <w:sz w:val="22"/>
          <w:szCs w:val="22"/>
        </w:rPr>
        <w:br/>
      </w:r>
      <w:r w:rsidR="00A24D56" w:rsidRPr="00436504">
        <w:rPr>
          <w:rFonts w:ascii="Century" w:hAnsi="Century"/>
          <w:sz w:val="22"/>
          <w:szCs w:val="22"/>
        </w:rPr>
        <w:t>M</w:t>
      </w:r>
      <w:r w:rsidRPr="00436504">
        <w:rPr>
          <w:rFonts w:ascii="Century" w:hAnsi="Century"/>
          <w:sz w:val="22"/>
          <w:szCs w:val="22"/>
        </w:rPr>
        <w:t xml:space="preserve">y placement is based on two sites. The first site contains approximately 230 Foundation Phase students, aged 3 to 7. The second site also contains 230 Key Stage 2 students, aged 7 to 11. My placement school is located in a working-class area. The </w:t>
      </w:r>
      <w:r w:rsidR="00A24D56" w:rsidRPr="00436504">
        <w:rPr>
          <w:rFonts w:ascii="Century" w:hAnsi="Century"/>
          <w:sz w:val="22"/>
          <w:szCs w:val="22"/>
        </w:rPr>
        <w:t xml:space="preserve">national average of free school meals is 22.9%, my placement </w:t>
      </w:r>
      <w:r w:rsidRPr="00436504">
        <w:rPr>
          <w:rFonts w:ascii="Century" w:hAnsi="Century"/>
          <w:sz w:val="22"/>
          <w:szCs w:val="22"/>
        </w:rPr>
        <w:t>school has 26.8% of students eligible for free school meals</w:t>
      </w:r>
      <w:r w:rsidR="00A24D56" w:rsidRPr="00436504">
        <w:rPr>
          <w:rFonts w:ascii="Century" w:hAnsi="Century"/>
          <w:sz w:val="22"/>
          <w:szCs w:val="22"/>
        </w:rPr>
        <w:t xml:space="preserve">, which is slightly higher. </w:t>
      </w:r>
      <w:r w:rsidR="00D00B6E" w:rsidRPr="00436504">
        <w:rPr>
          <w:rFonts w:ascii="Century" w:hAnsi="Century"/>
          <w:sz w:val="22"/>
          <w:szCs w:val="22"/>
        </w:rPr>
        <w:t>In addition to this,</w:t>
      </w:r>
      <w:r w:rsidRPr="00436504">
        <w:rPr>
          <w:rFonts w:ascii="Century" w:hAnsi="Century"/>
          <w:sz w:val="22"/>
          <w:szCs w:val="22"/>
        </w:rPr>
        <w:t xml:space="preserve"> </w:t>
      </w:r>
      <w:r w:rsidR="00A24D56" w:rsidRPr="00436504">
        <w:rPr>
          <w:rFonts w:ascii="Century" w:hAnsi="Century"/>
          <w:sz w:val="22"/>
          <w:szCs w:val="22"/>
        </w:rPr>
        <w:t xml:space="preserve">the national average of students with additional learning needs is 11.1%. My placement school has </w:t>
      </w:r>
      <w:r w:rsidRPr="00436504">
        <w:rPr>
          <w:rFonts w:ascii="Century" w:hAnsi="Century"/>
          <w:sz w:val="22"/>
          <w:szCs w:val="22"/>
        </w:rPr>
        <w:t xml:space="preserve">1.8% </w:t>
      </w:r>
      <w:r w:rsidR="0046029F" w:rsidRPr="00436504">
        <w:rPr>
          <w:rFonts w:ascii="Century" w:hAnsi="Century"/>
          <w:sz w:val="22"/>
          <w:szCs w:val="22"/>
        </w:rPr>
        <w:t>of students that</w:t>
      </w:r>
      <w:r w:rsidRPr="00436504">
        <w:rPr>
          <w:rFonts w:ascii="Century" w:hAnsi="Century"/>
          <w:sz w:val="22"/>
          <w:szCs w:val="22"/>
        </w:rPr>
        <w:t xml:space="preserve"> have been identified </w:t>
      </w:r>
      <w:r w:rsidR="0046029F" w:rsidRPr="00436504">
        <w:rPr>
          <w:rFonts w:ascii="Century" w:hAnsi="Century"/>
          <w:sz w:val="22"/>
          <w:szCs w:val="22"/>
        </w:rPr>
        <w:t xml:space="preserve">with </w:t>
      </w:r>
      <w:r w:rsidRPr="00436504">
        <w:rPr>
          <w:rFonts w:ascii="Century" w:hAnsi="Century"/>
          <w:sz w:val="22"/>
          <w:szCs w:val="22"/>
        </w:rPr>
        <w:t xml:space="preserve">having additional learning needs, which is </w:t>
      </w:r>
      <w:r w:rsidR="00D00B6E" w:rsidRPr="00436504">
        <w:rPr>
          <w:rFonts w:ascii="Century" w:hAnsi="Century"/>
          <w:sz w:val="22"/>
          <w:szCs w:val="22"/>
        </w:rPr>
        <w:t xml:space="preserve">much </w:t>
      </w:r>
      <w:r w:rsidRPr="00436504">
        <w:rPr>
          <w:rFonts w:ascii="Century" w:hAnsi="Century"/>
          <w:sz w:val="22"/>
          <w:szCs w:val="22"/>
        </w:rPr>
        <w:t xml:space="preserve">lower than </w:t>
      </w:r>
      <w:r w:rsidR="00A24D56" w:rsidRPr="00436504">
        <w:rPr>
          <w:rFonts w:ascii="Century" w:hAnsi="Century"/>
          <w:sz w:val="22"/>
          <w:szCs w:val="22"/>
        </w:rPr>
        <w:t>the national average.</w:t>
      </w:r>
    </w:p>
    <w:p w14:paraId="1C2E02A7" w14:textId="14A7FF96" w:rsidR="00BA7AAC" w:rsidRPr="00436504" w:rsidRDefault="003B30DE" w:rsidP="00965E04">
      <w:pPr>
        <w:spacing w:line="360" w:lineRule="auto"/>
        <w:rPr>
          <w:rFonts w:ascii="Century" w:hAnsi="Century"/>
          <w:sz w:val="22"/>
          <w:szCs w:val="22"/>
        </w:rPr>
      </w:pPr>
      <w:r w:rsidRPr="00436504">
        <w:rPr>
          <w:rFonts w:ascii="Century" w:hAnsi="Century"/>
          <w:sz w:val="22"/>
          <w:szCs w:val="22"/>
        </w:rPr>
        <w:br/>
        <w:t xml:space="preserve">Throughout this assessment, I will </w:t>
      </w:r>
      <w:r w:rsidR="00D00B6E" w:rsidRPr="00436504">
        <w:rPr>
          <w:rFonts w:ascii="Century" w:hAnsi="Century"/>
          <w:sz w:val="22"/>
          <w:szCs w:val="22"/>
        </w:rPr>
        <w:t>analyse</w:t>
      </w:r>
      <w:r w:rsidRPr="00436504">
        <w:rPr>
          <w:rFonts w:ascii="Century" w:hAnsi="Century"/>
          <w:sz w:val="22"/>
          <w:szCs w:val="22"/>
        </w:rPr>
        <w:t xml:space="preserve"> existing literature of the impact of student wellbeing on the student’s attendance, as well as the attainment gap between students that receive free school meals compared to students that are not eligible for free school meals. I will then analyse the </w:t>
      </w:r>
      <w:r w:rsidR="00D00B6E" w:rsidRPr="00436504">
        <w:rPr>
          <w:rFonts w:ascii="Century" w:hAnsi="Century"/>
          <w:sz w:val="22"/>
          <w:szCs w:val="22"/>
        </w:rPr>
        <w:t>school’s</w:t>
      </w:r>
      <w:r w:rsidRPr="00436504">
        <w:rPr>
          <w:rFonts w:ascii="Century" w:hAnsi="Century"/>
          <w:sz w:val="22"/>
          <w:szCs w:val="22"/>
        </w:rPr>
        <w:t xml:space="preserve"> approach to achieve this </w:t>
      </w:r>
      <w:r w:rsidR="0046029F" w:rsidRPr="00436504">
        <w:rPr>
          <w:rFonts w:ascii="Century" w:hAnsi="Century"/>
          <w:sz w:val="22"/>
          <w:szCs w:val="22"/>
        </w:rPr>
        <w:t xml:space="preserve">target, </w:t>
      </w:r>
      <w:r w:rsidRPr="00436504">
        <w:rPr>
          <w:rFonts w:ascii="Century" w:hAnsi="Century"/>
          <w:sz w:val="22"/>
          <w:szCs w:val="22"/>
        </w:rPr>
        <w:t xml:space="preserve">while including the approach I used in my practice. Finally, I will reflect on the effectiveness of these approaches. </w:t>
      </w:r>
    </w:p>
    <w:p w14:paraId="2208E854" w14:textId="77777777" w:rsidR="00D00B6E" w:rsidRPr="00436504" w:rsidRDefault="00D00B6E" w:rsidP="00965E04">
      <w:pPr>
        <w:spacing w:line="360" w:lineRule="auto"/>
        <w:rPr>
          <w:rFonts w:ascii="Century" w:hAnsi="Century"/>
          <w:sz w:val="22"/>
          <w:szCs w:val="22"/>
        </w:rPr>
      </w:pPr>
    </w:p>
    <w:p w14:paraId="1B3ECF43" w14:textId="3C21DB77" w:rsidR="00D00B6E" w:rsidRPr="00436504" w:rsidRDefault="00D00B6E" w:rsidP="00965E04">
      <w:pPr>
        <w:spacing w:line="360" w:lineRule="auto"/>
        <w:rPr>
          <w:rFonts w:ascii="Century" w:hAnsi="Century"/>
          <w:sz w:val="22"/>
          <w:szCs w:val="22"/>
        </w:rPr>
      </w:pPr>
      <w:r w:rsidRPr="00965E04">
        <w:rPr>
          <w:rFonts w:ascii="Century" w:hAnsi="Century"/>
          <w:b/>
          <w:bCs/>
          <w:sz w:val="28"/>
          <w:szCs w:val="28"/>
        </w:rPr>
        <w:t>Literature Review:</w:t>
      </w:r>
      <w:r w:rsidRPr="00436504">
        <w:rPr>
          <w:rFonts w:ascii="Century" w:hAnsi="Century"/>
          <w:sz w:val="22"/>
          <w:szCs w:val="22"/>
        </w:rPr>
        <w:br/>
        <w:t xml:space="preserve">According to the (Welsh Government, 2014), a School Development Plan is a document that discusses the school’s approach to improve their learners’ outcomes. It is developed from the school’s self-assessment process and from suggested improvements in previous Estyn reports. This document sets both long-term and short-term goals. The plan shows the schools highest priorities for improvement. This can often be in line with national </w:t>
      </w:r>
      <w:r w:rsidRPr="00436504">
        <w:rPr>
          <w:rFonts w:ascii="Century" w:hAnsi="Century"/>
          <w:sz w:val="22"/>
          <w:szCs w:val="22"/>
        </w:rPr>
        <w:lastRenderedPageBreak/>
        <w:t xml:space="preserve">objectives, including improving numeracy and literacy standards and reducing the impact of poverty on a </w:t>
      </w:r>
      <w:r w:rsidR="00E06CFE" w:rsidRPr="00436504">
        <w:rPr>
          <w:rFonts w:ascii="Century" w:hAnsi="Century"/>
          <w:sz w:val="22"/>
          <w:szCs w:val="22"/>
        </w:rPr>
        <w:t>student’s</w:t>
      </w:r>
      <w:r w:rsidRPr="00436504">
        <w:rPr>
          <w:rFonts w:ascii="Century" w:hAnsi="Century"/>
          <w:sz w:val="22"/>
          <w:szCs w:val="22"/>
        </w:rPr>
        <w:t xml:space="preserve"> education. The plan highlights how the school </w:t>
      </w:r>
      <w:r w:rsidR="00E06CFE" w:rsidRPr="00436504">
        <w:rPr>
          <w:rFonts w:ascii="Century" w:hAnsi="Century"/>
          <w:sz w:val="22"/>
          <w:szCs w:val="22"/>
        </w:rPr>
        <w:t xml:space="preserve">will achieve their goals, for example effectively allocating their resources. It also highlights their plans for staff development, including training opportunities to achieve the identified goals. The plan is accessible to all staff and governors and often posted on the school’s website as a central point of reflection and improvement. The effectiveness of the School Development Plan is measured by the improvement of the school and the impact it has on the learners. </w:t>
      </w:r>
    </w:p>
    <w:p w14:paraId="7A4604DB" w14:textId="77777777" w:rsidR="00E06CFE" w:rsidRPr="00436504" w:rsidRDefault="00E06CFE" w:rsidP="00965E04">
      <w:pPr>
        <w:spacing w:line="360" w:lineRule="auto"/>
        <w:rPr>
          <w:rFonts w:ascii="Century" w:hAnsi="Century"/>
          <w:sz w:val="22"/>
          <w:szCs w:val="22"/>
        </w:rPr>
      </w:pPr>
    </w:p>
    <w:p w14:paraId="7429EDF3" w14:textId="62526F38" w:rsidR="00E06CFE" w:rsidRPr="00436504" w:rsidRDefault="00E06CFE" w:rsidP="00965E04">
      <w:pPr>
        <w:spacing w:line="360" w:lineRule="auto"/>
        <w:rPr>
          <w:rFonts w:ascii="Century" w:hAnsi="Century"/>
          <w:color w:val="000000"/>
          <w:sz w:val="22"/>
          <w:szCs w:val="22"/>
        </w:rPr>
      </w:pPr>
      <w:r w:rsidRPr="00436504">
        <w:rPr>
          <w:rFonts w:ascii="Century" w:hAnsi="Century"/>
          <w:sz w:val="22"/>
          <w:szCs w:val="22"/>
        </w:rPr>
        <w:t xml:space="preserve">One of my placement schools’ targets is to improve student wellbeing to improve </w:t>
      </w:r>
      <w:r w:rsidR="00285A9C" w:rsidRPr="00436504">
        <w:rPr>
          <w:rFonts w:ascii="Century" w:hAnsi="Century"/>
          <w:sz w:val="22"/>
          <w:szCs w:val="22"/>
        </w:rPr>
        <w:t>students’</w:t>
      </w:r>
      <w:r w:rsidRPr="00436504">
        <w:rPr>
          <w:rFonts w:ascii="Century" w:hAnsi="Century"/>
          <w:sz w:val="22"/>
          <w:szCs w:val="22"/>
        </w:rPr>
        <w:t xml:space="preserve"> attendance by 2% and to close the gap between students receiving free school meals compared to students that do not receive free school meals. Research has found that student well-being massively influences </w:t>
      </w:r>
      <w:r w:rsidR="00285A9C" w:rsidRPr="00436504">
        <w:rPr>
          <w:rFonts w:ascii="Century" w:hAnsi="Century"/>
          <w:sz w:val="22"/>
          <w:szCs w:val="22"/>
        </w:rPr>
        <w:t>students’</w:t>
      </w:r>
      <w:r w:rsidRPr="00436504">
        <w:rPr>
          <w:rFonts w:ascii="Century" w:hAnsi="Century"/>
          <w:sz w:val="22"/>
          <w:szCs w:val="22"/>
        </w:rPr>
        <w:t xml:space="preserve"> attendance to school. </w:t>
      </w:r>
      <w:r w:rsidR="00285A9C" w:rsidRPr="00436504">
        <w:rPr>
          <w:rFonts w:ascii="Century" w:hAnsi="Century"/>
          <w:sz w:val="22"/>
          <w:szCs w:val="22"/>
        </w:rPr>
        <w:t>It has been found that factors including anxiety and</w:t>
      </w:r>
      <w:r w:rsidR="00285A9C" w:rsidRPr="00436504">
        <w:rPr>
          <w:rFonts w:ascii="Century" w:hAnsi="Century" w:cs="Calibri"/>
          <w:sz w:val="22"/>
          <w:szCs w:val="22"/>
        </w:rPr>
        <w:t xml:space="preserve"> Attention Deficit Hyperactivity Disorder (ADHD) related difficulties can have even more impact on students’ attendance. Students with anxiety have been strongly associated with unauthorised absences. This is a result of skipping school and behavioural issues including, refusal to do their schoolwork. Students with ADHD struggle with poor attendance as a result of struggling with attention, poor behaviour, and poor academic performance. With these factors taken into consideration, they not only lead to poor </w:t>
      </w:r>
      <w:r w:rsidR="00F33B9F" w:rsidRPr="00436504">
        <w:rPr>
          <w:rFonts w:ascii="Century" w:hAnsi="Century" w:cs="Calibri"/>
          <w:sz w:val="22"/>
          <w:szCs w:val="22"/>
        </w:rPr>
        <w:t>attendance,</w:t>
      </w:r>
      <w:r w:rsidR="00285A9C" w:rsidRPr="00436504">
        <w:rPr>
          <w:rFonts w:ascii="Century" w:hAnsi="Century" w:cs="Calibri"/>
          <w:sz w:val="22"/>
          <w:szCs w:val="22"/>
        </w:rPr>
        <w:t xml:space="preserve"> but they also lead to long-term academic and social consequences. In order to prevent these issues from escalating, early identification and intervention are c</w:t>
      </w:r>
      <w:r w:rsidR="00F33B9F" w:rsidRPr="00436504">
        <w:rPr>
          <w:rFonts w:ascii="Century" w:hAnsi="Century" w:cs="Calibri"/>
          <w:sz w:val="22"/>
          <w:szCs w:val="22"/>
        </w:rPr>
        <w:t>rucial</w:t>
      </w:r>
      <w:r w:rsidR="00285A9C" w:rsidRPr="00436504">
        <w:rPr>
          <w:rFonts w:ascii="Century" w:hAnsi="Century" w:cs="Calibri"/>
          <w:sz w:val="22"/>
          <w:szCs w:val="22"/>
        </w:rPr>
        <w:t xml:space="preserve"> to </w:t>
      </w:r>
      <w:r w:rsidR="00F33B9F" w:rsidRPr="00436504">
        <w:rPr>
          <w:rFonts w:ascii="Century" w:hAnsi="Century" w:cs="Calibri"/>
          <w:sz w:val="22"/>
          <w:szCs w:val="22"/>
        </w:rPr>
        <w:t xml:space="preserve">manage the symptoms of anxiety and ADHD </w:t>
      </w:r>
      <w:r w:rsidR="00F33B9F" w:rsidRPr="00436504">
        <w:rPr>
          <w:rFonts w:ascii="Century" w:hAnsi="Century"/>
          <w:color w:val="000000"/>
          <w:sz w:val="22"/>
          <w:szCs w:val="22"/>
        </w:rPr>
        <w:t xml:space="preserve">(Daily et al, 2020; Hancock et al, 2013; Finning et al., 2019: May et al., 2021). </w:t>
      </w:r>
      <w:r w:rsidR="00285A9C" w:rsidRPr="00436504">
        <w:rPr>
          <w:rFonts w:ascii="Century" w:hAnsi="Century" w:cs="Calibri"/>
          <w:sz w:val="22"/>
          <w:szCs w:val="22"/>
        </w:rPr>
        <w:t xml:space="preserve">  </w:t>
      </w:r>
      <w:r w:rsidR="00F33B9F" w:rsidRPr="00436504">
        <w:rPr>
          <w:rFonts w:ascii="Century" w:hAnsi="Century" w:cs="Calibri"/>
          <w:sz w:val="22"/>
          <w:szCs w:val="22"/>
        </w:rPr>
        <w:t xml:space="preserve">On the other hand, </w:t>
      </w:r>
      <w:r w:rsidR="00F33B9F" w:rsidRPr="00436504">
        <w:rPr>
          <w:rFonts w:ascii="Century" w:hAnsi="Century"/>
          <w:color w:val="000000"/>
          <w:sz w:val="22"/>
          <w:szCs w:val="22"/>
        </w:rPr>
        <w:t>(</w:t>
      </w:r>
      <w:r w:rsidR="00F33B9F" w:rsidRPr="00436504">
        <w:rPr>
          <w:rFonts w:ascii="Century" w:hAnsi="Century" w:cs="Arial"/>
          <w:color w:val="222222"/>
          <w:sz w:val="22"/>
          <w:szCs w:val="22"/>
          <w:shd w:val="clear" w:color="auto" w:fill="FFFFFF"/>
        </w:rPr>
        <w:t>Daraganova et al., 2014</w:t>
      </w:r>
      <w:r w:rsidR="00F33B9F" w:rsidRPr="00436504">
        <w:rPr>
          <w:rFonts w:ascii="Century" w:hAnsi="Century"/>
          <w:color w:val="000000"/>
          <w:sz w:val="22"/>
          <w:szCs w:val="22"/>
        </w:rPr>
        <w:t xml:space="preserve">; Eklund et al., 2022) highlighted additional factors that contribute to a student’s absence from school. One factor is poverty-related challenges such as financial difficulties and housing instability. Additionally, negative experiences with school environments can cause students to feel reluctant to want to go to school.  Feeling insecure as a result of exposure to bullying, harassment or embarrassment can lead to a student refusing to go to school. Students may feel as though the school is an unsafe environment and emotionally distressing, which reinforces their feelings of wanting to avoid school. </w:t>
      </w:r>
      <w:r w:rsidR="00891890" w:rsidRPr="00436504">
        <w:rPr>
          <w:rFonts w:ascii="Century" w:hAnsi="Century"/>
          <w:color w:val="000000"/>
          <w:sz w:val="22"/>
          <w:szCs w:val="22"/>
        </w:rPr>
        <w:t xml:space="preserve">National recommendations for improving student attendance include creating school leadership teams to specifically focus on improving attendance, getting the community involved by asking for their help and opinions, and to use data to find out what is the cause for students avoiding school. However, there are issues with this approach. One </w:t>
      </w:r>
      <w:r w:rsidR="00891890" w:rsidRPr="00436504">
        <w:rPr>
          <w:rFonts w:ascii="Century" w:hAnsi="Century"/>
          <w:color w:val="000000"/>
          <w:sz w:val="22"/>
          <w:szCs w:val="22"/>
        </w:rPr>
        <w:lastRenderedPageBreak/>
        <w:t xml:space="preserve">issue is the school should be focusing on the root cause of the issue instead of trying to treat the symptoms. Additionally, there is not much research on why students avoid attending school and which methods of improving attendance works best. </w:t>
      </w:r>
    </w:p>
    <w:p w14:paraId="4AA09EB9" w14:textId="77777777" w:rsidR="00B060B8" w:rsidRPr="00436504" w:rsidRDefault="00B060B8" w:rsidP="00965E04">
      <w:pPr>
        <w:spacing w:line="360" w:lineRule="auto"/>
        <w:rPr>
          <w:rFonts w:ascii="Century" w:hAnsi="Century"/>
          <w:color w:val="000000"/>
          <w:sz w:val="22"/>
          <w:szCs w:val="22"/>
        </w:rPr>
      </w:pPr>
    </w:p>
    <w:p w14:paraId="0C773D83" w14:textId="05BCF50C" w:rsidR="00B060B8" w:rsidRPr="00436504" w:rsidRDefault="00B060B8" w:rsidP="00965E04">
      <w:pPr>
        <w:spacing w:line="360" w:lineRule="auto"/>
        <w:rPr>
          <w:rFonts w:ascii="Century" w:hAnsi="Century" w:cs="Arial"/>
          <w:color w:val="222222"/>
          <w:sz w:val="22"/>
          <w:szCs w:val="22"/>
          <w:shd w:val="clear" w:color="auto" w:fill="FFFFFF"/>
        </w:rPr>
      </w:pPr>
      <w:r w:rsidRPr="00436504">
        <w:rPr>
          <w:rFonts w:ascii="Century" w:hAnsi="Century"/>
          <w:sz w:val="22"/>
          <w:szCs w:val="22"/>
        </w:rPr>
        <w:t xml:space="preserve">For students to achieve academic success, consistent daily attendance at school is essential. Over the past few years, concerns have been raised about the decline of school attendance </w:t>
      </w:r>
      <w:r w:rsidRPr="00436504">
        <w:rPr>
          <w:rFonts w:ascii="Century" w:hAnsi="Century"/>
          <w:color w:val="000000"/>
          <w:sz w:val="22"/>
          <w:szCs w:val="22"/>
        </w:rPr>
        <w:t xml:space="preserve">(Bradley, 2015). As a result of this, improving attendance is a target for many Schools development Plans. However, there are barriers that impact the efforts to improve attendance. One barrier to improving student attendance is a student’s individual challenges. These challenges include poor mental health, childhood trauma, and negative personal experiences. These factors can significantly </w:t>
      </w:r>
      <w:r w:rsidR="00D72FAA" w:rsidRPr="00436504">
        <w:rPr>
          <w:rFonts w:ascii="Century" w:hAnsi="Century"/>
          <w:color w:val="000000"/>
          <w:sz w:val="22"/>
          <w:szCs w:val="22"/>
        </w:rPr>
        <w:t xml:space="preserve">affect a student’s willingness to go to school as they may make school environment overwhelming. Another barrier is family-related challenges. This includes illnesses, housing instability, and poverty. These challenges can often cause a stressful home environment which can result in education to become less of a priority. Additionally, school related issues including bulling, unsafe environments, and harsh disciplinary actions from teachers. These issues can further deter students from wanting to attend school and they may feel unsafe or unwelcome. Furthermore, socioeconomic barriers can be a significant cause. For marginalised students like immigrant children and children with disabilities, they may face struggles including language barriers and a lack of support. Moreover, cultural barriers, including discrimination, prejudice, and stigmatization can cause a hostile school environment and social isolation. </w:t>
      </w:r>
      <w:r w:rsidR="003025FC" w:rsidRPr="00436504">
        <w:rPr>
          <w:rFonts w:ascii="Century" w:hAnsi="Century"/>
          <w:color w:val="000000"/>
          <w:sz w:val="22"/>
          <w:szCs w:val="22"/>
        </w:rPr>
        <w:t>Transportation issues including missing the school bus with no other way to get to school, can be challenging for families without other forms of transportation. Finally, one of the biggest barriers to improve school attendance is in the intervention plans themselves. There are many studies on improving attendance that cover a range of ages, making it difficult to develop strategies specifically ideal for primary aged students. Addressing these barriers need to be tailored to the students at hand. By doing this, we can improve student attendance and make sure that every student, regardless of their background or challenges, has the same chance at a good education</w:t>
      </w:r>
      <w:r w:rsidR="00256B1B" w:rsidRPr="00436504">
        <w:rPr>
          <w:rFonts w:ascii="Century" w:hAnsi="Century"/>
          <w:color w:val="000000"/>
          <w:sz w:val="22"/>
          <w:szCs w:val="22"/>
        </w:rPr>
        <w:t xml:space="preserve"> (Cunningham et al., 2022; </w:t>
      </w:r>
      <w:r w:rsidR="00256B1B" w:rsidRPr="00436504">
        <w:rPr>
          <w:rFonts w:ascii="Century" w:hAnsi="Century" w:cs="Arial"/>
          <w:color w:val="222222"/>
          <w:sz w:val="22"/>
          <w:szCs w:val="22"/>
          <w:shd w:val="clear" w:color="auto" w:fill="FFFFFF"/>
        </w:rPr>
        <w:t xml:space="preserve">O’Toole &amp; Ćirić, 2024). </w:t>
      </w:r>
    </w:p>
    <w:p w14:paraId="61DD8E99" w14:textId="77777777" w:rsidR="00256B1B" w:rsidRPr="00436504" w:rsidRDefault="00256B1B" w:rsidP="00965E04">
      <w:pPr>
        <w:spacing w:line="360" w:lineRule="auto"/>
        <w:rPr>
          <w:rFonts w:ascii="Century" w:hAnsi="Century" w:cs="Arial"/>
          <w:color w:val="222222"/>
          <w:sz w:val="22"/>
          <w:szCs w:val="22"/>
          <w:shd w:val="clear" w:color="auto" w:fill="FFFFFF"/>
        </w:rPr>
      </w:pPr>
    </w:p>
    <w:p w14:paraId="2878465D" w14:textId="1B3068E5" w:rsidR="00256B1B" w:rsidRDefault="00256B1B" w:rsidP="00965E04">
      <w:pPr>
        <w:spacing w:line="360" w:lineRule="auto"/>
        <w:rPr>
          <w:rFonts w:ascii="Century" w:hAnsi="Century" w:cs="Arial"/>
          <w:color w:val="222222"/>
          <w:sz w:val="22"/>
          <w:szCs w:val="22"/>
          <w:shd w:val="clear" w:color="auto" w:fill="FFFFFF"/>
        </w:rPr>
      </w:pPr>
      <w:r w:rsidRPr="00436504">
        <w:rPr>
          <w:rFonts w:ascii="Century" w:hAnsi="Century"/>
          <w:color w:val="000000"/>
          <w:sz w:val="22"/>
          <w:szCs w:val="22"/>
        </w:rPr>
        <w:t xml:space="preserve">(Janda, 2022) did research about the correlation between attainment gap and students from disadvantaged families, including students that receive free school meals, are more likely to receive lower academic success compared to the mor advantaged students. To overcome this, the government introduced the Pupil Premium Funding initiative. This </w:t>
      </w:r>
      <w:r w:rsidRPr="00436504">
        <w:rPr>
          <w:rFonts w:ascii="Century" w:hAnsi="Century"/>
          <w:color w:val="000000"/>
          <w:sz w:val="22"/>
          <w:szCs w:val="22"/>
        </w:rPr>
        <w:lastRenderedPageBreak/>
        <w:t xml:space="preserve">initiative aimed to close the attainment gap. The effectiveness of this initiative is dependent on several factors. </w:t>
      </w:r>
      <w:r w:rsidR="008C5AC6" w:rsidRPr="00436504">
        <w:rPr>
          <w:rFonts w:ascii="Century" w:hAnsi="Century"/>
          <w:color w:val="000000"/>
          <w:sz w:val="22"/>
          <w:szCs w:val="22"/>
        </w:rPr>
        <w:t>Positive factors that make the initiative successful includes access to resources, a positive attitude towards learning, time allocated to non-academic activities, and good relationships amongst peers, parents and school staff. On the other hand, there are negative factors that can stop the initiative from being successful. These factors include limited recourses at home, impacts from COVID-19, a lack of interest in school, and poor relationship with school staff (</w:t>
      </w:r>
      <w:r w:rsidR="008C5AC6" w:rsidRPr="00436504">
        <w:rPr>
          <w:rFonts w:ascii="Century" w:hAnsi="Century" w:cs="Arial"/>
          <w:color w:val="222222"/>
          <w:sz w:val="22"/>
          <w:szCs w:val="22"/>
          <w:shd w:val="clear" w:color="auto" w:fill="FFFFFF"/>
        </w:rPr>
        <w:t xml:space="preserve">Carpenter et al., 2013; Gorard et al., 2022; </w:t>
      </w:r>
      <w:r w:rsidR="008C5AC6" w:rsidRPr="00436504">
        <w:rPr>
          <w:rFonts w:ascii="Century" w:hAnsi="Century"/>
          <w:color w:val="000000"/>
          <w:sz w:val="22"/>
          <w:szCs w:val="22"/>
        </w:rPr>
        <w:t>Janda, 2022</w:t>
      </w:r>
      <w:r w:rsidR="008C5AC6" w:rsidRPr="00436504">
        <w:rPr>
          <w:rFonts w:ascii="Century" w:hAnsi="Century" w:cs="Arial"/>
          <w:color w:val="222222"/>
          <w:sz w:val="22"/>
          <w:szCs w:val="22"/>
          <w:shd w:val="clear" w:color="auto" w:fill="FFFFFF"/>
        </w:rPr>
        <w:t>).</w:t>
      </w:r>
    </w:p>
    <w:p w14:paraId="650745EF" w14:textId="77777777" w:rsidR="00436504" w:rsidRPr="00436504" w:rsidRDefault="00436504" w:rsidP="00965E04">
      <w:pPr>
        <w:spacing w:line="360" w:lineRule="auto"/>
        <w:rPr>
          <w:rFonts w:ascii="Century" w:hAnsi="Century" w:cs="Arial"/>
          <w:color w:val="222222"/>
          <w:sz w:val="22"/>
          <w:szCs w:val="22"/>
          <w:shd w:val="clear" w:color="auto" w:fill="FFFFFF"/>
        </w:rPr>
      </w:pPr>
    </w:p>
    <w:p w14:paraId="149A2251" w14:textId="174B7DBD" w:rsidR="008C5AC6" w:rsidRPr="00436504" w:rsidRDefault="008C5AC6" w:rsidP="00965E04">
      <w:pPr>
        <w:spacing w:line="360" w:lineRule="auto"/>
        <w:rPr>
          <w:rFonts w:ascii="Century" w:hAnsi="Century"/>
          <w:color w:val="000000"/>
          <w:sz w:val="22"/>
          <w:szCs w:val="22"/>
        </w:rPr>
      </w:pPr>
      <w:r w:rsidRPr="00436504">
        <w:rPr>
          <w:rFonts w:ascii="Century" w:hAnsi="Century" w:cs="Arial"/>
          <w:color w:val="222222"/>
          <w:sz w:val="22"/>
          <w:szCs w:val="22"/>
          <w:shd w:val="clear" w:color="auto" w:fill="FFFFFF"/>
        </w:rPr>
        <w:t>However, according to (Gorard et al., 2022)</w:t>
      </w:r>
      <w:r w:rsidRPr="00436504">
        <w:rPr>
          <w:rFonts w:ascii="Century" w:hAnsi="Century"/>
          <w:color w:val="000000"/>
          <w:sz w:val="22"/>
          <w:szCs w:val="22"/>
        </w:rPr>
        <w:t xml:space="preserve">, </w:t>
      </w:r>
      <w:r w:rsidRPr="00436504">
        <w:rPr>
          <w:rFonts w:ascii="Century" w:hAnsi="Century" w:cs="Arial"/>
          <w:color w:val="222222"/>
          <w:sz w:val="22"/>
          <w:szCs w:val="22"/>
          <w:shd w:val="clear" w:color="auto" w:fill="FFFFFF"/>
        </w:rPr>
        <w:t>the effectiveness of the Pupil Premium funding has been questioned</w:t>
      </w:r>
      <w:r w:rsidRPr="00436504">
        <w:rPr>
          <w:rFonts w:ascii="Century" w:hAnsi="Century"/>
          <w:color w:val="000000"/>
          <w:sz w:val="22"/>
          <w:szCs w:val="22"/>
        </w:rPr>
        <w:t>. It has been suggested that some schools may not use the funding as originally indented by the government</w:t>
      </w:r>
      <w:r w:rsidR="001705B5" w:rsidRPr="00436504">
        <w:rPr>
          <w:rFonts w:ascii="Century" w:hAnsi="Century"/>
          <w:color w:val="000000"/>
          <w:sz w:val="22"/>
          <w:szCs w:val="22"/>
        </w:rPr>
        <w:t>. This is where the funding has not gone towards the disadvantaged students, instead it has been put into the school’s general budget, or it has been used for hiring new staff, professional growth, and employee retention. Additionally, changes in assessment practices and changes in the economy might make the impact of the policy unclear.</w:t>
      </w:r>
    </w:p>
    <w:p w14:paraId="0DA9CB5C" w14:textId="77777777" w:rsidR="001705B5" w:rsidRPr="00436504" w:rsidRDefault="001705B5" w:rsidP="00965E04">
      <w:pPr>
        <w:spacing w:line="360" w:lineRule="auto"/>
        <w:rPr>
          <w:rFonts w:ascii="Century" w:hAnsi="Century"/>
          <w:color w:val="000000"/>
          <w:sz w:val="22"/>
          <w:szCs w:val="22"/>
        </w:rPr>
      </w:pPr>
    </w:p>
    <w:p w14:paraId="477A86CC" w14:textId="1B1E03E8" w:rsidR="00583782" w:rsidRDefault="001705B5" w:rsidP="00965E04">
      <w:pPr>
        <w:spacing w:line="360" w:lineRule="auto"/>
        <w:rPr>
          <w:rFonts w:ascii="Century" w:hAnsi="Century"/>
          <w:color w:val="000000"/>
          <w:sz w:val="22"/>
          <w:szCs w:val="22"/>
        </w:rPr>
      </w:pPr>
      <w:r w:rsidRPr="00965E04">
        <w:rPr>
          <w:rFonts w:ascii="Century" w:hAnsi="Century"/>
          <w:b/>
          <w:bCs/>
          <w:color w:val="000000"/>
          <w:sz w:val="28"/>
          <w:szCs w:val="28"/>
        </w:rPr>
        <w:t>Action Plan:</w:t>
      </w:r>
      <w:r w:rsidRPr="00436504">
        <w:rPr>
          <w:rFonts w:ascii="Century" w:hAnsi="Century"/>
          <w:color w:val="000000"/>
          <w:sz w:val="22"/>
          <w:szCs w:val="22"/>
        </w:rPr>
        <w:br/>
        <w:t xml:space="preserve">At my placement school, the vision is aiming for a positive learning environment where Welsh values and culture are celebrated. The vision emphasises the importance of prioritising the </w:t>
      </w:r>
      <w:r w:rsidR="00CE1D78" w:rsidRPr="00436504">
        <w:rPr>
          <w:rFonts w:ascii="Century" w:hAnsi="Century"/>
          <w:color w:val="000000"/>
          <w:sz w:val="22"/>
          <w:szCs w:val="22"/>
        </w:rPr>
        <w:t>student’s</w:t>
      </w:r>
      <w:r w:rsidRPr="00436504">
        <w:rPr>
          <w:rFonts w:ascii="Century" w:hAnsi="Century"/>
          <w:color w:val="000000"/>
          <w:sz w:val="22"/>
          <w:szCs w:val="22"/>
        </w:rPr>
        <w:t xml:space="preserve"> well-being</w:t>
      </w:r>
      <w:r w:rsidR="00CE1D78" w:rsidRPr="00436504">
        <w:rPr>
          <w:rFonts w:ascii="Century" w:hAnsi="Century"/>
          <w:color w:val="000000"/>
          <w:sz w:val="22"/>
          <w:szCs w:val="22"/>
        </w:rPr>
        <w:t xml:space="preserve"> and developing skills in literacy, numeracy and digital competence. By providing </w:t>
      </w:r>
      <w:r w:rsidR="007642C3" w:rsidRPr="00436504">
        <w:rPr>
          <w:rFonts w:ascii="Century" w:hAnsi="Century"/>
          <w:color w:val="000000"/>
          <w:sz w:val="22"/>
          <w:szCs w:val="22"/>
        </w:rPr>
        <w:t xml:space="preserve">a </w:t>
      </w:r>
      <w:r w:rsidR="00CE1D78" w:rsidRPr="00436504">
        <w:rPr>
          <w:rFonts w:ascii="Century" w:hAnsi="Century"/>
          <w:color w:val="000000"/>
          <w:sz w:val="22"/>
          <w:szCs w:val="22"/>
        </w:rPr>
        <w:t xml:space="preserve">practical, hands-on experience, students are encouraged to engage in meaningful learning that is in line with their interests and needs. The Welsh curriculum supports building on prior knowledge and encouraging curiosity to allow all pupils to explore ideas and learn new skills. The school encouraged independent learning where students are free to take ownership of their own learning. This promotes decision making abilities to prepare them for their future. Additionally, the vision aims to encourage important lifelong values. This includes </w:t>
      </w:r>
      <w:r w:rsidR="00583782" w:rsidRPr="00436504">
        <w:rPr>
          <w:rFonts w:ascii="Century" w:hAnsi="Century"/>
          <w:color w:val="000000"/>
          <w:sz w:val="22"/>
          <w:szCs w:val="22"/>
        </w:rPr>
        <w:t xml:space="preserve">kindness, </w:t>
      </w:r>
      <w:r w:rsidR="00CE1D78" w:rsidRPr="00436504">
        <w:rPr>
          <w:rFonts w:ascii="Century" w:hAnsi="Century"/>
          <w:color w:val="000000"/>
          <w:sz w:val="22"/>
          <w:szCs w:val="22"/>
        </w:rPr>
        <w:t xml:space="preserve">politeness, gratitude respect, ambition, and all social skills the students will need to grow into well-rounded adults. </w:t>
      </w:r>
    </w:p>
    <w:p w14:paraId="3601E3D9" w14:textId="77777777" w:rsidR="00436504" w:rsidRPr="00436504" w:rsidRDefault="00436504" w:rsidP="00965E04">
      <w:pPr>
        <w:spacing w:line="360" w:lineRule="auto"/>
        <w:rPr>
          <w:rFonts w:ascii="Century" w:hAnsi="Century"/>
          <w:color w:val="000000"/>
          <w:sz w:val="22"/>
          <w:szCs w:val="22"/>
        </w:rPr>
      </w:pPr>
    </w:p>
    <w:p w14:paraId="517F31F0" w14:textId="1BEEDF49" w:rsidR="00CE1D78" w:rsidRPr="00436504" w:rsidRDefault="006452ED" w:rsidP="00965E04">
      <w:pPr>
        <w:spacing w:line="360" w:lineRule="auto"/>
        <w:rPr>
          <w:rFonts w:ascii="Century" w:hAnsi="Century"/>
          <w:color w:val="000000"/>
          <w:sz w:val="22"/>
          <w:szCs w:val="22"/>
        </w:rPr>
      </w:pPr>
      <w:r w:rsidRPr="00436504">
        <w:rPr>
          <w:rFonts w:ascii="Century" w:hAnsi="Century"/>
          <w:color w:val="000000"/>
          <w:sz w:val="22"/>
          <w:szCs w:val="22"/>
        </w:rPr>
        <w:t xml:space="preserve">A </w:t>
      </w:r>
      <w:r w:rsidR="00CE1D78" w:rsidRPr="00436504">
        <w:rPr>
          <w:rFonts w:ascii="Century" w:hAnsi="Century"/>
          <w:color w:val="000000"/>
          <w:sz w:val="22"/>
          <w:szCs w:val="22"/>
        </w:rPr>
        <w:t xml:space="preserve">target of improving wellbeing to improve attendance by 2% and to close the attainment gap between students that are eligible for free school meals compared to non-free school meal students </w:t>
      </w:r>
      <w:r w:rsidRPr="00436504">
        <w:rPr>
          <w:rFonts w:ascii="Century" w:hAnsi="Century"/>
          <w:color w:val="000000"/>
          <w:sz w:val="22"/>
          <w:szCs w:val="22"/>
        </w:rPr>
        <w:t xml:space="preserve">can be achieved by overcoming both academic and emotional needs. As previously stated, improving student well-being is crucial for </w:t>
      </w:r>
      <w:r w:rsidRPr="00436504">
        <w:rPr>
          <w:rFonts w:ascii="Century" w:hAnsi="Century"/>
          <w:color w:val="000000"/>
          <w:sz w:val="22"/>
          <w:szCs w:val="22"/>
        </w:rPr>
        <w:lastRenderedPageBreak/>
        <w:t>improving attendance. This is a result of students being more willing to come to school when they feel safe, supported, and engaged</w:t>
      </w:r>
      <w:r w:rsidR="00DF62ED" w:rsidRPr="00436504">
        <w:rPr>
          <w:rFonts w:ascii="Century" w:hAnsi="Century"/>
          <w:color w:val="000000"/>
          <w:sz w:val="22"/>
          <w:szCs w:val="22"/>
        </w:rPr>
        <w:t xml:space="preserve">. </w:t>
      </w:r>
      <w:r w:rsidRPr="00436504">
        <w:rPr>
          <w:rFonts w:ascii="Century" w:hAnsi="Century"/>
          <w:color w:val="000000"/>
          <w:sz w:val="22"/>
          <w:szCs w:val="22"/>
        </w:rPr>
        <w:t>Implementing strategies such as mental health programs, peer support systems, and regular check-ins create</w:t>
      </w:r>
      <w:r w:rsidR="00DF62ED" w:rsidRPr="00436504">
        <w:rPr>
          <w:rFonts w:ascii="Century" w:hAnsi="Century"/>
          <w:color w:val="000000"/>
          <w:sz w:val="22"/>
          <w:szCs w:val="22"/>
        </w:rPr>
        <w:t>s</w:t>
      </w:r>
      <w:r w:rsidRPr="00436504">
        <w:rPr>
          <w:rFonts w:ascii="Century" w:hAnsi="Century"/>
          <w:color w:val="000000"/>
          <w:sz w:val="22"/>
          <w:szCs w:val="22"/>
        </w:rPr>
        <w:t xml:space="preserve"> a positive environment that encourages students to be engaged</w:t>
      </w:r>
      <w:r w:rsidR="00DF62ED" w:rsidRPr="00436504">
        <w:rPr>
          <w:rFonts w:ascii="Century" w:hAnsi="Century"/>
          <w:color w:val="000000"/>
          <w:sz w:val="22"/>
          <w:szCs w:val="22"/>
        </w:rPr>
        <w:t xml:space="preserve"> in their work</w:t>
      </w:r>
      <w:r w:rsidRPr="00436504">
        <w:rPr>
          <w:rFonts w:ascii="Century" w:hAnsi="Century"/>
          <w:color w:val="000000"/>
          <w:sz w:val="22"/>
          <w:szCs w:val="22"/>
        </w:rPr>
        <w:t xml:space="preserve"> (Estyn, 2022; Welsh Government, 2023). As well as creating a safe and supportive learning environment that encourages engagement and participation, schools that provide additional academic support, including tutoring, can not only improve wellbeing but can assist in closing the attainment gap between advantaged students and disadvantaged students (Welsh Government, 2023). </w:t>
      </w:r>
    </w:p>
    <w:p w14:paraId="1952ED41" w14:textId="13FCD7EC" w:rsidR="002C060C" w:rsidRPr="00436504" w:rsidRDefault="006452ED" w:rsidP="00965E04">
      <w:pPr>
        <w:pStyle w:val="NormalWeb"/>
        <w:spacing w:line="360" w:lineRule="auto"/>
        <w:rPr>
          <w:rFonts w:ascii="Century" w:hAnsi="Century"/>
          <w:color w:val="000000"/>
          <w:sz w:val="22"/>
          <w:szCs w:val="22"/>
        </w:rPr>
      </w:pPr>
      <w:r w:rsidRPr="00436504">
        <w:rPr>
          <w:rFonts w:ascii="Century" w:hAnsi="Century"/>
          <w:color w:val="000000"/>
          <w:sz w:val="22"/>
          <w:szCs w:val="22"/>
        </w:rPr>
        <w:t xml:space="preserve">My placement school set their target of improving well-being to increase attendance by 2%, based on their (Estyn, 2017) report, which </w:t>
      </w:r>
      <w:r w:rsidR="00DF62ED" w:rsidRPr="00436504">
        <w:rPr>
          <w:rFonts w:ascii="Century" w:hAnsi="Century"/>
          <w:color w:val="000000"/>
          <w:sz w:val="22"/>
          <w:szCs w:val="22"/>
        </w:rPr>
        <w:t>states</w:t>
      </w:r>
      <w:r w:rsidRPr="00436504">
        <w:rPr>
          <w:rFonts w:ascii="Century" w:hAnsi="Century"/>
          <w:color w:val="000000"/>
          <w:sz w:val="22"/>
          <w:szCs w:val="22"/>
        </w:rPr>
        <w:t xml:space="preserve"> their attendance as good,</w:t>
      </w:r>
      <w:r w:rsidR="00DF62ED" w:rsidRPr="00436504">
        <w:rPr>
          <w:rFonts w:ascii="Century" w:hAnsi="Century"/>
          <w:color w:val="000000"/>
          <w:sz w:val="22"/>
          <w:szCs w:val="22"/>
        </w:rPr>
        <w:t xml:space="preserve"> but there is room for improvement</w:t>
      </w:r>
      <w:r w:rsidRPr="00436504">
        <w:rPr>
          <w:rFonts w:ascii="Century" w:hAnsi="Century"/>
          <w:color w:val="000000"/>
          <w:sz w:val="22"/>
          <w:szCs w:val="22"/>
        </w:rPr>
        <w:t>. The</w:t>
      </w:r>
      <w:r w:rsidR="00DF62ED" w:rsidRPr="00436504">
        <w:rPr>
          <w:rFonts w:ascii="Century" w:hAnsi="Century"/>
          <w:color w:val="000000"/>
          <w:sz w:val="22"/>
          <w:szCs w:val="22"/>
        </w:rPr>
        <w:t>ir</w:t>
      </w:r>
      <w:r w:rsidRPr="00436504">
        <w:rPr>
          <w:rFonts w:ascii="Century" w:hAnsi="Century"/>
          <w:color w:val="000000"/>
          <w:sz w:val="22"/>
          <w:szCs w:val="22"/>
        </w:rPr>
        <w:t xml:space="preserve"> (Estyn, 2025) report </w:t>
      </w:r>
      <w:r w:rsidR="00DF62ED" w:rsidRPr="00436504">
        <w:rPr>
          <w:rFonts w:ascii="Century" w:hAnsi="Century"/>
          <w:color w:val="000000"/>
          <w:sz w:val="22"/>
          <w:szCs w:val="22"/>
        </w:rPr>
        <w:t>claims</w:t>
      </w:r>
      <w:r w:rsidRPr="00436504">
        <w:rPr>
          <w:rFonts w:ascii="Century" w:hAnsi="Century"/>
          <w:color w:val="000000"/>
          <w:sz w:val="22"/>
          <w:szCs w:val="22"/>
        </w:rPr>
        <w:t xml:space="preserve"> that attendance rates had consistently increased</w:t>
      </w:r>
      <w:r w:rsidR="00DF62ED" w:rsidRPr="00436504">
        <w:rPr>
          <w:rFonts w:ascii="Century" w:hAnsi="Century"/>
          <w:color w:val="000000"/>
          <w:sz w:val="22"/>
          <w:szCs w:val="22"/>
        </w:rPr>
        <w:t>, suggesting that their approaches to achieving their target are working.</w:t>
      </w:r>
    </w:p>
    <w:p w14:paraId="5527F374" w14:textId="046697D0" w:rsidR="002C060C" w:rsidRPr="00436504" w:rsidRDefault="002C060C" w:rsidP="00965E04">
      <w:pPr>
        <w:pStyle w:val="NormalWeb"/>
        <w:spacing w:line="360" w:lineRule="auto"/>
        <w:rPr>
          <w:rFonts w:ascii="Century" w:hAnsi="Century"/>
          <w:color w:val="000000"/>
          <w:sz w:val="22"/>
          <w:szCs w:val="22"/>
        </w:rPr>
      </w:pPr>
      <w:r w:rsidRPr="00436504">
        <w:rPr>
          <w:rFonts w:ascii="Century" w:hAnsi="Century"/>
          <w:color w:val="000000"/>
          <w:sz w:val="22"/>
          <w:szCs w:val="22"/>
        </w:rPr>
        <w:t xml:space="preserve">To achieve this target, my placement school have taken several approaches. One approach is having building relationships with the families of the students to improve attendance. Examples of their family-school engagement plan is parent governors, Class Dojos, parents evening, and greeting parents in the morning and after school at drop off. (McConnell &amp; Kubina, 2014) support the theory of strong family-school relationships improve attendance. Another approach </w:t>
      </w:r>
      <w:r w:rsidR="00FA083D" w:rsidRPr="00436504">
        <w:rPr>
          <w:rFonts w:ascii="Century" w:hAnsi="Century"/>
          <w:color w:val="000000"/>
          <w:sz w:val="22"/>
          <w:szCs w:val="22"/>
        </w:rPr>
        <w:t xml:space="preserve">my placement school has taken is to address mental well-being by providing intervention plans, counselling and support for the students. This is to help reduce anxiety and stress and support the students where needed. (Kearney et al., 2022) support this claiming that proactively working on mental health helps students feel more capable and confident and therefore more likely to attend school. Additionally, another approach taken is creating a safe and inclusive environment. </w:t>
      </w:r>
      <w:r w:rsidR="00583782" w:rsidRPr="00436504">
        <w:rPr>
          <w:rFonts w:ascii="Century" w:hAnsi="Century"/>
          <w:color w:val="000000"/>
          <w:sz w:val="22"/>
          <w:szCs w:val="22"/>
        </w:rPr>
        <w:t>One of the many ways m</w:t>
      </w:r>
      <w:r w:rsidR="00FA083D" w:rsidRPr="00436504">
        <w:rPr>
          <w:rFonts w:ascii="Century" w:hAnsi="Century"/>
          <w:color w:val="000000"/>
          <w:sz w:val="22"/>
          <w:szCs w:val="22"/>
        </w:rPr>
        <w:t xml:space="preserve">y placement school </w:t>
      </w:r>
      <w:r w:rsidR="00583782" w:rsidRPr="00436504">
        <w:rPr>
          <w:rFonts w:ascii="Century" w:hAnsi="Century"/>
          <w:color w:val="000000"/>
          <w:sz w:val="22"/>
          <w:szCs w:val="22"/>
        </w:rPr>
        <w:t>introduced inclusivity is by providing a full library of books people with different cultures, races, genders, disabilities and much more. (</w:t>
      </w:r>
      <w:r w:rsidR="00436504">
        <w:rPr>
          <w:rFonts w:ascii="Century" w:hAnsi="Century"/>
          <w:color w:val="000000"/>
          <w:sz w:val="22"/>
          <w:szCs w:val="22"/>
        </w:rPr>
        <w:t>Bradley, 2015</w:t>
      </w:r>
      <w:r w:rsidR="00583782" w:rsidRPr="00436504">
        <w:rPr>
          <w:rFonts w:ascii="Century" w:hAnsi="Century"/>
          <w:color w:val="000000"/>
          <w:sz w:val="22"/>
          <w:szCs w:val="22"/>
        </w:rPr>
        <w:t xml:space="preserve">) also supports this suggesting an environment where students feel safe, valued, and supported will encourage more students to attend school. </w:t>
      </w:r>
      <w:r w:rsidR="00B1212A" w:rsidRPr="00436504">
        <w:rPr>
          <w:rFonts w:ascii="Century" w:hAnsi="Century"/>
          <w:color w:val="000000"/>
          <w:sz w:val="22"/>
          <w:szCs w:val="22"/>
        </w:rPr>
        <w:t xml:space="preserve">Finally, mentioned in my school’s vision, the school encourages kindness, politeness, and respect for everyone around them. The aim of this is to prevent bullying by showing the students how to be kind. </w:t>
      </w:r>
    </w:p>
    <w:p w14:paraId="02948C71" w14:textId="2FD1A619" w:rsidR="00583782" w:rsidRPr="00436504" w:rsidRDefault="00583782" w:rsidP="00965E04">
      <w:pPr>
        <w:pStyle w:val="NormalWeb"/>
        <w:spacing w:line="360" w:lineRule="auto"/>
        <w:rPr>
          <w:rFonts w:ascii="Century" w:hAnsi="Century"/>
          <w:color w:val="000000"/>
          <w:sz w:val="22"/>
          <w:szCs w:val="22"/>
        </w:rPr>
      </w:pPr>
      <w:r w:rsidRPr="00436504">
        <w:rPr>
          <w:rFonts w:ascii="Century" w:hAnsi="Century"/>
          <w:color w:val="000000"/>
          <w:sz w:val="22"/>
          <w:szCs w:val="22"/>
        </w:rPr>
        <w:lastRenderedPageBreak/>
        <w:t>However, as previously stated, there are barriers that impact the efforts to improve attendance. These barriers include individual challenges, family related barriers, school related issues, socioeconomic barriers, cultural barriers, and transportation issues.</w:t>
      </w:r>
    </w:p>
    <w:p w14:paraId="525961D9" w14:textId="08E064A1" w:rsidR="00DF62ED" w:rsidRPr="00436504" w:rsidRDefault="00DF62ED" w:rsidP="00965E04">
      <w:pPr>
        <w:pStyle w:val="NormalWeb"/>
        <w:spacing w:line="360" w:lineRule="auto"/>
        <w:rPr>
          <w:rFonts w:ascii="Century" w:hAnsi="Century"/>
          <w:color w:val="000000"/>
          <w:sz w:val="22"/>
          <w:szCs w:val="22"/>
        </w:rPr>
      </w:pPr>
      <w:r w:rsidRPr="00436504">
        <w:rPr>
          <w:rFonts w:ascii="Century" w:hAnsi="Century"/>
          <w:color w:val="000000"/>
          <w:sz w:val="22"/>
          <w:szCs w:val="22"/>
        </w:rPr>
        <w:t xml:space="preserve">In my practice, I aimed to contribute to improving students’ wellbeing to improve their attendance. To achieve this, I delivered a series of health and wellbeing lessons with the aim of showing the students the benefits in sharing and celebrating our similarities and differences. </w:t>
      </w:r>
      <w:r w:rsidR="003B2F2C" w:rsidRPr="00436504">
        <w:rPr>
          <w:rFonts w:ascii="Century" w:hAnsi="Century"/>
          <w:color w:val="000000"/>
          <w:sz w:val="22"/>
          <w:szCs w:val="22"/>
        </w:rPr>
        <w:t xml:space="preserve">At the beginning of the first lesson, I asked the students to close their eyes and raise their hands if they have ever felt unwelcome, unsafe or resultant to come to school. Majority raised their hands. I then asked them to open their eyes so they could see their peers have felt the same way. We then sent the lesson discussing why, and what could be done to overcome it. In our next lesson, the students completed a personality test, including questions asking about their favourite things, family, religion, and biggest fears and insecurities. I followed this with a group activity where, at the end of the lesson, the students got to share their responses with the class. The aim of this activity was to show the students we share both similarities and differences. We then discussed the importance of celebrating the similarities and differences, and ways we could do it to make everyone feel included. </w:t>
      </w:r>
    </w:p>
    <w:p w14:paraId="50509DAB" w14:textId="0E5599D3" w:rsidR="003B2F2C" w:rsidRPr="00436504" w:rsidRDefault="003B2F2C" w:rsidP="00965E04">
      <w:pPr>
        <w:pStyle w:val="NormalWeb"/>
        <w:spacing w:line="360" w:lineRule="auto"/>
        <w:rPr>
          <w:rFonts w:ascii="Century" w:hAnsi="Century"/>
          <w:color w:val="000000"/>
          <w:sz w:val="22"/>
          <w:szCs w:val="22"/>
        </w:rPr>
      </w:pPr>
      <w:r w:rsidRPr="00436504">
        <w:rPr>
          <w:rFonts w:ascii="Century" w:hAnsi="Century"/>
          <w:color w:val="000000"/>
          <w:sz w:val="22"/>
          <w:szCs w:val="22"/>
        </w:rPr>
        <w:t xml:space="preserve">By the end of the series of lessons, I once again asked the students to close their eyes and raise their hands if they feel safer, more welcome, and more excited to come to school. Majority raised their hands, and I asked the students to open their eyes. This </w:t>
      </w:r>
      <w:r w:rsidR="00A24D56" w:rsidRPr="00436504">
        <w:rPr>
          <w:rFonts w:ascii="Century" w:hAnsi="Century"/>
          <w:color w:val="000000"/>
          <w:sz w:val="22"/>
          <w:szCs w:val="22"/>
        </w:rPr>
        <w:t xml:space="preserve">exercise had shown the students that even though they may have differences, they are not alone, and school is a safe place for them to come learn and grow. </w:t>
      </w:r>
    </w:p>
    <w:p w14:paraId="278D59A8" w14:textId="78C6B4F6" w:rsidR="00A24D56" w:rsidRPr="00436504" w:rsidRDefault="00A24D56" w:rsidP="00965E04">
      <w:pPr>
        <w:pStyle w:val="NormalWeb"/>
        <w:spacing w:line="360" w:lineRule="auto"/>
        <w:rPr>
          <w:rFonts w:ascii="Century" w:hAnsi="Century"/>
          <w:color w:val="000000"/>
          <w:sz w:val="22"/>
          <w:szCs w:val="22"/>
        </w:rPr>
      </w:pPr>
      <w:r w:rsidRPr="00965E04">
        <w:rPr>
          <w:rFonts w:ascii="Century" w:hAnsi="Century"/>
          <w:b/>
          <w:bCs/>
          <w:color w:val="000000"/>
          <w:sz w:val="28"/>
          <w:szCs w:val="28"/>
        </w:rPr>
        <w:t>Reflection:</w:t>
      </w:r>
      <w:r w:rsidRPr="00436504">
        <w:rPr>
          <w:rFonts w:ascii="Century" w:hAnsi="Century"/>
          <w:color w:val="000000"/>
          <w:sz w:val="22"/>
          <w:szCs w:val="22"/>
        </w:rPr>
        <w:br/>
        <w:t>Parker (2018) discusses the Attachment-Aware Schools approach based on (Bowlby, 1969) and (Ainsworth et al., 1978) theories. These theories highlight the importance of relationships between children and their caregivers. They suggest that strong relationships promote emotional safety and trust. When students fe</w:t>
      </w:r>
      <w:r w:rsidR="002E754C" w:rsidRPr="00436504">
        <w:rPr>
          <w:rFonts w:ascii="Century" w:hAnsi="Century"/>
          <w:color w:val="000000"/>
          <w:sz w:val="22"/>
          <w:szCs w:val="22"/>
        </w:rPr>
        <w:t>e</w:t>
      </w:r>
      <w:r w:rsidRPr="00436504">
        <w:rPr>
          <w:rFonts w:ascii="Century" w:hAnsi="Century"/>
          <w:color w:val="000000"/>
          <w:sz w:val="22"/>
          <w:szCs w:val="22"/>
        </w:rPr>
        <w:t xml:space="preserve">l this strong relationship, they are more likely to feel safe and supported, which encourages the students to engage with their learning. </w:t>
      </w:r>
      <w:r w:rsidR="0046029F" w:rsidRPr="00436504">
        <w:rPr>
          <w:rFonts w:ascii="Century" w:hAnsi="Century"/>
          <w:color w:val="000000"/>
          <w:sz w:val="22"/>
          <w:szCs w:val="22"/>
        </w:rPr>
        <w:t xml:space="preserve">As a result of strong relationships, students may feel more emotionally secure and will be more likely to share their similarities and differences, which </w:t>
      </w:r>
      <w:r w:rsidR="002E754C" w:rsidRPr="00436504">
        <w:rPr>
          <w:rFonts w:ascii="Century" w:hAnsi="Century"/>
          <w:color w:val="000000"/>
          <w:sz w:val="22"/>
          <w:szCs w:val="22"/>
        </w:rPr>
        <w:t xml:space="preserve">is likely to create an inclusive environment where diversity is celebrated. As a result of this approach, students are more likely to have improved </w:t>
      </w:r>
      <w:r w:rsidR="002E754C" w:rsidRPr="00436504">
        <w:rPr>
          <w:rFonts w:ascii="Century" w:hAnsi="Century"/>
          <w:color w:val="000000"/>
          <w:sz w:val="22"/>
          <w:szCs w:val="22"/>
        </w:rPr>
        <w:lastRenderedPageBreak/>
        <w:t>attendance and better participation in their lessons (Bomber &amp; Hughes, 2013; Rose et al., 2019).</w:t>
      </w:r>
    </w:p>
    <w:p w14:paraId="3568760D" w14:textId="7992E029" w:rsidR="002E754C" w:rsidRPr="00436504" w:rsidRDefault="002E754C" w:rsidP="00965E04">
      <w:pPr>
        <w:pStyle w:val="NormalWeb"/>
        <w:spacing w:line="360" w:lineRule="auto"/>
        <w:rPr>
          <w:rFonts w:ascii="Century" w:hAnsi="Century"/>
          <w:color w:val="000000"/>
          <w:sz w:val="22"/>
          <w:szCs w:val="22"/>
        </w:rPr>
      </w:pPr>
      <w:r w:rsidRPr="00436504">
        <w:rPr>
          <w:rFonts w:ascii="Century" w:hAnsi="Century"/>
          <w:color w:val="000000"/>
          <w:sz w:val="22"/>
          <w:szCs w:val="22"/>
        </w:rPr>
        <w:t>However, as</w:t>
      </w:r>
      <w:r w:rsidRPr="00436504">
        <w:rPr>
          <w:rStyle w:val="apple-converted-space"/>
          <w:rFonts w:ascii="Century" w:eastAsiaTheme="majorEastAsia" w:hAnsi="Century"/>
          <w:color w:val="000000"/>
          <w:sz w:val="22"/>
          <w:szCs w:val="22"/>
        </w:rPr>
        <w:t> (</w:t>
      </w:r>
      <w:r w:rsidRPr="00436504">
        <w:rPr>
          <w:rStyle w:val="Strong"/>
          <w:rFonts w:ascii="Century" w:eastAsiaTheme="majorEastAsia" w:hAnsi="Century"/>
          <w:b w:val="0"/>
          <w:bCs w:val="0"/>
          <w:color w:val="000000"/>
          <w:sz w:val="22"/>
          <w:szCs w:val="22"/>
        </w:rPr>
        <w:t>Bandura 1977; Bowlby, 1969;</w:t>
      </w:r>
      <w:r w:rsidRPr="00436504">
        <w:rPr>
          <w:rStyle w:val="apple-converted-space"/>
          <w:rFonts w:ascii="Century" w:eastAsiaTheme="majorEastAsia" w:hAnsi="Century"/>
          <w:b/>
          <w:bCs/>
          <w:color w:val="000000"/>
          <w:sz w:val="22"/>
          <w:szCs w:val="22"/>
        </w:rPr>
        <w:t> </w:t>
      </w:r>
      <w:r w:rsidRPr="00436504">
        <w:rPr>
          <w:rStyle w:val="Strong"/>
          <w:rFonts w:ascii="Century" w:eastAsiaTheme="majorEastAsia" w:hAnsi="Century"/>
          <w:b w:val="0"/>
          <w:bCs w:val="0"/>
          <w:color w:val="000000"/>
          <w:sz w:val="22"/>
          <w:szCs w:val="22"/>
        </w:rPr>
        <w:t>Pianta, 2006)</w:t>
      </w:r>
      <w:r w:rsidRPr="00436504">
        <w:rPr>
          <w:rStyle w:val="apple-converted-space"/>
          <w:rFonts w:ascii="Century" w:eastAsiaTheme="majorEastAsia" w:hAnsi="Century"/>
          <w:color w:val="000000"/>
          <w:sz w:val="22"/>
          <w:szCs w:val="22"/>
        </w:rPr>
        <w:t> have highlighted, the importance of consistency in building trust and relationships is crucial, especially in educational settings. Children develop a strong sense of trust when a caregiver, including teachers, provide consistent emotional support (</w:t>
      </w:r>
      <w:r w:rsidRPr="00436504">
        <w:rPr>
          <w:rFonts w:ascii="Century" w:hAnsi="Century"/>
          <w:color w:val="000000"/>
          <w:sz w:val="22"/>
          <w:szCs w:val="22"/>
        </w:rPr>
        <w:t>Bowlby, 1969). Bandura (1977) strengthens this theory by claiming children learn behaviours and actions from consistent authority figures</w:t>
      </w:r>
      <w:r w:rsidR="00873622" w:rsidRPr="00436504">
        <w:rPr>
          <w:rFonts w:ascii="Century" w:hAnsi="Century"/>
          <w:color w:val="000000"/>
          <w:sz w:val="22"/>
          <w:szCs w:val="22"/>
        </w:rPr>
        <w:t xml:space="preserve">, making it important for teachers to maintain reliable. Similarly, Pianta (2006) strengthens this by claiming a positive and strong relationship between a teacher and student is built through consistent emotional availability. The impact of consistency results in students that feel they have a safe and reliable figure to rely on.  </w:t>
      </w:r>
    </w:p>
    <w:p w14:paraId="4A3AF897" w14:textId="5E1479FF" w:rsidR="00873622" w:rsidRPr="00436504" w:rsidRDefault="00873622" w:rsidP="00965E04">
      <w:pPr>
        <w:pStyle w:val="NormalWeb"/>
        <w:spacing w:line="360" w:lineRule="auto"/>
        <w:rPr>
          <w:rFonts w:ascii="Century" w:hAnsi="Century"/>
          <w:color w:val="000000"/>
          <w:sz w:val="22"/>
          <w:szCs w:val="22"/>
        </w:rPr>
      </w:pPr>
      <w:r w:rsidRPr="00436504">
        <w:rPr>
          <w:rFonts w:ascii="Century" w:hAnsi="Century"/>
          <w:color w:val="000000"/>
          <w:sz w:val="22"/>
          <w:szCs w:val="22"/>
        </w:rPr>
        <w:t xml:space="preserve">I was only in my placement school for 12 weeks. While I worked hard to build strong relationships with all my students, I was not there long enough to provide the consistency the students needed to ensure a deep emotional connection to gain all of their trust. This suggests they may not have felt safe enough to fully share their personality questionnaire in the health and wellbeing lessons. Additionally, while these lessons were focused on improving wellbeing to improve attendance, limited attention went towards closing the attainment gap between students with free school meals compared to students that do not receive free school meals. </w:t>
      </w:r>
    </w:p>
    <w:p w14:paraId="52C775AE" w14:textId="15020888" w:rsidR="00115AF8" w:rsidRPr="00436504" w:rsidRDefault="00873622" w:rsidP="00965E04">
      <w:pPr>
        <w:pStyle w:val="NormalWeb"/>
        <w:spacing w:line="360" w:lineRule="auto"/>
        <w:rPr>
          <w:rFonts w:ascii="Century" w:hAnsi="Century"/>
          <w:color w:val="000000"/>
          <w:sz w:val="22"/>
          <w:szCs w:val="22"/>
        </w:rPr>
      </w:pPr>
      <w:r w:rsidRPr="00965E04">
        <w:rPr>
          <w:rFonts w:ascii="Century" w:hAnsi="Century"/>
          <w:b/>
          <w:bCs/>
          <w:color w:val="000000"/>
          <w:sz w:val="28"/>
          <w:szCs w:val="28"/>
        </w:rPr>
        <w:t>Conclusion:</w:t>
      </w:r>
      <w:r w:rsidRPr="00436504">
        <w:rPr>
          <w:rFonts w:ascii="Century" w:hAnsi="Century"/>
          <w:color w:val="000000"/>
          <w:sz w:val="22"/>
          <w:szCs w:val="22"/>
        </w:rPr>
        <w:br/>
        <w:t xml:space="preserve">In conclusion, </w:t>
      </w:r>
      <w:r w:rsidR="005448D7" w:rsidRPr="00436504">
        <w:rPr>
          <w:rFonts w:ascii="Century" w:hAnsi="Century"/>
          <w:color w:val="000000"/>
          <w:sz w:val="22"/>
          <w:szCs w:val="22"/>
        </w:rPr>
        <w:t>this assessment has explored the target of improving wellbeing to improve attendance by 2% and to close the attainment gap between free school meal students and non-free school meal students. After reviewing existing literature, it has been highlighted that a student’s wellbeing has a significant impact on their attendance to school and academic outcomes. Mental health issues, socioeconomic challenges, and negative school experiences are key factors influencing attendance, and addressing these issues can significantly improve student engagement</w:t>
      </w:r>
      <w:r w:rsidR="00CE1B06" w:rsidRPr="00436504">
        <w:rPr>
          <w:rFonts w:ascii="Century" w:hAnsi="Century"/>
          <w:color w:val="000000"/>
          <w:sz w:val="22"/>
          <w:szCs w:val="22"/>
        </w:rPr>
        <w:t xml:space="preserve"> and attendance in school. In my practice, I implemented a series of well-being lessons aimed at fostering inclusivity and enhancing emotional security, which showed how a positive impact on the student’s sense of belonging and enthusiasm for school. However, </w:t>
      </w:r>
      <w:r w:rsidR="007642C3" w:rsidRPr="00436504">
        <w:rPr>
          <w:rFonts w:ascii="Century" w:hAnsi="Century"/>
          <w:color w:val="000000"/>
          <w:sz w:val="22"/>
          <w:szCs w:val="22"/>
        </w:rPr>
        <w:t>as</w:t>
      </w:r>
      <w:r w:rsidR="00CE1B06" w:rsidRPr="00436504">
        <w:rPr>
          <w:rFonts w:ascii="Century" w:hAnsi="Century"/>
          <w:color w:val="000000"/>
          <w:sz w:val="22"/>
          <w:szCs w:val="22"/>
        </w:rPr>
        <w:t xml:space="preserve"> my placement </w:t>
      </w:r>
      <w:r w:rsidR="007642C3" w:rsidRPr="00436504">
        <w:rPr>
          <w:rFonts w:ascii="Century" w:hAnsi="Century"/>
          <w:color w:val="000000"/>
          <w:sz w:val="22"/>
          <w:szCs w:val="22"/>
        </w:rPr>
        <w:t xml:space="preserve">was only 12 weeks </w:t>
      </w:r>
      <w:r w:rsidR="00CE1B06" w:rsidRPr="00436504">
        <w:rPr>
          <w:rFonts w:ascii="Century" w:hAnsi="Century"/>
          <w:color w:val="000000"/>
          <w:sz w:val="22"/>
          <w:szCs w:val="22"/>
        </w:rPr>
        <w:t xml:space="preserve">and the focus on well-being left limited opportunity to fully address the attainment gap. Going forward, </w:t>
      </w:r>
      <w:r w:rsidR="007642C3" w:rsidRPr="00436504">
        <w:rPr>
          <w:rFonts w:ascii="Century" w:hAnsi="Century"/>
          <w:color w:val="000000"/>
          <w:sz w:val="22"/>
          <w:szCs w:val="22"/>
        </w:rPr>
        <w:t>it could be recommended that</w:t>
      </w:r>
      <w:r w:rsidR="00CE1B06" w:rsidRPr="00436504">
        <w:rPr>
          <w:rFonts w:ascii="Century" w:hAnsi="Century"/>
          <w:color w:val="000000"/>
          <w:sz w:val="22"/>
          <w:szCs w:val="22"/>
        </w:rPr>
        <w:t xml:space="preserve"> well-being</w:t>
      </w:r>
      <w:r w:rsidR="007642C3" w:rsidRPr="00436504">
        <w:rPr>
          <w:rFonts w:ascii="Century" w:hAnsi="Century"/>
          <w:color w:val="000000"/>
          <w:sz w:val="22"/>
          <w:szCs w:val="22"/>
        </w:rPr>
        <w:t xml:space="preserve"> plans, </w:t>
      </w:r>
      <w:r w:rsidR="00CE1B06" w:rsidRPr="00436504">
        <w:rPr>
          <w:rFonts w:ascii="Century" w:hAnsi="Century"/>
          <w:color w:val="000000"/>
          <w:sz w:val="22"/>
          <w:szCs w:val="22"/>
        </w:rPr>
        <w:lastRenderedPageBreak/>
        <w:t xml:space="preserve">academic interventions and resources </w:t>
      </w:r>
      <w:r w:rsidR="007642C3" w:rsidRPr="00436504">
        <w:rPr>
          <w:rFonts w:ascii="Century" w:hAnsi="Century"/>
          <w:color w:val="000000"/>
          <w:sz w:val="22"/>
          <w:szCs w:val="22"/>
        </w:rPr>
        <w:t>specifically made for</w:t>
      </w:r>
      <w:r w:rsidR="00CE1B06" w:rsidRPr="00436504">
        <w:rPr>
          <w:rFonts w:ascii="Century" w:hAnsi="Century"/>
          <w:color w:val="000000"/>
          <w:sz w:val="22"/>
          <w:szCs w:val="22"/>
        </w:rPr>
        <w:t xml:space="preserve"> disadvantaged students</w:t>
      </w:r>
      <w:r w:rsidR="007642C3" w:rsidRPr="00436504">
        <w:rPr>
          <w:rFonts w:ascii="Century" w:hAnsi="Century"/>
          <w:color w:val="000000"/>
          <w:sz w:val="22"/>
          <w:szCs w:val="22"/>
        </w:rPr>
        <w:t>. This will result in both academic and emotional development while also closing the attainment gap.</w:t>
      </w:r>
    </w:p>
    <w:p w14:paraId="52F0AE17" w14:textId="77777777" w:rsidR="00115AF8" w:rsidRPr="00436504" w:rsidRDefault="00115AF8" w:rsidP="00965E04">
      <w:pPr>
        <w:pStyle w:val="NormalWeb"/>
        <w:spacing w:line="360" w:lineRule="auto"/>
        <w:rPr>
          <w:rFonts w:ascii="Century" w:hAnsi="Century"/>
          <w:color w:val="000000"/>
          <w:sz w:val="22"/>
          <w:szCs w:val="22"/>
        </w:rPr>
      </w:pPr>
    </w:p>
    <w:p w14:paraId="1F86A5A3" w14:textId="77777777" w:rsidR="00436504" w:rsidRDefault="00436504" w:rsidP="00965E04">
      <w:pPr>
        <w:pStyle w:val="NormalWeb"/>
        <w:spacing w:line="360" w:lineRule="auto"/>
        <w:jc w:val="center"/>
        <w:rPr>
          <w:rFonts w:ascii="Century" w:hAnsi="Century"/>
          <w:color w:val="000000" w:themeColor="text1"/>
          <w:sz w:val="22"/>
          <w:szCs w:val="22"/>
          <w:u w:val="single"/>
        </w:rPr>
      </w:pPr>
    </w:p>
    <w:p w14:paraId="6CA05DD6" w14:textId="77777777" w:rsidR="00436504" w:rsidRDefault="00436504" w:rsidP="00965E04">
      <w:pPr>
        <w:pStyle w:val="NormalWeb"/>
        <w:spacing w:line="360" w:lineRule="auto"/>
        <w:rPr>
          <w:rFonts w:ascii="Century" w:hAnsi="Century"/>
          <w:color w:val="000000" w:themeColor="text1"/>
          <w:sz w:val="22"/>
          <w:szCs w:val="22"/>
          <w:u w:val="single"/>
        </w:rPr>
      </w:pPr>
    </w:p>
    <w:p w14:paraId="7B73F846" w14:textId="77777777" w:rsidR="00965E04" w:rsidRDefault="00965E04" w:rsidP="00965E04">
      <w:pPr>
        <w:pStyle w:val="NormalWeb"/>
        <w:spacing w:line="360" w:lineRule="auto"/>
        <w:rPr>
          <w:rFonts w:ascii="Century" w:hAnsi="Century"/>
          <w:b/>
          <w:bCs/>
          <w:color w:val="000000" w:themeColor="text1"/>
          <w:sz w:val="22"/>
          <w:szCs w:val="22"/>
          <w:u w:val="single"/>
        </w:rPr>
      </w:pPr>
    </w:p>
    <w:p w14:paraId="121DB347"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4278B88D"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1B9D0F3A"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73EED2D6"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2F7DF1DA"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50DF8C89"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6893FAF4"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37644042"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0FC15726"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32B265F9"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4B3B6F46"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2DC84E51"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2A21DC97"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7070EBA1"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75747C14" w14:textId="77777777" w:rsidR="00554091" w:rsidRDefault="00554091" w:rsidP="00965E04">
      <w:pPr>
        <w:pStyle w:val="NormalWeb"/>
        <w:spacing w:line="360" w:lineRule="auto"/>
        <w:jc w:val="center"/>
        <w:rPr>
          <w:rFonts w:ascii="Century" w:hAnsi="Century"/>
          <w:b/>
          <w:bCs/>
          <w:color w:val="000000" w:themeColor="text1"/>
          <w:sz w:val="22"/>
          <w:szCs w:val="22"/>
          <w:u w:val="single"/>
        </w:rPr>
      </w:pPr>
    </w:p>
    <w:p w14:paraId="7B40DAA5" w14:textId="370C7F18" w:rsidR="00115AF8" w:rsidRPr="00436504" w:rsidRDefault="00115AF8" w:rsidP="00965E04">
      <w:pPr>
        <w:pStyle w:val="NormalWeb"/>
        <w:spacing w:line="360" w:lineRule="auto"/>
        <w:jc w:val="center"/>
        <w:rPr>
          <w:rFonts w:ascii="Century" w:hAnsi="Century"/>
          <w:b/>
          <w:bCs/>
          <w:color w:val="000000" w:themeColor="text1"/>
          <w:sz w:val="22"/>
          <w:szCs w:val="22"/>
          <w:u w:val="single"/>
        </w:rPr>
      </w:pPr>
      <w:r w:rsidRPr="00436504">
        <w:rPr>
          <w:rFonts w:ascii="Century" w:hAnsi="Century"/>
          <w:b/>
          <w:bCs/>
          <w:color w:val="000000" w:themeColor="text1"/>
          <w:sz w:val="22"/>
          <w:szCs w:val="22"/>
          <w:u w:val="single"/>
        </w:rPr>
        <w:lastRenderedPageBreak/>
        <w:t>References</w:t>
      </w:r>
    </w:p>
    <w:p w14:paraId="2E99291B" w14:textId="11B11E71"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 xml:space="preserve">Ainsworth, M.D.S., </w:t>
      </w:r>
      <w:proofErr w:type="spellStart"/>
      <w:r w:rsidRPr="00436504">
        <w:rPr>
          <w:rFonts w:ascii="Century" w:hAnsi="Century"/>
          <w:color w:val="000000" w:themeColor="text1"/>
          <w:sz w:val="22"/>
          <w:szCs w:val="22"/>
        </w:rPr>
        <w:t>Blehar</w:t>
      </w:r>
      <w:proofErr w:type="spellEnd"/>
      <w:r w:rsidRPr="00436504">
        <w:rPr>
          <w:rFonts w:ascii="Century" w:hAnsi="Century"/>
          <w:color w:val="000000" w:themeColor="text1"/>
          <w:sz w:val="22"/>
          <w:szCs w:val="22"/>
        </w:rPr>
        <w:t>, M.C., Waters, E. and Wall, S. (1978)</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Patterns of Attachment: A Psychological Study of the Strange Situation</w:t>
      </w:r>
      <w:r w:rsidRPr="00436504">
        <w:rPr>
          <w:rFonts w:ascii="Century" w:hAnsi="Century"/>
          <w:color w:val="000000" w:themeColor="text1"/>
          <w:sz w:val="22"/>
          <w:szCs w:val="22"/>
        </w:rPr>
        <w:t>. Hillsdale, NJ: Lawrence Erlbaum.</w:t>
      </w:r>
    </w:p>
    <w:p w14:paraId="44CABCC9" w14:textId="618C7CE4"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Bandura, A. (1977)</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Social Learning Theory</w:t>
      </w:r>
      <w:r w:rsidRPr="00436504">
        <w:rPr>
          <w:rFonts w:ascii="Century" w:hAnsi="Century"/>
          <w:color w:val="000000" w:themeColor="text1"/>
          <w:sz w:val="22"/>
          <w:szCs w:val="22"/>
        </w:rPr>
        <w:t>. New York: General Learning Press.</w:t>
      </w:r>
    </w:p>
    <w:p w14:paraId="30B94BE7" w14:textId="65A0287E"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Bomber, L.M. and Hughes, D.A. (2013)</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Settling Troubled Pupils to Learn: Why Relationships Matter in School</w:t>
      </w:r>
      <w:r w:rsidRPr="00436504">
        <w:rPr>
          <w:rFonts w:ascii="Century" w:hAnsi="Century"/>
          <w:color w:val="000000" w:themeColor="text1"/>
          <w:sz w:val="22"/>
          <w:szCs w:val="22"/>
        </w:rPr>
        <w:t>. London: Worth Publishing.</w:t>
      </w:r>
    </w:p>
    <w:p w14:paraId="4FA1B170" w14:textId="4C3E58AB"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Bowlby, J. (1969)</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Attachment and Loss: Volume 1. Attachment</w:t>
      </w:r>
      <w:r w:rsidRPr="00436504">
        <w:rPr>
          <w:rFonts w:ascii="Century" w:hAnsi="Century"/>
          <w:color w:val="000000" w:themeColor="text1"/>
          <w:sz w:val="22"/>
          <w:szCs w:val="22"/>
        </w:rPr>
        <w:t>. New York: Basic Books.</w:t>
      </w:r>
    </w:p>
    <w:p w14:paraId="0920EB56" w14:textId="0EDC6B5F"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Bradley, R.R. (2015) ‘A comprehensive approach to improving student attendance’.</w:t>
      </w:r>
    </w:p>
    <w:p w14:paraId="4EF0E6F5" w14:textId="390FC76C"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 xml:space="preserve">Carpenter, H., </w:t>
      </w:r>
      <w:proofErr w:type="spellStart"/>
      <w:r w:rsidRPr="00436504">
        <w:rPr>
          <w:rFonts w:ascii="Century" w:hAnsi="Century"/>
          <w:color w:val="000000" w:themeColor="text1"/>
          <w:sz w:val="22"/>
          <w:szCs w:val="22"/>
        </w:rPr>
        <w:t>Papps</w:t>
      </w:r>
      <w:proofErr w:type="spellEnd"/>
      <w:r w:rsidRPr="00436504">
        <w:rPr>
          <w:rFonts w:ascii="Century" w:hAnsi="Century"/>
          <w:color w:val="000000" w:themeColor="text1"/>
          <w:sz w:val="22"/>
          <w:szCs w:val="22"/>
        </w:rPr>
        <w:t>, I., Bragg, J., Dyson, A., Harris, D., Kerr, K., Todd, L. and Laing, K. (2013)</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Evaluation of pupil premium</w:t>
      </w:r>
      <w:r w:rsidRPr="00436504">
        <w:rPr>
          <w:rFonts w:ascii="Century" w:hAnsi="Century"/>
          <w:color w:val="000000" w:themeColor="text1"/>
          <w:sz w:val="22"/>
          <w:szCs w:val="22"/>
        </w:rPr>
        <w:t>. London: Department for Education.</w:t>
      </w:r>
    </w:p>
    <w:p w14:paraId="0AD91EFF" w14:textId="2D623EA5"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Cunningham, A., Harvey, K. and Waite, P. (2022) ‘School staffs’ experiences of supporting children with school attendance difficulties in primary school: a qualitative study’.</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Emotional and Behavioural Difficulties</w:t>
      </w:r>
      <w:r w:rsidRPr="00436504">
        <w:rPr>
          <w:rFonts w:ascii="Century" w:hAnsi="Century"/>
          <w:color w:val="000000" w:themeColor="text1"/>
          <w:sz w:val="22"/>
          <w:szCs w:val="22"/>
        </w:rPr>
        <w:t>, 27(1), pp. 72-87.</w:t>
      </w:r>
    </w:p>
    <w:p w14:paraId="4686D5E2" w14:textId="2D0A1390"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 xml:space="preserve">Daily, S.M., Smith, M.L., Lilly, C.L., Davidov, D.M., Mann, M.J. and </w:t>
      </w:r>
      <w:proofErr w:type="spellStart"/>
      <w:r w:rsidRPr="00436504">
        <w:rPr>
          <w:rFonts w:ascii="Century" w:hAnsi="Century"/>
          <w:color w:val="000000" w:themeColor="text1"/>
          <w:sz w:val="22"/>
          <w:szCs w:val="22"/>
        </w:rPr>
        <w:t>Kristjansson</w:t>
      </w:r>
      <w:proofErr w:type="spellEnd"/>
      <w:r w:rsidRPr="00436504">
        <w:rPr>
          <w:rFonts w:ascii="Century" w:hAnsi="Century"/>
          <w:color w:val="000000" w:themeColor="text1"/>
          <w:sz w:val="22"/>
          <w:szCs w:val="22"/>
        </w:rPr>
        <w:t xml:space="preserve">, A.L. (2020) ‘Using school climate to improve attendance and grades: understanding the importance of school satisfaction among middle and high school </w:t>
      </w:r>
      <w:proofErr w:type="gramStart"/>
      <w:r w:rsidRPr="00436504">
        <w:rPr>
          <w:rFonts w:ascii="Century" w:hAnsi="Century"/>
          <w:color w:val="000000" w:themeColor="text1"/>
          <w:sz w:val="22"/>
          <w:szCs w:val="22"/>
        </w:rPr>
        <w:t>students’</w:t>
      </w:r>
      <w:proofErr w:type="gramEnd"/>
      <w:r w:rsidRPr="00436504">
        <w:rPr>
          <w:rFonts w:ascii="Century" w:hAnsi="Century"/>
          <w:color w:val="000000" w:themeColor="text1"/>
          <w:sz w:val="22"/>
          <w:szCs w:val="22"/>
        </w:rPr>
        <w:t>.</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Journal of School Health</w:t>
      </w:r>
      <w:r w:rsidRPr="00436504">
        <w:rPr>
          <w:rFonts w:ascii="Century" w:hAnsi="Century"/>
          <w:color w:val="000000" w:themeColor="text1"/>
          <w:sz w:val="22"/>
          <w:szCs w:val="22"/>
        </w:rPr>
        <w:t>, 90(9), pp. 683-693.</w:t>
      </w:r>
    </w:p>
    <w:p w14:paraId="3DC81040" w14:textId="769D4A0F"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Daraganova, G., Mullan, K. and Edwards, B. (2014)</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Attendance in primary school: factors and consequences</w:t>
      </w:r>
      <w:r w:rsidRPr="00436504">
        <w:rPr>
          <w:rFonts w:ascii="Century" w:hAnsi="Century"/>
          <w:color w:val="000000" w:themeColor="text1"/>
          <w:sz w:val="22"/>
          <w:szCs w:val="22"/>
        </w:rPr>
        <w:t>. Australian Government Department of Social Services Occasional Paper, (51).</w:t>
      </w:r>
    </w:p>
    <w:p w14:paraId="3F24363A" w14:textId="0B2F1DFC"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 xml:space="preserve">Eklund, K., Burns, M.K., Oyen, K., </w:t>
      </w:r>
      <w:proofErr w:type="spellStart"/>
      <w:r w:rsidRPr="00436504">
        <w:rPr>
          <w:rFonts w:ascii="Century" w:hAnsi="Century"/>
          <w:color w:val="000000" w:themeColor="text1"/>
          <w:sz w:val="22"/>
          <w:szCs w:val="22"/>
        </w:rPr>
        <w:t>DeMarchena</w:t>
      </w:r>
      <w:proofErr w:type="spellEnd"/>
      <w:r w:rsidRPr="00436504">
        <w:rPr>
          <w:rFonts w:ascii="Century" w:hAnsi="Century"/>
          <w:color w:val="000000" w:themeColor="text1"/>
          <w:sz w:val="22"/>
          <w:szCs w:val="22"/>
        </w:rPr>
        <w:t xml:space="preserve">, S. and </w:t>
      </w:r>
      <w:proofErr w:type="spellStart"/>
      <w:r w:rsidRPr="00436504">
        <w:rPr>
          <w:rFonts w:ascii="Century" w:hAnsi="Century"/>
          <w:color w:val="000000" w:themeColor="text1"/>
          <w:sz w:val="22"/>
          <w:szCs w:val="22"/>
        </w:rPr>
        <w:t>McCollom</w:t>
      </w:r>
      <w:proofErr w:type="spellEnd"/>
      <w:r w:rsidRPr="00436504">
        <w:rPr>
          <w:rFonts w:ascii="Century" w:hAnsi="Century"/>
          <w:color w:val="000000" w:themeColor="text1"/>
          <w:sz w:val="22"/>
          <w:szCs w:val="22"/>
        </w:rPr>
        <w:t xml:space="preserve">, E.M. (2022) ‘Addressing chronic absenteeism in schools: A meta-analysis of evidence-based </w:t>
      </w:r>
      <w:proofErr w:type="gramStart"/>
      <w:r w:rsidRPr="00436504">
        <w:rPr>
          <w:rFonts w:ascii="Century" w:hAnsi="Century"/>
          <w:color w:val="000000" w:themeColor="text1"/>
          <w:sz w:val="22"/>
          <w:szCs w:val="22"/>
        </w:rPr>
        <w:t>interventions’</w:t>
      </w:r>
      <w:proofErr w:type="gramEnd"/>
      <w:r w:rsidRPr="00436504">
        <w:rPr>
          <w:rFonts w:ascii="Century" w:hAnsi="Century"/>
          <w:color w:val="000000" w:themeColor="text1"/>
          <w:sz w:val="22"/>
          <w:szCs w:val="22"/>
        </w:rPr>
        <w:t>.</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School Psychology Review</w:t>
      </w:r>
      <w:r w:rsidRPr="00436504">
        <w:rPr>
          <w:rFonts w:ascii="Century" w:hAnsi="Century"/>
          <w:color w:val="000000" w:themeColor="text1"/>
          <w:sz w:val="22"/>
          <w:szCs w:val="22"/>
        </w:rPr>
        <w:t>, 51(1), pp. 95-111.</w:t>
      </w:r>
    </w:p>
    <w:p w14:paraId="6B4113C7" w14:textId="299DFBAE"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Estyn (2017)</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highlight w:val="black"/>
        </w:rPr>
        <w:t>Mynydd Cynffig</w:t>
      </w:r>
      <w:r w:rsidRPr="00436504">
        <w:rPr>
          <w:rStyle w:val="Emphasis"/>
          <w:rFonts w:ascii="Century" w:eastAsiaTheme="majorEastAsia" w:hAnsi="Century"/>
          <w:color w:val="000000" w:themeColor="text1"/>
          <w:sz w:val="22"/>
          <w:szCs w:val="22"/>
        </w:rPr>
        <w:t xml:space="preserve"> Primary School: July 2017</w:t>
      </w:r>
      <w:r w:rsidRPr="00436504">
        <w:rPr>
          <w:rFonts w:ascii="Century" w:hAnsi="Century"/>
          <w:color w:val="000000" w:themeColor="text1"/>
          <w:sz w:val="22"/>
          <w:szCs w:val="22"/>
        </w:rPr>
        <w:t>. [pdf] Available at:</w:t>
      </w:r>
      <w:r w:rsidRPr="00436504">
        <w:rPr>
          <w:rStyle w:val="apple-converted-space"/>
          <w:rFonts w:ascii="Century" w:eastAsiaTheme="majorEastAsia" w:hAnsi="Century"/>
          <w:color w:val="000000" w:themeColor="text1"/>
          <w:sz w:val="22"/>
          <w:szCs w:val="22"/>
        </w:rPr>
        <w:t> </w:t>
      </w:r>
      <w:hyperlink r:id="rId6" w:tgtFrame="_new" w:history="1">
        <w:r w:rsidRPr="00436504">
          <w:rPr>
            <w:rStyle w:val="Hyperlink"/>
            <w:rFonts w:ascii="Century" w:eastAsiaTheme="majorEastAsia" w:hAnsi="Century"/>
            <w:color w:val="000000" w:themeColor="text1"/>
            <w:sz w:val="22"/>
            <w:szCs w:val="22"/>
          </w:rPr>
          <w:t>https://primarysite-prod-sorted.s3.amazonaws.com/</w:t>
        </w:r>
        <w:r w:rsidRPr="00436504">
          <w:rPr>
            <w:rStyle w:val="Hyperlink"/>
            <w:rFonts w:ascii="Century" w:eastAsiaTheme="majorEastAsia" w:hAnsi="Century"/>
            <w:color w:val="000000" w:themeColor="text1"/>
            <w:sz w:val="22"/>
            <w:szCs w:val="22"/>
            <w:highlight w:val="black"/>
          </w:rPr>
          <w:t>mynydd-cynffig-</w:t>
        </w:r>
        <w:r w:rsidRPr="00436504">
          <w:rPr>
            <w:rStyle w:val="Hyperlink"/>
            <w:rFonts w:ascii="Century" w:eastAsiaTheme="majorEastAsia" w:hAnsi="Century"/>
            <w:color w:val="000000" w:themeColor="text1"/>
            <w:sz w:val="22"/>
            <w:szCs w:val="22"/>
          </w:rPr>
          <w:t>primary-school/UploadedDocument/22087b73-cbaa-47ce-8f44-93523f522a30/</w:t>
        </w:r>
        <w:r w:rsidRPr="00436504">
          <w:rPr>
            <w:rStyle w:val="Hyperlink"/>
            <w:rFonts w:ascii="Century" w:eastAsiaTheme="majorEastAsia" w:hAnsi="Century"/>
            <w:color w:val="000000" w:themeColor="text1"/>
            <w:sz w:val="22"/>
            <w:szCs w:val="22"/>
            <w:highlight w:val="black"/>
          </w:rPr>
          <w:t>mynydd-cynffig-primary-school-july-2017.pdf</w:t>
        </w:r>
      </w:hyperlink>
    </w:p>
    <w:p w14:paraId="3AA0A8C9" w14:textId="2CCCFF5B"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Estyn (2022)</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Annual Report 2021-2022: Attitudes to Learning and Attendance</w:t>
      </w:r>
      <w:r w:rsidRPr="00436504">
        <w:rPr>
          <w:rFonts w:ascii="Century" w:hAnsi="Century"/>
          <w:color w:val="000000" w:themeColor="text1"/>
          <w:sz w:val="22"/>
          <w:szCs w:val="22"/>
        </w:rPr>
        <w:t>. Available at:</w:t>
      </w:r>
      <w:r w:rsidRPr="00436504">
        <w:rPr>
          <w:rStyle w:val="apple-converted-space"/>
          <w:rFonts w:ascii="Century" w:eastAsiaTheme="majorEastAsia" w:hAnsi="Century"/>
          <w:color w:val="000000" w:themeColor="text1"/>
          <w:sz w:val="22"/>
          <w:szCs w:val="22"/>
        </w:rPr>
        <w:t> </w:t>
      </w:r>
      <w:hyperlink r:id="rId7" w:tgtFrame="_new" w:history="1">
        <w:r w:rsidRPr="00436504">
          <w:rPr>
            <w:rStyle w:val="Hyperlink"/>
            <w:rFonts w:ascii="Century" w:eastAsiaTheme="majorEastAsia" w:hAnsi="Century"/>
            <w:color w:val="000000" w:themeColor="text1"/>
            <w:sz w:val="22"/>
            <w:szCs w:val="22"/>
          </w:rPr>
          <w:t>https://annual-report.estyn.gov.wales/2023/attitudes-to-learning-and-attendance</w:t>
        </w:r>
      </w:hyperlink>
    </w:p>
    <w:p w14:paraId="40780BA6" w14:textId="32DF07E5"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lastRenderedPageBreak/>
        <w:t>Estyn (2025)</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 xml:space="preserve">Inspection report: </w:t>
      </w:r>
      <w:r w:rsidRPr="00436504">
        <w:rPr>
          <w:rStyle w:val="Emphasis"/>
          <w:rFonts w:ascii="Century" w:eastAsiaTheme="majorEastAsia" w:hAnsi="Century"/>
          <w:color w:val="000000" w:themeColor="text1"/>
          <w:sz w:val="22"/>
          <w:szCs w:val="22"/>
          <w:highlight w:val="black"/>
        </w:rPr>
        <w:t>Mynydd Cynffig</w:t>
      </w:r>
      <w:r w:rsidRPr="00436504">
        <w:rPr>
          <w:rStyle w:val="Emphasis"/>
          <w:rFonts w:ascii="Century" w:eastAsiaTheme="majorEastAsia" w:hAnsi="Century"/>
          <w:color w:val="000000" w:themeColor="text1"/>
          <w:sz w:val="22"/>
          <w:szCs w:val="22"/>
        </w:rPr>
        <w:t xml:space="preserve"> Primary School, November 2024</w:t>
      </w:r>
      <w:r w:rsidRPr="00436504">
        <w:rPr>
          <w:rFonts w:ascii="Century" w:hAnsi="Century"/>
          <w:color w:val="000000" w:themeColor="text1"/>
          <w:sz w:val="22"/>
          <w:szCs w:val="22"/>
        </w:rPr>
        <w:t>. [pdf] Available at:</w:t>
      </w:r>
      <w:r w:rsidRPr="00436504">
        <w:rPr>
          <w:rStyle w:val="apple-converted-space"/>
          <w:rFonts w:ascii="Century" w:eastAsiaTheme="majorEastAsia" w:hAnsi="Century"/>
          <w:color w:val="000000" w:themeColor="text1"/>
          <w:sz w:val="22"/>
          <w:szCs w:val="22"/>
        </w:rPr>
        <w:t> </w:t>
      </w:r>
      <w:hyperlink r:id="rId8" w:tgtFrame="_new" w:history="1">
        <w:r w:rsidR="00374D07" w:rsidRPr="00436504">
          <w:rPr>
            <w:rStyle w:val="Hyperlink"/>
            <w:rFonts w:ascii="Century" w:eastAsiaTheme="majorEastAsia" w:hAnsi="Century"/>
            <w:color w:val="000000" w:themeColor="text1"/>
            <w:sz w:val="22"/>
            <w:szCs w:val="22"/>
          </w:rPr>
          <w:t>https://primarysite-prod-sorted.s3.amazonaws.com/</w:t>
        </w:r>
        <w:r w:rsidR="00374D07" w:rsidRPr="00436504">
          <w:rPr>
            <w:rStyle w:val="Hyperlink"/>
            <w:rFonts w:ascii="Century" w:eastAsiaTheme="majorEastAsia" w:hAnsi="Century"/>
            <w:color w:val="000000" w:themeColor="text1"/>
            <w:sz w:val="22"/>
            <w:szCs w:val="22"/>
            <w:highlight w:val="black"/>
          </w:rPr>
          <w:t>mynydd-cynffig-primary-</w:t>
        </w:r>
        <w:r w:rsidR="00374D07" w:rsidRPr="00436504">
          <w:rPr>
            <w:rStyle w:val="Hyperlink"/>
            <w:rFonts w:ascii="Century" w:eastAsiaTheme="majorEastAsia" w:hAnsi="Century"/>
            <w:color w:val="000000" w:themeColor="text1"/>
            <w:sz w:val="22"/>
            <w:szCs w:val="22"/>
          </w:rPr>
          <w:t>school/UploadedDocument/4e4858cb-c381-4935-a180-</w:t>
        </w:r>
        <w:r w:rsidR="00374D07" w:rsidRPr="00436504">
          <w:rPr>
            <w:rStyle w:val="Hyperlink"/>
            <w:rFonts w:ascii="Century" w:eastAsiaTheme="majorEastAsia" w:hAnsi="Century"/>
            <w:color w:val="000000" w:themeColor="text1"/>
            <w:sz w:val="22"/>
            <w:szCs w:val="22"/>
            <w:highlight w:val="black"/>
          </w:rPr>
          <w:t>154c937a36a2/inspection-report-mynydd-cynffig-</w:t>
        </w:r>
        <w:r w:rsidR="00374D07" w:rsidRPr="00436504">
          <w:rPr>
            <w:rStyle w:val="Hyperlink"/>
            <w:rFonts w:ascii="Century" w:eastAsiaTheme="majorEastAsia" w:hAnsi="Century"/>
            <w:color w:val="000000" w:themeColor="text1"/>
            <w:sz w:val="22"/>
            <w:szCs w:val="22"/>
          </w:rPr>
          <w:t>primary-school-2025.pdf</w:t>
        </w:r>
      </w:hyperlink>
      <w:r w:rsidR="00374D07" w:rsidRPr="00436504">
        <w:rPr>
          <w:rFonts w:ascii="Century" w:hAnsi="Century"/>
          <w:color w:val="000000" w:themeColor="text1"/>
          <w:sz w:val="22"/>
          <w:szCs w:val="22"/>
        </w:rPr>
        <w:t xml:space="preserve"> </w:t>
      </w:r>
    </w:p>
    <w:p w14:paraId="5863B6F8" w14:textId="23EFBFF5"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Finning, K. et al. (2019) ‘Review: The association between anxiety and poor attendance at school – a systematic review’.</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Child and adolescent mental health</w:t>
      </w:r>
      <w:r w:rsidRPr="00436504">
        <w:rPr>
          <w:rFonts w:ascii="Century" w:hAnsi="Century"/>
          <w:color w:val="000000" w:themeColor="text1"/>
          <w:sz w:val="22"/>
          <w:szCs w:val="22"/>
        </w:rPr>
        <w:t>, 24(3), pp. 205-216. Available at:</w:t>
      </w:r>
      <w:r w:rsidRPr="00436504">
        <w:rPr>
          <w:rStyle w:val="apple-converted-space"/>
          <w:rFonts w:ascii="Century" w:eastAsiaTheme="majorEastAsia" w:hAnsi="Century"/>
          <w:color w:val="000000" w:themeColor="text1"/>
          <w:sz w:val="22"/>
          <w:szCs w:val="22"/>
        </w:rPr>
        <w:t> </w:t>
      </w:r>
      <w:hyperlink r:id="rId9" w:tgtFrame="_new" w:history="1">
        <w:r w:rsidRPr="00436504">
          <w:rPr>
            <w:rStyle w:val="Hyperlink"/>
            <w:rFonts w:ascii="Century" w:eastAsiaTheme="majorEastAsia" w:hAnsi="Century"/>
            <w:color w:val="000000" w:themeColor="text1"/>
            <w:sz w:val="22"/>
            <w:szCs w:val="22"/>
          </w:rPr>
          <w:t>https://doi.org/10.1111/camh.12322</w:t>
        </w:r>
      </w:hyperlink>
      <w:r w:rsidRPr="00436504">
        <w:rPr>
          <w:rFonts w:ascii="Century" w:hAnsi="Century"/>
          <w:color w:val="000000" w:themeColor="text1"/>
          <w:sz w:val="22"/>
          <w:szCs w:val="22"/>
        </w:rPr>
        <w:t>.</w:t>
      </w:r>
    </w:p>
    <w:p w14:paraId="046F35DE" w14:textId="3FA3F232"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Gorard, S., Siddiqui, N. and See, B.H. (2022) ‘Assessing the impact of Pupil Premium funding on primary school segregation and attainment’.</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Research Papers in Education</w:t>
      </w:r>
      <w:r w:rsidRPr="00436504">
        <w:rPr>
          <w:rFonts w:ascii="Century" w:hAnsi="Century"/>
          <w:color w:val="000000" w:themeColor="text1"/>
          <w:sz w:val="22"/>
          <w:szCs w:val="22"/>
        </w:rPr>
        <w:t>, 37(6), pp. 992-1019.</w:t>
      </w:r>
    </w:p>
    <w:p w14:paraId="39723D19" w14:textId="0F8F39FD"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Hancock, K., Shepherd, C., Lawrence, D. and Zubrick, S. (2013)</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Student attendance and educational outcomes: Everyday counts</w:t>
      </w:r>
      <w:r w:rsidRPr="00436504">
        <w:rPr>
          <w:rFonts w:ascii="Century" w:hAnsi="Century"/>
          <w:color w:val="000000" w:themeColor="text1"/>
          <w:sz w:val="22"/>
          <w:szCs w:val="22"/>
        </w:rPr>
        <w:t>. Department of Education Employment and Workplace Relations.</w:t>
      </w:r>
    </w:p>
    <w:p w14:paraId="6E9EAB71" w14:textId="04B05FE0"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 xml:space="preserve">Janda, T.K. (2022) ‘An exploration into the educational experiences of high achieving young people entitled to free school </w:t>
      </w:r>
      <w:proofErr w:type="gramStart"/>
      <w:r w:rsidRPr="00436504">
        <w:rPr>
          <w:rFonts w:ascii="Century" w:hAnsi="Century"/>
          <w:color w:val="000000" w:themeColor="text1"/>
          <w:sz w:val="22"/>
          <w:szCs w:val="22"/>
        </w:rPr>
        <w:t>meals’</w:t>
      </w:r>
      <w:proofErr w:type="gramEnd"/>
      <w:r w:rsidRPr="00436504">
        <w:rPr>
          <w:rFonts w:ascii="Century" w:hAnsi="Century"/>
          <w:color w:val="000000" w:themeColor="text1"/>
          <w:sz w:val="22"/>
          <w:szCs w:val="22"/>
        </w:rPr>
        <w:t>.</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Doctoral dissertation, University of Birmingham</w:t>
      </w:r>
      <w:r w:rsidRPr="00436504">
        <w:rPr>
          <w:rFonts w:ascii="Century" w:hAnsi="Century"/>
          <w:color w:val="000000" w:themeColor="text1"/>
          <w:sz w:val="22"/>
          <w:szCs w:val="22"/>
        </w:rPr>
        <w:t>.</w:t>
      </w:r>
    </w:p>
    <w:p w14:paraId="467B668C" w14:textId="4DF4C4E8" w:rsidR="00134A4F" w:rsidRPr="00436504" w:rsidRDefault="00134A4F"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sz w:val="22"/>
          <w:szCs w:val="22"/>
        </w:rPr>
        <w:t xml:space="preserve">Kearney, C.A., Benoit, L., </w:t>
      </w:r>
      <w:proofErr w:type="spellStart"/>
      <w:r w:rsidRPr="00436504">
        <w:rPr>
          <w:rFonts w:ascii="Century" w:hAnsi="Century"/>
          <w:color w:val="000000"/>
          <w:sz w:val="22"/>
          <w:szCs w:val="22"/>
        </w:rPr>
        <w:t>Gonzálvez</w:t>
      </w:r>
      <w:proofErr w:type="spellEnd"/>
      <w:r w:rsidRPr="00436504">
        <w:rPr>
          <w:rFonts w:ascii="Century" w:hAnsi="Century"/>
          <w:color w:val="000000"/>
          <w:sz w:val="22"/>
          <w:szCs w:val="22"/>
        </w:rPr>
        <w:t xml:space="preserve">, C. and </w:t>
      </w:r>
      <w:proofErr w:type="spellStart"/>
      <w:r w:rsidRPr="00436504">
        <w:rPr>
          <w:rFonts w:ascii="Century" w:hAnsi="Century"/>
          <w:color w:val="000000"/>
          <w:sz w:val="22"/>
          <w:szCs w:val="22"/>
        </w:rPr>
        <w:t>Keppens</w:t>
      </w:r>
      <w:proofErr w:type="spellEnd"/>
      <w:r w:rsidRPr="00436504">
        <w:rPr>
          <w:rFonts w:ascii="Century" w:hAnsi="Century"/>
          <w:color w:val="000000"/>
          <w:sz w:val="22"/>
          <w:szCs w:val="22"/>
        </w:rPr>
        <w:t>, G. (2022) ‘School attendance and school absenteeism: A primer for the past, present, and theory of change for the future’.</w:t>
      </w:r>
      <w:r w:rsidRPr="00436504">
        <w:rPr>
          <w:rStyle w:val="apple-converted-space"/>
          <w:rFonts w:ascii="Century" w:eastAsiaTheme="majorEastAsia" w:hAnsi="Century"/>
          <w:color w:val="000000"/>
          <w:sz w:val="22"/>
          <w:szCs w:val="22"/>
        </w:rPr>
        <w:t> </w:t>
      </w:r>
      <w:r w:rsidRPr="00436504">
        <w:rPr>
          <w:rStyle w:val="Emphasis"/>
          <w:rFonts w:ascii="Century" w:eastAsiaTheme="majorEastAsia" w:hAnsi="Century"/>
          <w:color w:val="000000"/>
          <w:sz w:val="22"/>
          <w:szCs w:val="22"/>
        </w:rPr>
        <w:t>In Frontiers in Education</w:t>
      </w:r>
      <w:r w:rsidRPr="00436504">
        <w:rPr>
          <w:rFonts w:ascii="Century" w:hAnsi="Century"/>
          <w:color w:val="000000"/>
          <w:sz w:val="22"/>
          <w:szCs w:val="22"/>
        </w:rPr>
        <w:t>, 7, p. 1044608. Frontiers Media SA.</w:t>
      </w:r>
    </w:p>
    <w:p w14:paraId="5823F334" w14:textId="38B9AF00"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May, F., Ford, T., Janssens, A., Newlove</w:t>
      </w:r>
      <w:r w:rsidRPr="00436504">
        <w:rPr>
          <w:rFonts w:ascii="Cambria Math" w:hAnsi="Cambria Math" w:cs="Cambria Math"/>
          <w:color w:val="000000" w:themeColor="text1"/>
          <w:sz w:val="22"/>
          <w:szCs w:val="22"/>
        </w:rPr>
        <w:t>‐</w:t>
      </w:r>
      <w:r w:rsidRPr="00436504">
        <w:rPr>
          <w:rFonts w:ascii="Century" w:hAnsi="Century"/>
          <w:color w:val="000000" w:themeColor="text1"/>
          <w:sz w:val="22"/>
          <w:szCs w:val="22"/>
        </w:rPr>
        <w:t xml:space="preserve">Delgado, T., Russell, E., Salim, J., </w:t>
      </w:r>
      <w:proofErr w:type="spellStart"/>
      <w:r w:rsidRPr="00436504">
        <w:rPr>
          <w:rFonts w:ascii="Century" w:hAnsi="Century"/>
          <w:color w:val="000000" w:themeColor="text1"/>
          <w:sz w:val="22"/>
          <w:szCs w:val="22"/>
        </w:rPr>
        <w:t>Ukoumunne</w:t>
      </w:r>
      <w:proofErr w:type="spellEnd"/>
      <w:r w:rsidRPr="00436504">
        <w:rPr>
          <w:rFonts w:ascii="Century" w:hAnsi="Century"/>
          <w:color w:val="000000" w:themeColor="text1"/>
          <w:sz w:val="22"/>
          <w:szCs w:val="22"/>
        </w:rPr>
        <w:t>, O.C. and Hayes, R. (2021) ‘Attainment, attendance, and school difficulties in UK primary schoolchildren with probable ADHD’.</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British Journal of Educational Psychology</w:t>
      </w:r>
      <w:r w:rsidRPr="00436504">
        <w:rPr>
          <w:rFonts w:ascii="Century" w:hAnsi="Century"/>
          <w:color w:val="000000" w:themeColor="text1"/>
          <w:sz w:val="22"/>
          <w:szCs w:val="22"/>
        </w:rPr>
        <w:t>, 91(1), pp. 442-462.</w:t>
      </w:r>
    </w:p>
    <w:p w14:paraId="7635F3F8" w14:textId="2177C7ED"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McConnell, B.M. and Kubina Jr, R.M. (2014) ‘Connecting with families to improve students’ school attendance: A review of the literature’.</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Preventing School Failure: Alternative Education for Children and Youth</w:t>
      </w:r>
      <w:r w:rsidRPr="00436504">
        <w:rPr>
          <w:rFonts w:ascii="Century" w:hAnsi="Century"/>
          <w:color w:val="000000" w:themeColor="text1"/>
          <w:sz w:val="22"/>
          <w:szCs w:val="22"/>
        </w:rPr>
        <w:t>, 58(4), pp. 249-256.</w:t>
      </w:r>
    </w:p>
    <w:p w14:paraId="0EDD6862" w14:textId="0B3D941C"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 xml:space="preserve">O’Toole, C. and Ćirić, T. (2024) ‘Compassion, collaboration and </w:t>
      </w:r>
      <w:proofErr w:type="gramStart"/>
      <w:r w:rsidRPr="00436504">
        <w:rPr>
          <w:rFonts w:ascii="Century" w:hAnsi="Century"/>
          <w:color w:val="000000" w:themeColor="text1"/>
          <w:sz w:val="22"/>
          <w:szCs w:val="22"/>
        </w:rPr>
        <w:t>cultural-responsiveness</w:t>
      </w:r>
      <w:proofErr w:type="gramEnd"/>
      <w:r w:rsidRPr="00436504">
        <w:rPr>
          <w:rFonts w:ascii="Century" w:hAnsi="Century"/>
          <w:color w:val="000000" w:themeColor="text1"/>
          <w:sz w:val="22"/>
          <w:szCs w:val="22"/>
        </w:rPr>
        <w:t>: Insights on promoting successful pathways through education for students who face school attendance barriers’.</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In Frontiers in Education</w:t>
      </w:r>
      <w:r w:rsidRPr="00436504">
        <w:rPr>
          <w:rFonts w:ascii="Century" w:hAnsi="Century"/>
          <w:color w:val="000000" w:themeColor="text1"/>
          <w:sz w:val="22"/>
          <w:szCs w:val="22"/>
        </w:rPr>
        <w:t>, 9, p. 1456388.</w:t>
      </w:r>
    </w:p>
    <w:p w14:paraId="5EFA31AB" w14:textId="5467B4D0"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Parker, R. (2018) ‘Student behaviour, motivation and the potential of attachment-aware schools to redefine the landscape’.</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British Educational Research Association</w:t>
      </w:r>
      <w:r w:rsidRPr="00436504">
        <w:rPr>
          <w:rFonts w:ascii="Century" w:hAnsi="Century"/>
          <w:color w:val="000000" w:themeColor="text1"/>
          <w:sz w:val="22"/>
          <w:szCs w:val="22"/>
        </w:rPr>
        <w:t>. Available at:</w:t>
      </w:r>
      <w:r w:rsidRPr="00436504">
        <w:rPr>
          <w:rStyle w:val="apple-converted-space"/>
          <w:rFonts w:ascii="Century" w:eastAsiaTheme="majorEastAsia" w:hAnsi="Century"/>
          <w:color w:val="000000" w:themeColor="text1"/>
          <w:sz w:val="22"/>
          <w:szCs w:val="22"/>
        </w:rPr>
        <w:t> </w:t>
      </w:r>
      <w:hyperlink r:id="rId10" w:tgtFrame="_new" w:history="1">
        <w:r w:rsidRPr="00436504">
          <w:rPr>
            <w:rStyle w:val="Hyperlink"/>
            <w:rFonts w:ascii="Century" w:eastAsiaTheme="majorEastAsia" w:hAnsi="Century"/>
            <w:color w:val="000000" w:themeColor="text1"/>
            <w:sz w:val="22"/>
            <w:szCs w:val="22"/>
          </w:rPr>
          <w:t>https://www.bera.ac.uk/blog/student-</w:t>
        </w:r>
        <w:r w:rsidRPr="00436504">
          <w:rPr>
            <w:rStyle w:val="Hyperlink"/>
            <w:rFonts w:ascii="Century" w:eastAsiaTheme="majorEastAsia" w:hAnsi="Century"/>
            <w:color w:val="000000" w:themeColor="text1"/>
            <w:sz w:val="22"/>
            <w:szCs w:val="22"/>
          </w:rPr>
          <w:lastRenderedPageBreak/>
          <w:t>behaviour-motivation-and-the-potential-of-attachment-aware-schools-to-redefine-the-landscape</w:t>
        </w:r>
      </w:hyperlink>
    </w:p>
    <w:p w14:paraId="3F50648F" w14:textId="299063B5"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Pianta, R.C. (2006) ‘Teacher-Child Relationships and Early School Success’. In A.C.L. J.P. McCartney (ed.),</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Handbook of Early Childhood Education</w:t>
      </w:r>
      <w:r w:rsidRPr="00436504">
        <w:rPr>
          <w:rFonts w:ascii="Century" w:hAnsi="Century"/>
          <w:color w:val="000000" w:themeColor="text1"/>
          <w:sz w:val="22"/>
          <w:szCs w:val="22"/>
        </w:rPr>
        <w:t>, pp. 149-168. New York: Guilford Press.</w:t>
      </w:r>
    </w:p>
    <w:p w14:paraId="0A2E89F5" w14:textId="234DEFEC"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Rose, J., McGuire-</w:t>
      </w:r>
      <w:proofErr w:type="spellStart"/>
      <w:r w:rsidRPr="00436504">
        <w:rPr>
          <w:rFonts w:ascii="Century" w:hAnsi="Century"/>
          <w:color w:val="000000" w:themeColor="text1"/>
          <w:sz w:val="22"/>
          <w:szCs w:val="22"/>
        </w:rPr>
        <w:t>Snieckus</w:t>
      </w:r>
      <w:proofErr w:type="spellEnd"/>
      <w:r w:rsidRPr="00436504">
        <w:rPr>
          <w:rFonts w:ascii="Century" w:hAnsi="Century"/>
          <w:color w:val="000000" w:themeColor="text1"/>
          <w:sz w:val="22"/>
          <w:szCs w:val="22"/>
        </w:rPr>
        <w:t>, R. and Gilbert, L. (2019) ‘Attachment Aware Schools: The impact of a targeted and collaborative intervention’.</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Pastoral Care in Education</w:t>
      </w:r>
      <w:r w:rsidRPr="00436504">
        <w:rPr>
          <w:rFonts w:ascii="Century" w:hAnsi="Century"/>
          <w:color w:val="000000" w:themeColor="text1"/>
          <w:sz w:val="22"/>
          <w:szCs w:val="22"/>
        </w:rPr>
        <w:t>, 37(2), pp. 162-184. Available at:</w:t>
      </w:r>
      <w:r w:rsidRPr="00436504">
        <w:rPr>
          <w:rStyle w:val="apple-converted-space"/>
          <w:rFonts w:ascii="Century" w:eastAsiaTheme="majorEastAsia" w:hAnsi="Century"/>
          <w:color w:val="000000" w:themeColor="text1"/>
          <w:sz w:val="22"/>
          <w:szCs w:val="22"/>
        </w:rPr>
        <w:t> </w:t>
      </w:r>
      <w:hyperlink r:id="rId11" w:tgtFrame="_new" w:history="1">
        <w:r w:rsidRPr="00436504">
          <w:rPr>
            <w:rStyle w:val="Hyperlink"/>
            <w:rFonts w:ascii="Century" w:eastAsiaTheme="majorEastAsia" w:hAnsi="Century"/>
            <w:color w:val="000000" w:themeColor="text1"/>
            <w:sz w:val="22"/>
            <w:szCs w:val="22"/>
          </w:rPr>
          <w:t>https://www.tandfonline.com/doi/abs/10.1080/02643944.2019.1625429</w:t>
        </w:r>
      </w:hyperlink>
      <w:r w:rsidRPr="00436504">
        <w:rPr>
          <w:rFonts w:ascii="Century" w:hAnsi="Century"/>
          <w:color w:val="000000" w:themeColor="text1"/>
          <w:sz w:val="22"/>
          <w:szCs w:val="22"/>
        </w:rPr>
        <w:t>.</w:t>
      </w:r>
    </w:p>
    <w:p w14:paraId="65B08E7F" w14:textId="3194F334"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Welsh Government (2014)</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School Development Plans: Guidance for Schools</w:t>
      </w:r>
      <w:r w:rsidRPr="00436504">
        <w:rPr>
          <w:rFonts w:ascii="Century" w:hAnsi="Century"/>
          <w:color w:val="000000" w:themeColor="text1"/>
          <w:sz w:val="22"/>
          <w:szCs w:val="22"/>
        </w:rPr>
        <w:t>. Available at:</w:t>
      </w:r>
      <w:r w:rsidRPr="00436504">
        <w:rPr>
          <w:rStyle w:val="apple-converted-space"/>
          <w:rFonts w:ascii="Century" w:eastAsiaTheme="majorEastAsia" w:hAnsi="Century"/>
          <w:color w:val="000000" w:themeColor="text1"/>
          <w:sz w:val="22"/>
          <w:szCs w:val="22"/>
        </w:rPr>
        <w:t> </w:t>
      </w:r>
      <w:hyperlink r:id="rId12" w:tgtFrame="_new" w:history="1">
        <w:r w:rsidRPr="00436504">
          <w:rPr>
            <w:rStyle w:val="Hyperlink"/>
            <w:rFonts w:ascii="Century" w:eastAsiaTheme="majorEastAsia" w:hAnsi="Century"/>
            <w:color w:val="000000" w:themeColor="text1"/>
            <w:sz w:val="22"/>
            <w:szCs w:val="22"/>
          </w:rPr>
          <w:t>https://www.gov.wales/sites/default/files/publications/2018-03/school-development-plans.pdf</w:t>
        </w:r>
      </w:hyperlink>
      <w:r w:rsidRPr="00436504">
        <w:rPr>
          <w:rStyle w:val="apple-converted-space"/>
          <w:rFonts w:ascii="Century" w:eastAsiaTheme="majorEastAsia" w:hAnsi="Century"/>
          <w:color w:val="000000" w:themeColor="text1"/>
          <w:sz w:val="22"/>
          <w:szCs w:val="22"/>
        </w:rPr>
        <w:t> </w:t>
      </w:r>
      <w:r w:rsidRPr="00436504">
        <w:rPr>
          <w:rFonts w:ascii="Century" w:hAnsi="Century"/>
          <w:color w:val="000000" w:themeColor="text1"/>
          <w:sz w:val="22"/>
          <w:szCs w:val="22"/>
        </w:rPr>
        <w:t>[Accessed 27 Feb. 2025].</w:t>
      </w:r>
    </w:p>
    <w:p w14:paraId="4157864A" w14:textId="3A42DCBF" w:rsidR="00CA3770" w:rsidRPr="004365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Welsh Government (2023)</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Healthy and Happy Schools in Wales: The Impact of Social and Emotional Learning</w:t>
      </w:r>
      <w:r w:rsidRPr="00436504">
        <w:rPr>
          <w:rFonts w:ascii="Century" w:hAnsi="Century"/>
          <w:color w:val="000000" w:themeColor="text1"/>
          <w:sz w:val="22"/>
          <w:szCs w:val="22"/>
        </w:rPr>
        <w:t>. Available at:</w:t>
      </w:r>
      <w:r w:rsidRPr="00436504">
        <w:rPr>
          <w:rStyle w:val="apple-converted-space"/>
          <w:rFonts w:ascii="Century" w:eastAsiaTheme="majorEastAsia" w:hAnsi="Century"/>
          <w:color w:val="000000" w:themeColor="text1"/>
          <w:sz w:val="22"/>
          <w:szCs w:val="22"/>
        </w:rPr>
        <w:t> </w:t>
      </w:r>
      <w:hyperlink r:id="rId13" w:tgtFrame="_new" w:history="1">
        <w:r w:rsidRPr="00436504">
          <w:rPr>
            <w:rStyle w:val="Hyperlink"/>
            <w:rFonts w:ascii="Century" w:eastAsiaTheme="majorEastAsia" w:hAnsi="Century"/>
            <w:color w:val="000000" w:themeColor="text1"/>
            <w:sz w:val="22"/>
            <w:szCs w:val="22"/>
          </w:rPr>
          <w:t>https://www.estyn.gov.wales/system/files/2022-01/Healthy%2520and%2520Happy%2520report%2520En_0.pdf</w:t>
        </w:r>
      </w:hyperlink>
    </w:p>
    <w:p w14:paraId="23F8502B" w14:textId="51122485" w:rsidR="006452ED" w:rsidRPr="00965E04" w:rsidRDefault="00CA3770" w:rsidP="00965E04">
      <w:pPr>
        <w:pStyle w:val="NormalWeb"/>
        <w:numPr>
          <w:ilvl w:val="0"/>
          <w:numId w:val="3"/>
        </w:numPr>
        <w:spacing w:line="360" w:lineRule="auto"/>
        <w:rPr>
          <w:rFonts w:ascii="Century" w:hAnsi="Century"/>
          <w:color w:val="000000" w:themeColor="text1"/>
          <w:sz w:val="22"/>
          <w:szCs w:val="22"/>
        </w:rPr>
      </w:pPr>
      <w:r w:rsidRPr="00436504">
        <w:rPr>
          <w:rFonts w:ascii="Century" w:hAnsi="Century"/>
          <w:color w:val="000000" w:themeColor="text1"/>
          <w:sz w:val="22"/>
          <w:szCs w:val="22"/>
        </w:rPr>
        <w:t>Welsh Government (2023)</w:t>
      </w:r>
      <w:r w:rsidRPr="00436504">
        <w:rPr>
          <w:rStyle w:val="apple-converted-space"/>
          <w:rFonts w:ascii="Century" w:eastAsiaTheme="majorEastAsia" w:hAnsi="Century"/>
          <w:color w:val="000000" w:themeColor="text1"/>
          <w:sz w:val="22"/>
          <w:szCs w:val="22"/>
        </w:rPr>
        <w:t> </w:t>
      </w:r>
      <w:r w:rsidRPr="00436504">
        <w:rPr>
          <w:rStyle w:val="Emphasis"/>
          <w:rFonts w:ascii="Century" w:eastAsiaTheme="majorEastAsia" w:hAnsi="Century"/>
          <w:color w:val="000000" w:themeColor="text1"/>
          <w:sz w:val="22"/>
          <w:szCs w:val="22"/>
        </w:rPr>
        <w:t>Improving School Attendance Guidance for Schools in Wales</w:t>
      </w:r>
      <w:r w:rsidRPr="00436504">
        <w:rPr>
          <w:rFonts w:ascii="Century" w:hAnsi="Century"/>
          <w:color w:val="000000" w:themeColor="text1"/>
          <w:sz w:val="22"/>
          <w:szCs w:val="22"/>
        </w:rPr>
        <w:t>. Available at:</w:t>
      </w:r>
      <w:r w:rsidRPr="00436504">
        <w:rPr>
          <w:rStyle w:val="apple-converted-space"/>
          <w:rFonts w:ascii="Century" w:eastAsiaTheme="majorEastAsia" w:hAnsi="Century"/>
          <w:color w:val="000000" w:themeColor="text1"/>
          <w:sz w:val="22"/>
          <w:szCs w:val="22"/>
        </w:rPr>
        <w:t> </w:t>
      </w:r>
      <w:hyperlink r:id="rId14" w:tgtFrame="_new" w:history="1">
        <w:r w:rsidRPr="00436504">
          <w:rPr>
            <w:rStyle w:val="Hyperlink"/>
            <w:rFonts w:ascii="Century" w:eastAsiaTheme="majorEastAsia" w:hAnsi="Century"/>
            <w:color w:val="000000" w:themeColor="text1"/>
            <w:sz w:val="22"/>
            <w:szCs w:val="22"/>
          </w:rPr>
          <w:t>https://www.gov.wales/sites/default/files/publications/2023-10/improving-school-attendance-guidance_0.pdf</w:t>
        </w:r>
      </w:hyperlink>
    </w:p>
    <w:sectPr w:rsidR="006452ED" w:rsidRPr="00965E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82D62"/>
    <w:multiLevelType w:val="hybridMultilevel"/>
    <w:tmpl w:val="76946C0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465E33"/>
    <w:multiLevelType w:val="hybridMultilevel"/>
    <w:tmpl w:val="1F848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5F5DAD"/>
    <w:multiLevelType w:val="hybridMultilevel"/>
    <w:tmpl w:val="F1A05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DD38F7"/>
    <w:multiLevelType w:val="hybridMultilevel"/>
    <w:tmpl w:val="4F18A894"/>
    <w:lvl w:ilvl="0" w:tplc="08090001">
      <w:numFmt w:val="bullet"/>
      <w:lvlText w:val=""/>
      <w:lvlJc w:val="left"/>
      <w:pPr>
        <w:ind w:left="720" w:hanging="360"/>
      </w:pPr>
      <w:rPr>
        <w:rFonts w:ascii="Symbol" w:eastAsia="Times New Roman" w:hAnsi="Symbol"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4B4A73"/>
    <w:multiLevelType w:val="hybridMultilevel"/>
    <w:tmpl w:val="C91A8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0355589">
    <w:abstractNumId w:val="4"/>
  </w:num>
  <w:num w:numId="2" w16cid:durableId="973096588">
    <w:abstractNumId w:val="0"/>
  </w:num>
  <w:num w:numId="3" w16cid:durableId="432823154">
    <w:abstractNumId w:val="2"/>
  </w:num>
  <w:num w:numId="4" w16cid:durableId="369916560">
    <w:abstractNumId w:val="3"/>
  </w:num>
  <w:num w:numId="5" w16cid:durableId="2011711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DE"/>
    <w:rsid w:val="00115AF8"/>
    <w:rsid w:val="00134A4F"/>
    <w:rsid w:val="001705B5"/>
    <w:rsid w:val="001A3CF4"/>
    <w:rsid w:val="00256B1B"/>
    <w:rsid w:val="00266788"/>
    <w:rsid w:val="00285A9C"/>
    <w:rsid w:val="002C060C"/>
    <w:rsid w:val="002E10B9"/>
    <w:rsid w:val="002E754C"/>
    <w:rsid w:val="003025FC"/>
    <w:rsid w:val="00374D07"/>
    <w:rsid w:val="003B2F2C"/>
    <w:rsid w:val="003B30DE"/>
    <w:rsid w:val="00436504"/>
    <w:rsid w:val="0046029F"/>
    <w:rsid w:val="005448D7"/>
    <w:rsid w:val="00554091"/>
    <w:rsid w:val="00583782"/>
    <w:rsid w:val="006452ED"/>
    <w:rsid w:val="007642C3"/>
    <w:rsid w:val="007A269D"/>
    <w:rsid w:val="00873622"/>
    <w:rsid w:val="00891890"/>
    <w:rsid w:val="008C5AC6"/>
    <w:rsid w:val="00965E04"/>
    <w:rsid w:val="00A23A17"/>
    <w:rsid w:val="00A24D56"/>
    <w:rsid w:val="00B060B8"/>
    <w:rsid w:val="00B1212A"/>
    <w:rsid w:val="00BA7AAC"/>
    <w:rsid w:val="00CA3770"/>
    <w:rsid w:val="00CE1B06"/>
    <w:rsid w:val="00CE1D78"/>
    <w:rsid w:val="00D00B6E"/>
    <w:rsid w:val="00D3638B"/>
    <w:rsid w:val="00D72FAA"/>
    <w:rsid w:val="00DF3F69"/>
    <w:rsid w:val="00DF62ED"/>
    <w:rsid w:val="00E06CFE"/>
    <w:rsid w:val="00EE750E"/>
    <w:rsid w:val="00F0535E"/>
    <w:rsid w:val="00F33B9F"/>
    <w:rsid w:val="00FA083D"/>
    <w:rsid w:val="00FC2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8B70AC"/>
  <w15:chartTrackingRefBased/>
  <w15:docId w15:val="{A286DC5C-3380-C448-9F52-E5B11B64E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0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30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0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0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0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0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0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0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0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0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30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30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30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0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0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0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0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0DE"/>
    <w:rPr>
      <w:rFonts w:eastAsiaTheme="majorEastAsia" w:cstheme="majorBidi"/>
      <w:color w:val="272727" w:themeColor="text1" w:themeTint="D8"/>
    </w:rPr>
  </w:style>
  <w:style w:type="paragraph" w:styleId="Title">
    <w:name w:val="Title"/>
    <w:basedOn w:val="Normal"/>
    <w:next w:val="Normal"/>
    <w:link w:val="TitleChar"/>
    <w:uiPriority w:val="10"/>
    <w:qFormat/>
    <w:rsid w:val="003B30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0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0D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0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0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30DE"/>
    <w:rPr>
      <w:i/>
      <w:iCs/>
      <w:color w:val="404040" w:themeColor="text1" w:themeTint="BF"/>
    </w:rPr>
  </w:style>
  <w:style w:type="paragraph" w:styleId="ListParagraph">
    <w:name w:val="List Paragraph"/>
    <w:basedOn w:val="Normal"/>
    <w:uiPriority w:val="34"/>
    <w:qFormat/>
    <w:rsid w:val="003B30DE"/>
    <w:pPr>
      <w:ind w:left="720"/>
      <w:contextualSpacing/>
    </w:pPr>
  </w:style>
  <w:style w:type="character" w:styleId="IntenseEmphasis">
    <w:name w:val="Intense Emphasis"/>
    <w:basedOn w:val="DefaultParagraphFont"/>
    <w:uiPriority w:val="21"/>
    <w:qFormat/>
    <w:rsid w:val="003B30DE"/>
    <w:rPr>
      <w:i/>
      <w:iCs/>
      <w:color w:val="0F4761" w:themeColor="accent1" w:themeShade="BF"/>
    </w:rPr>
  </w:style>
  <w:style w:type="paragraph" w:styleId="IntenseQuote">
    <w:name w:val="Intense Quote"/>
    <w:basedOn w:val="Normal"/>
    <w:next w:val="Normal"/>
    <w:link w:val="IntenseQuoteChar"/>
    <w:uiPriority w:val="30"/>
    <w:qFormat/>
    <w:rsid w:val="003B30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30DE"/>
    <w:rPr>
      <w:i/>
      <w:iCs/>
      <w:color w:val="0F4761" w:themeColor="accent1" w:themeShade="BF"/>
    </w:rPr>
  </w:style>
  <w:style w:type="character" w:styleId="IntenseReference">
    <w:name w:val="Intense Reference"/>
    <w:basedOn w:val="DefaultParagraphFont"/>
    <w:uiPriority w:val="32"/>
    <w:qFormat/>
    <w:rsid w:val="003B30DE"/>
    <w:rPr>
      <w:b/>
      <w:bCs/>
      <w:smallCaps/>
      <w:color w:val="0F4761" w:themeColor="accent1" w:themeShade="BF"/>
      <w:spacing w:val="5"/>
    </w:rPr>
  </w:style>
  <w:style w:type="paragraph" w:styleId="NormalWeb">
    <w:name w:val="Normal (Web)"/>
    <w:basedOn w:val="Normal"/>
    <w:uiPriority w:val="99"/>
    <w:unhideWhenUsed/>
    <w:rsid w:val="006452E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E754C"/>
  </w:style>
  <w:style w:type="character" w:styleId="Strong">
    <w:name w:val="Strong"/>
    <w:basedOn w:val="DefaultParagraphFont"/>
    <w:uiPriority w:val="22"/>
    <w:qFormat/>
    <w:rsid w:val="002E754C"/>
    <w:rPr>
      <w:b/>
      <w:bCs/>
    </w:rPr>
  </w:style>
  <w:style w:type="character" w:styleId="Emphasis">
    <w:name w:val="Emphasis"/>
    <w:basedOn w:val="DefaultParagraphFont"/>
    <w:uiPriority w:val="20"/>
    <w:qFormat/>
    <w:rsid w:val="00115AF8"/>
    <w:rPr>
      <w:i/>
      <w:iCs/>
    </w:rPr>
  </w:style>
  <w:style w:type="character" w:styleId="Hyperlink">
    <w:name w:val="Hyperlink"/>
    <w:basedOn w:val="DefaultParagraphFont"/>
    <w:uiPriority w:val="99"/>
    <w:unhideWhenUsed/>
    <w:rsid w:val="00115AF8"/>
    <w:rPr>
      <w:color w:val="0000FF"/>
      <w:u w:val="single"/>
    </w:rPr>
  </w:style>
  <w:style w:type="character" w:styleId="FollowedHyperlink">
    <w:name w:val="FollowedHyperlink"/>
    <w:basedOn w:val="DefaultParagraphFont"/>
    <w:uiPriority w:val="99"/>
    <w:semiHidden/>
    <w:unhideWhenUsed/>
    <w:rsid w:val="00374D07"/>
    <w:rPr>
      <w:color w:val="96607D" w:themeColor="followedHyperlink"/>
      <w:u w:val="single"/>
    </w:rPr>
  </w:style>
  <w:style w:type="paragraph" w:customStyle="1" w:styleId="AssignBody">
    <w:name w:val="AssignBody"/>
    <w:basedOn w:val="Normal"/>
    <w:link w:val="AssignBodyChar"/>
    <w:qFormat/>
    <w:rsid w:val="00436504"/>
    <w:pPr>
      <w:spacing w:line="360" w:lineRule="auto"/>
    </w:pPr>
    <w:rPr>
      <w:rFonts w:ascii="Arial" w:hAnsi="Arial"/>
      <w:kern w:val="0"/>
      <w:sz w:val="22"/>
      <w:szCs w:val="22"/>
      <w14:ligatures w14:val="none"/>
    </w:rPr>
  </w:style>
  <w:style w:type="character" w:customStyle="1" w:styleId="AssignBodyChar">
    <w:name w:val="AssignBody Char"/>
    <w:basedOn w:val="DefaultParagraphFont"/>
    <w:link w:val="AssignBody"/>
    <w:rsid w:val="00436504"/>
    <w:rPr>
      <w:rFonts w:ascii="Arial" w:hAnsi="Arial"/>
      <w:kern w:val="0"/>
      <w:sz w:val="22"/>
      <w:szCs w:val="22"/>
      <w14:ligatures w14:val="none"/>
    </w:rPr>
  </w:style>
  <w:style w:type="table" w:styleId="TableGrid">
    <w:name w:val="Table Grid"/>
    <w:basedOn w:val="TableNormal"/>
    <w:uiPriority w:val="39"/>
    <w:rsid w:val="00436504"/>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65E04"/>
    <w:rPr>
      <w:rFonts w:ascii="Arial" w:eastAsia="Times New Roman" w:hAnsi="Arial" w:cs="Arial"/>
      <w:color w:val="000000"/>
      <w:kern w:val="0"/>
      <w:sz w:val="17"/>
      <w:szCs w:val="17"/>
      <w:lang w:eastAsia="en-GB"/>
      <w14:ligatures w14:val="none"/>
    </w:rPr>
  </w:style>
  <w:style w:type="character" w:customStyle="1" w:styleId="xmarkn6qe9l0y">
    <w:name w:val="x_markn6qe9l0y"/>
    <w:basedOn w:val="DefaultParagraphFont"/>
    <w:rsid w:val="00554091"/>
  </w:style>
  <w:style w:type="character" w:styleId="UnresolvedMention">
    <w:name w:val="Unresolved Mention"/>
    <w:basedOn w:val="DefaultParagraphFont"/>
    <w:uiPriority w:val="99"/>
    <w:semiHidden/>
    <w:unhideWhenUsed/>
    <w:rsid w:val="005540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463235">
      <w:bodyDiv w:val="1"/>
      <w:marLeft w:val="0"/>
      <w:marRight w:val="0"/>
      <w:marTop w:val="0"/>
      <w:marBottom w:val="0"/>
      <w:divBdr>
        <w:top w:val="none" w:sz="0" w:space="0" w:color="auto"/>
        <w:left w:val="none" w:sz="0" w:space="0" w:color="auto"/>
        <w:bottom w:val="none" w:sz="0" w:space="0" w:color="auto"/>
        <w:right w:val="none" w:sz="0" w:space="0" w:color="auto"/>
      </w:divBdr>
    </w:div>
    <w:div w:id="1580753499">
      <w:bodyDiv w:val="1"/>
      <w:marLeft w:val="0"/>
      <w:marRight w:val="0"/>
      <w:marTop w:val="0"/>
      <w:marBottom w:val="0"/>
      <w:divBdr>
        <w:top w:val="none" w:sz="0" w:space="0" w:color="auto"/>
        <w:left w:val="none" w:sz="0" w:space="0" w:color="auto"/>
        <w:bottom w:val="none" w:sz="0" w:space="0" w:color="auto"/>
        <w:right w:val="none" w:sz="0" w:space="0" w:color="auto"/>
      </w:divBdr>
      <w:divsChild>
        <w:div w:id="497036880">
          <w:marLeft w:val="0"/>
          <w:marRight w:val="0"/>
          <w:marTop w:val="0"/>
          <w:marBottom w:val="0"/>
          <w:divBdr>
            <w:top w:val="none" w:sz="0" w:space="0" w:color="auto"/>
            <w:left w:val="none" w:sz="0" w:space="0" w:color="auto"/>
            <w:bottom w:val="none" w:sz="0" w:space="0" w:color="auto"/>
            <w:right w:val="none" w:sz="0" w:space="0" w:color="auto"/>
          </w:divBdr>
        </w:div>
        <w:div w:id="946304451">
          <w:marLeft w:val="0"/>
          <w:marRight w:val="0"/>
          <w:marTop w:val="0"/>
          <w:marBottom w:val="0"/>
          <w:divBdr>
            <w:top w:val="none" w:sz="0" w:space="0" w:color="auto"/>
            <w:left w:val="none" w:sz="0" w:space="0" w:color="auto"/>
            <w:bottom w:val="none" w:sz="0" w:space="0" w:color="auto"/>
            <w:right w:val="none" w:sz="0" w:space="0" w:color="auto"/>
          </w:divBdr>
        </w:div>
        <w:div w:id="1714958240">
          <w:marLeft w:val="0"/>
          <w:marRight w:val="0"/>
          <w:marTop w:val="0"/>
          <w:marBottom w:val="0"/>
          <w:divBdr>
            <w:top w:val="none" w:sz="0" w:space="0" w:color="auto"/>
            <w:left w:val="none" w:sz="0" w:space="0" w:color="auto"/>
            <w:bottom w:val="none" w:sz="0" w:space="0" w:color="auto"/>
            <w:right w:val="none" w:sz="0" w:space="0" w:color="auto"/>
          </w:divBdr>
        </w:div>
        <w:div w:id="630667687">
          <w:marLeft w:val="0"/>
          <w:marRight w:val="0"/>
          <w:marTop w:val="0"/>
          <w:marBottom w:val="0"/>
          <w:divBdr>
            <w:top w:val="none" w:sz="0" w:space="0" w:color="auto"/>
            <w:left w:val="none" w:sz="0" w:space="0" w:color="auto"/>
            <w:bottom w:val="none" w:sz="0" w:space="0" w:color="auto"/>
            <w:right w:val="none" w:sz="0" w:space="0" w:color="auto"/>
          </w:divBdr>
        </w:div>
        <w:div w:id="1308976113">
          <w:marLeft w:val="0"/>
          <w:marRight w:val="0"/>
          <w:marTop w:val="0"/>
          <w:marBottom w:val="0"/>
          <w:divBdr>
            <w:top w:val="none" w:sz="0" w:space="0" w:color="auto"/>
            <w:left w:val="none" w:sz="0" w:space="0" w:color="auto"/>
            <w:bottom w:val="none" w:sz="0" w:space="0" w:color="auto"/>
            <w:right w:val="none" w:sz="0" w:space="0" w:color="auto"/>
          </w:divBdr>
        </w:div>
        <w:div w:id="786705423">
          <w:marLeft w:val="0"/>
          <w:marRight w:val="0"/>
          <w:marTop w:val="0"/>
          <w:marBottom w:val="0"/>
          <w:divBdr>
            <w:top w:val="none" w:sz="0" w:space="0" w:color="auto"/>
            <w:left w:val="none" w:sz="0" w:space="0" w:color="auto"/>
            <w:bottom w:val="none" w:sz="0" w:space="0" w:color="auto"/>
            <w:right w:val="none" w:sz="0" w:space="0" w:color="auto"/>
          </w:divBdr>
        </w:div>
      </w:divsChild>
    </w:div>
    <w:div w:id="1777821329">
      <w:bodyDiv w:val="1"/>
      <w:marLeft w:val="0"/>
      <w:marRight w:val="0"/>
      <w:marTop w:val="0"/>
      <w:marBottom w:val="0"/>
      <w:divBdr>
        <w:top w:val="none" w:sz="0" w:space="0" w:color="auto"/>
        <w:left w:val="none" w:sz="0" w:space="0" w:color="auto"/>
        <w:bottom w:val="none" w:sz="0" w:space="0" w:color="auto"/>
        <w:right w:val="none" w:sz="0" w:space="0" w:color="auto"/>
      </w:divBdr>
    </w:div>
    <w:div w:id="18445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mynydd-cynffig-primary-school/UploadedDocument/4e4858cb-c381-4935-a180-154c937a36a2/inspection-report-mynydd-cynffig-primary-school-2025.pdf" TargetMode="External"/><Relationship Id="rId13" Type="http://schemas.openxmlformats.org/officeDocument/2006/relationships/hyperlink" Target="https://www.estyn.gov.wales/system/files/2022-01/Healthy%2520and%2520Happy%2520report%2520En_0.pdf" TargetMode="External"/><Relationship Id="rId3" Type="http://schemas.openxmlformats.org/officeDocument/2006/relationships/settings" Target="settings.xml"/><Relationship Id="rId7" Type="http://schemas.openxmlformats.org/officeDocument/2006/relationships/hyperlink" Target="https://annual-report.estyn.gov.wales/2023/attitudes-to-learning-and-attendance" TargetMode="External"/><Relationship Id="rId12" Type="http://schemas.openxmlformats.org/officeDocument/2006/relationships/hyperlink" Target="https://www.gov.wales/sites/default/files/publications/2018-03/school-development-plan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rimarysite-prod-sorted.s3.amazonaws.com/mynydd-cynffig-primary-school/UploadedDocument/22087b73-cbaa-47ce-8f44-93523f522a30/mynydd-cynffig-primary-school-july-2017.pdf" TargetMode="External"/><Relationship Id="rId11" Type="http://schemas.openxmlformats.org/officeDocument/2006/relationships/hyperlink" Target="https://www.tandfonline.com/doi/abs/10.1080/02643944.2019.1625429" TargetMode="External"/><Relationship Id="rId5" Type="http://schemas.openxmlformats.org/officeDocument/2006/relationships/hyperlink" Target="https://chatgpt.com" TargetMode="External"/><Relationship Id="rId15" Type="http://schemas.openxmlformats.org/officeDocument/2006/relationships/fontTable" Target="fontTable.xml"/><Relationship Id="rId10" Type="http://schemas.openxmlformats.org/officeDocument/2006/relationships/hyperlink" Target="https://www.bera.ac.uk/blog/student-behaviour-motivation-and-the-potential-of-attachment-aware-schools-to-redefine-the-landscape" TargetMode="External"/><Relationship Id="rId4" Type="http://schemas.openxmlformats.org/officeDocument/2006/relationships/webSettings" Target="webSettings.xml"/><Relationship Id="rId9" Type="http://schemas.openxmlformats.org/officeDocument/2006/relationships/hyperlink" Target="https://doi.org/10.1111/camh.12322" TargetMode="External"/><Relationship Id="rId14" Type="http://schemas.openxmlformats.org/officeDocument/2006/relationships/hyperlink" Target="https://www.gov.wales/sites/default/files/publications/2023-10/improving-school-attendance-guidance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351</TotalTime>
  <Pages>12</Pages>
  <Words>3833</Words>
  <Characters>21849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Cunningham (2405511)</dc:creator>
  <cp:keywords/>
  <dc:description/>
  <cp:lastModifiedBy>Rosie Cunningham (2405511)</cp:lastModifiedBy>
  <cp:revision>9</cp:revision>
  <dcterms:created xsi:type="dcterms:W3CDTF">2025-03-03T11:19:00Z</dcterms:created>
  <dcterms:modified xsi:type="dcterms:W3CDTF">2025-03-03T19:12:00Z</dcterms:modified>
</cp:coreProperties>
</file>