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F0CB88" w14:textId="2F52E882" w:rsidR="00F45F7A" w:rsidRPr="00CE400D" w:rsidRDefault="00B71F55" w:rsidP="000946B3">
      <w:pPr>
        <w:spacing w:before="240" w:line="360" w:lineRule="auto"/>
        <w:ind w:left="720" w:hanging="360"/>
        <w:jc w:val="center"/>
        <w:rPr>
          <w:rFonts w:ascii="Aptos" w:hAnsi="Aptos"/>
          <w:b/>
          <w:bCs/>
          <w:sz w:val="24"/>
          <w:szCs w:val="24"/>
        </w:rPr>
      </w:pPr>
      <w:r w:rsidRPr="00CE400D">
        <w:rPr>
          <w:rFonts w:ascii="Aptos" w:hAnsi="Aptos"/>
          <w:b/>
          <w:bCs/>
          <w:sz w:val="24"/>
          <w:szCs w:val="24"/>
        </w:rPr>
        <w:t>ST</w:t>
      </w:r>
      <w:r w:rsidR="00094E18" w:rsidRPr="00CE400D">
        <w:rPr>
          <w:rFonts w:ascii="Aptos" w:hAnsi="Aptos"/>
          <w:b/>
          <w:bCs/>
          <w:sz w:val="24"/>
          <w:szCs w:val="24"/>
        </w:rPr>
        <w:t>UDENT NAME: NANCY DURU</w:t>
      </w:r>
    </w:p>
    <w:p w14:paraId="34FAE74F" w14:textId="74BD9831" w:rsidR="00094E18" w:rsidRPr="00CE400D" w:rsidRDefault="00094E18" w:rsidP="000946B3">
      <w:pPr>
        <w:spacing w:before="240" w:line="360" w:lineRule="auto"/>
        <w:ind w:left="720" w:hanging="360"/>
        <w:jc w:val="center"/>
        <w:rPr>
          <w:rFonts w:ascii="Aptos" w:hAnsi="Aptos"/>
          <w:b/>
          <w:bCs/>
          <w:sz w:val="24"/>
          <w:szCs w:val="24"/>
        </w:rPr>
      </w:pPr>
      <w:r w:rsidRPr="00CE400D">
        <w:rPr>
          <w:rFonts w:ascii="Aptos" w:hAnsi="Aptos"/>
          <w:b/>
          <w:bCs/>
          <w:sz w:val="24"/>
          <w:szCs w:val="24"/>
        </w:rPr>
        <w:t>STUDENT ID: 2414515</w:t>
      </w:r>
    </w:p>
    <w:p w14:paraId="7D92EAC4" w14:textId="3249F7FB" w:rsidR="00094E18" w:rsidRPr="00CE400D" w:rsidRDefault="008C2469" w:rsidP="000946B3">
      <w:pPr>
        <w:spacing w:before="240" w:line="360" w:lineRule="auto"/>
        <w:ind w:left="720" w:hanging="360"/>
        <w:jc w:val="center"/>
        <w:rPr>
          <w:rFonts w:ascii="Aptos" w:hAnsi="Aptos"/>
          <w:b/>
          <w:bCs/>
          <w:sz w:val="24"/>
          <w:szCs w:val="24"/>
        </w:rPr>
      </w:pPr>
      <w:r w:rsidRPr="00CE400D">
        <w:rPr>
          <w:rFonts w:ascii="Aptos" w:hAnsi="Aptos"/>
          <w:b/>
          <w:bCs/>
          <w:sz w:val="24"/>
          <w:szCs w:val="24"/>
        </w:rPr>
        <w:t>MODULE CODE: 4030</w:t>
      </w:r>
    </w:p>
    <w:p w14:paraId="597B0D5C" w14:textId="7465A481" w:rsidR="008C2469" w:rsidRPr="00CE400D" w:rsidRDefault="008C2469" w:rsidP="00AC3950">
      <w:pPr>
        <w:spacing w:before="240" w:line="360" w:lineRule="auto"/>
        <w:ind w:left="720" w:hanging="360"/>
        <w:jc w:val="center"/>
        <w:rPr>
          <w:rFonts w:ascii="Aptos" w:hAnsi="Aptos"/>
        </w:rPr>
      </w:pPr>
      <w:r w:rsidRPr="00CE400D">
        <w:rPr>
          <w:rFonts w:ascii="Aptos" w:hAnsi="Aptos"/>
          <w:b/>
          <w:bCs/>
          <w:sz w:val="24"/>
          <w:szCs w:val="24"/>
        </w:rPr>
        <w:t>TOPIC</w:t>
      </w:r>
      <w:r w:rsidR="00231BE0" w:rsidRPr="00CE400D">
        <w:rPr>
          <w:rFonts w:ascii="Aptos" w:hAnsi="Aptos"/>
          <w:b/>
          <w:bCs/>
          <w:sz w:val="24"/>
          <w:szCs w:val="24"/>
        </w:rPr>
        <w:t xml:space="preserve">: WORKING </w:t>
      </w:r>
      <w:r w:rsidR="00C756C8" w:rsidRPr="00CE400D">
        <w:rPr>
          <w:rFonts w:ascii="Aptos" w:hAnsi="Aptos"/>
          <w:b/>
          <w:bCs/>
          <w:sz w:val="24"/>
          <w:szCs w:val="24"/>
        </w:rPr>
        <w:t>PRACTICES OF SOCIAL WORKER WHO CARE</w:t>
      </w:r>
      <w:r w:rsidR="009A493B" w:rsidRPr="00CE400D">
        <w:rPr>
          <w:rFonts w:ascii="Aptos" w:hAnsi="Aptos"/>
          <w:b/>
          <w:bCs/>
          <w:sz w:val="24"/>
          <w:szCs w:val="24"/>
        </w:rPr>
        <w:t xml:space="preserve"> FOR ADULT WITH MENTAL HEALTH CHALLENGES</w:t>
      </w:r>
      <w:r w:rsidR="000946B3" w:rsidRPr="00CE400D">
        <w:rPr>
          <w:rFonts w:ascii="Aptos" w:hAnsi="Aptos"/>
        </w:rPr>
        <w:t>.</w:t>
      </w:r>
    </w:p>
    <w:p w14:paraId="6D632D7F" w14:textId="77777777" w:rsidR="00AC0A07" w:rsidRPr="00CE400D" w:rsidRDefault="00AC0A07" w:rsidP="000946B3">
      <w:pPr>
        <w:spacing w:before="240" w:line="360" w:lineRule="auto"/>
        <w:jc w:val="both"/>
        <w:rPr>
          <w:rFonts w:ascii="Aptos" w:hAnsi="Aptos"/>
        </w:rPr>
      </w:pPr>
    </w:p>
    <w:p w14:paraId="0D5AE07B" w14:textId="10B0E045" w:rsidR="0038645D" w:rsidRPr="00CE400D" w:rsidRDefault="002341E2" w:rsidP="002341E2">
      <w:pPr>
        <w:spacing w:before="240" w:line="360" w:lineRule="auto"/>
        <w:jc w:val="both"/>
        <w:rPr>
          <w:rFonts w:ascii="Aptos" w:hAnsi="Aptos" w:cs="Times New Roman"/>
          <w:b/>
          <w:bCs/>
          <w:sz w:val="24"/>
          <w:szCs w:val="24"/>
        </w:rPr>
      </w:pPr>
      <w:r w:rsidRPr="00CE400D">
        <w:rPr>
          <w:rFonts w:ascii="Aptos" w:hAnsi="Aptos" w:cs="Times New Roman"/>
          <w:b/>
          <w:bCs/>
          <w:sz w:val="24"/>
          <w:szCs w:val="24"/>
        </w:rPr>
        <w:t xml:space="preserve">1 </w:t>
      </w:r>
      <w:r w:rsidR="00D12C95" w:rsidRPr="00CE400D">
        <w:rPr>
          <w:rFonts w:ascii="Aptos" w:hAnsi="Aptos" w:cs="Times New Roman"/>
          <w:b/>
          <w:bCs/>
          <w:sz w:val="24"/>
          <w:szCs w:val="24"/>
        </w:rPr>
        <w:t>INTRODUCTION</w:t>
      </w:r>
    </w:p>
    <w:p w14:paraId="726288FA" w14:textId="45CB07DD" w:rsidR="0038645D" w:rsidRPr="00CE400D" w:rsidRDefault="0038645D" w:rsidP="002C2989">
      <w:pPr>
        <w:spacing w:before="240" w:line="360" w:lineRule="auto"/>
        <w:jc w:val="both"/>
        <w:rPr>
          <w:rFonts w:ascii="Aptos" w:hAnsi="Aptos" w:cstheme="minorHAnsi"/>
          <w:sz w:val="24"/>
          <w:szCs w:val="24"/>
        </w:rPr>
      </w:pPr>
      <w:r w:rsidRPr="00CE400D">
        <w:rPr>
          <w:rFonts w:ascii="Aptos" w:hAnsi="Aptos" w:cstheme="minorHAnsi"/>
          <w:sz w:val="24"/>
          <w:szCs w:val="24"/>
        </w:rPr>
        <w:t>Mental health challenges are a leading cause of disability worldwide, with profound implications for individuals, families, and communities</w:t>
      </w:r>
      <w:r w:rsidR="0091706F" w:rsidRPr="00CE400D">
        <w:rPr>
          <w:rFonts w:ascii="Aptos" w:hAnsi="Aptos" w:cstheme="minorHAnsi"/>
          <w:sz w:val="24"/>
          <w:szCs w:val="24"/>
        </w:rPr>
        <w:t xml:space="preserve"> (Wainberg et al., 2017)</w:t>
      </w:r>
      <w:r w:rsidRPr="00CE400D">
        <w:rPr>
          <w:rFonts w:ascii="Aptos" w:hAnsi="Aptos" w:cstheme="minorHAnsi"/>
          <w:sz w:val="24"/>
          <w:szCs w:val="24"/>
        </w:rPr>
        <w:t>. In the landscape of support for adults experiencing these challenges, the social work profession occupies a unique and vital position. Dist</w:t>
      </w:r>
      <w:r w:rsidR="0091706F" w:rsidRPr="00CE400D">
        <w:rPr>
          <w:rFonts w:ascii="Aptos" w:hAnsi="Aptos" w:cstheme="minorHAnsi"/>
          <w:sz w:val="24"/>
          <w:szCs w:val="24"/>
        </w:rPr>
        <w:t>inct from, yet complementary to</w:t>
      </w:r>
      <w:r w:rsidRPr="00CE400D">
        <w:rPr>
          <w:rFonts w:ascii="Aptos" w:hAnsi="Aptos" w:cstheme="minorHAnsi"/>
          <w:sz w:val="24"/>
          <w:szCs w:val="24"/>
        </w:rPr>
        <w:t xml:space="preserve"> psychiatri</w:t>
      </w:r>
      <w:r w:rsidR="0091706F" w:rsidRPr="00CE400D">
        <w:rPr>
          <w:rFonts w:ascii="Aptos" w:hAnsi="Aptos" w:cstheme="minorHAnsi"/>
          <w:sz w:val="24"/>
          <w:szCs w:val="24"/>
        </w:rPr>
        <w:t>c and psychological disciplines;</w:t>
      </w:r>
      <w:r w:rsidRPr="00CE400D">
        <w:rPr>
          <w:rFonts w:ascii="Aptos" w:hAnsi="Aptos" w:cstheme="minorHAnsi"/>
          <w:sz w:val="24"/>
          <w:szCs w:val="24"/>
        </w:rPr>
        <w:t xml:space="preserve"> social work’s mandate is rooted in a dual focus: to enhance human well-being and to meet the basic needs of all people, with particular attention to the empowerment of those who are vulnerable, oppressed, or living in poverty</w:t>
      </w:r>
      <w:r w:rsidR="0091706F" w:rsidRPr="00CE400D">
        <w:rPr>
          <w:rFonts w:ascii="Aptos" w:hAnsi="Aptos" w:cstheme="minorHAnsi"/>
          <w:sz w:val="24"/>
          <w:szCs w:val="24"/>
        </w:rPr>
        <w:t xml:space="preserve"> (National Association of Social Workers, 2021)</w:t>
      </w:r>
      <w:r w:rsidRPr="00CE400D">
        <w:rPr>
          <w:rFonts w:ascii="Aptos" w:hAnsi="Aptos" w:cstheme="minorHAnsi"/>
          <w:sz w:val="24"/>
          <w:szCs w:val="24"/>
        </w:rPr>
        <w:t>.</w:t>
      </w:r>
      <w:r w:rsidR="00D12C95" w:rsidRPr="00CE400D">
        <w:rPr>
          <w:rFonts w:ascii="Aptos" w:hAnsi="Aptos" w:cstheme="minorHAnsi"/>
          <w:sz w:val="24"/>
          <w:szCs w:val="24"/>
        </w:rPr>
        <w:t xml:space="preserve"> </w:t>
      </w:r>
      <w:r w:rsidRPr="00CE400D">
        <w:rPr>
          <w:rFonts w:ascii="Aptos" w:hAnsi="Aptos" w:cstheme="minorHAnsi"/>
          <w:sz w:val="24"/>
          <w:szCs w:val="24"/>
        </w:rPr>
        <w:t xml:space="preserve">For adults with mental health challenges, this translates into a practice that extends beyond symptom reduction to address the intricate social determinants of </w:t>
      </w:r>
      <w:r w:rsidR="00BA0601" w:rsidRPr="00CE400D">
        <w:rPr>
          <w:rFonts w:ascii="Aptos" w:hAnsi="Aptos" w:cstheme="minorHAnsi"/>
          <w:sz w:val="24"/>
          <w:szCs w:val="24"/>
        </w:rPr>
        <w:t>health housing</w:t>
      </w:r>
      <w:r w:rsidRPr="00CE400D">
        <w:rPr>
          <w:rFonts w:ascii="Aptos" w:hAnsi="Aptos" w:cstheme="minorHAnsi"/>
          <w:sz w:val="24"/>
          <w:szCs w:val="24"/>
        </w:rPr>
        <w:t>, employment, social networks, and stigma—that fundamentally shape the experience and trajectory of their condition.</w:t>
      </w:r>
    </w:p>
    <w:p w14:paraId="492DC4CC" w14:textId="77777777" w:rsidR="002C2989" w:rsidRPr="00CE400D" w:rsidRDefault="0038645D" w:rsidP="002C2989">
      <w:pPr>
        <w:spacing w:before="240" w:line="360" w:lineRule="auto"/>
        <w:jc w:val="both"/>
        <w:rPr>
          <w:rFonts w:ascii="Aptos" w:hAnsi="Aptos" w:cstheme="minorHAnsi"/>
          <w:sz w:val="24"/>
          <w:szCs w:val="24"/>
        </w:rPr>
      </w:pPr>
      <w:r w:rsidRPr="00CE400D">
        <w:rPr>
          <w:rFonts w:ascii="Aptos" w:hAnsi="Aptos" w:cstheme="minorHAnsi"/>
          <w:sz w:val="24"/>
          <w:szCs w:val="24"/>
        </w:rPr>
        <w:t>This article provides a comprehensive analysis of these contemporary working practices. It begins by outlining the key theoretical frameworks that underpin modern mental health social work. It then delves into the core processes of assessment, care planning, and intervention, followed by an exploration of the essential context of interprofessional collaboration. The paper also addresses the critical ethical dimensions of practice and examines the emerging challenges and innovations, including the use of digital technology and the impact of systemic constraints.</w:t>
      </w:r>
    </w:p>
    <w:p w14:paraId="7BE3A830" w14:textId="77777777" w:rsidR="0038645D" w:rsidRPr="00CE400D" w:rsidRDefault="00047CC8" w:rsidP="002C2989">
      <w:pPr>
        <w:pStyle w:val="ListParagraph"/>
        <w:numPr>
          <w:ilvl w:val="0"/>
          <w:numId w:val="1"/>
        </w:numPr>
        <w:spacing w:before="240" w:line="360" w:lineRule="auto"/>
        <w:jc w:val="both"/>
        <w:rPr>
          <w:rFonts w:ascii="Aptos" w:hAnsi="Aptos" w:cstheme="minorHAnsi"/>
          <w:b/>
          <w:sz w:val="24"/>
          <w:szCs w:val="24"/>
        </w:rPr>
      </w:pPr>
      <w:r w:rsidRPr="00CE400D">
        <w:rPr>
          <w:rFonts w:ascii="Aptos" w:hAnsi="Aptos" w:cstheme="minorHAnsi"/>
          <w:b/>
          <w:sz w:val="24"/>
          <w:szCs w:val="24"/>
        </w:rPr>
        <w:lastRenderedPageBreak/>
        <w:t>T</w:t>
      </w:r>
      <w:r w:rsidRPr="00CE400D">
        <w:rPr>
          <w:rFonts w:ascii="Aptos" w:hAnsi="Aptos" w:cstheme="minorHAnsi"/>
          <w:b/>
          <w:bCs/>
          <w:sz w:val="24"/>
          <w:szCs w:val="24"/>
        </w:rPr>
        <w:t>HEORETICAL FOUNDATIONS: FROM PATHOLOGY TO PERSONHOOD</w:t>
      </w:r>
    </w:p>
    <w:p w14:paraId="67B830B9" w14:textId="77777777" w:rsidR="002C2989" w:rsidRPr="00CE400D" w:rsidRDefault="002C2989" w:rsidP="002C2989">
      <w:pPr>
        <w:spacing w:before="240" w:line="360" w:lineRule="auto"/>
        <w:jc w:val="both"/>
        <w:rPr>
          <w:rFonts w:ascii="Aptos" w:hAnsi="Aptos" w:cstheme="minorHAnsi"/>
          <w:b/>
          <w:bCs/>
          <w:sz w:val="24"/>
          <w:szCs w:val="24"/>
        </w:rPr>
      </w:pPr>
      <w:r w:rsidRPr="00CE400D">
        <w:rPr>
          <w:rFonts w:ascii="Aptos" w:hAnsi="Aptos" w:cstheme="minorHAnsi"/>
          <w:b/>
          <w:bCs/>
          <w:sz w:val="24"/>
          <w:szCs w:val="24"/>
        </w:rPr>
        <w:t xml:space="preserve">2.1. </w:t>
      </w:r>
      <w:r w:rsidR="0038645D" w:rsidRPr="00CE400D">
        <w:rPr>
          <w:rFonts w:ascii="Aptos" w:hAnsi="Aptos" w:cstheme="minorHAnsi"/>
          <w:b/>
          <w:bCs/>
          <w:sz w:val="24"/>
          <w:szCs w:val="24"/>
        </w:rPr>
        <w:t>The Recovery Approach</w:t>
      </w:r>
    </w:p>
    <w:p w14:paraId="203209A4" w14:textId="77777777" w:rsidR="0038645D" w:rsidRPr="00CE400D" w:rsidRDefault="002C2989" w:rsidP="002C2989">
      <w:pPr>
        <w:spacing w:before="240" w:line="360" w:lineRule="auto"/>
        <w:jc w:val="both"/>
        <w:rPr>
          <w:rFonts w:ascii="Aptos" w:hAnsi="Aptos" w:cstheme="minorHAnsi"/>
          <w:sz w:val="24"/>
          <w:szCs w:val="24"/>
        </w:rPr>
      </w:pPr>
      <w:r w:rsidRPr="00CE400D">
        <w:rPr>
          <w:rFonts w:ascii="Aptos" w:hAnsi="Aptos" w:cstheme="minorHAnsi"/>
          <w:b/>
          <w:bCs/>
          <w:sz w:val="24"/>
          <w:szCs w:val="24"/>
        </w:rPr>
        <w:t xml:space="preserve"> </w:t>
      </w:r>
      <w:r w:rsidR="0038645D" w:rsidRPr="00CE400D">
        <w:rPr>
          <w:rFonts w:ascii="Aptos" w:hAnsi="Aptos" w:cstheme="minorHAnsi"/>
          <w:sz w:val="24"/>
          <w:szCs w:val="24"/>
        </w:rPr>
        <w:t>The concept of "recovery" is arguably the most influential paradigm in modern mental health services. It is crucial to distinguish this from a clin</w:t>
      </w:r>
      <w:r w:rsidRPr="00CE400D">
        <w:rPr>
          <w:rFonts w:ascii="Aptos" w:hAnsi="Aptos" w:cstheme="minorHAnsi"/>
          <w:sz w:val="24"/>
          <w:szCs w:val="24"/>
        </w:rPr>
        <w:t>ical notion of "cure." R</w:t>
      </w:r>
      <w:r w:rsidR="0038645D" w:rsidRPr="00CE400D">
        <w:rPr>
          <w:rFonts w:ascii="Aptos" w:hAnsi="Aptos" w:cstheme="minorHAnsi"/>
          <w:sz w:val="24"/>
          <w:szCs w:val="24"/>
        </w:rPr>
        <w:t>ecovery</w:t>
      </w:r>
      <w:r w:rsidRPr="00CE400D">
        <w:rPr>
          <w:rFonts w:ascii="Aptos" w:hAnsi="Aptos" w:cstheme="minorHAnsi"/>
          <w:sz w:val="24"/>
          <w:szCs w:val="24"/>
        </w:rPr>
        <w:t xml:space="preserve"> rather</w:t>
      </w:r>
      <w:r w:rsidR="0038645D" w:rsidRPr="00CE400D">
        <w:rPr>
          <w:rFonts w:ascii="Aptos" w:hAnsi="Aptos" w:cstheme="minorHAnsi"/>
          <w:sz w:val="24"/>
          <w:szCs w:val="24"/>
        </w:rPr>
        <w:t xml:space="preserve"> is understood as "a deeply personal, unique process of changing one’s attitudes, values, feelings, goals, skills, and/or roles. It is a way of living a satisfying, hopeful, and contributing life even with limitations caused by </w:t>
      </w:r>
      <w:r w:rsidR="00161FAD" w:rsidRPr="00CE400D">
        <w:rPr>
          <w:rFonts w:ascii="Aptos" w:hAnsi="Aptos" w:cstheme="minorHAnsi"/>
          <w:sz w:val="24"/>
          <w:szCs w:val="24"/>
        </w:rPr>
        <w:t>illness</w:t>
      </w:r>
      <w:r w:rsidR="008F45C8" w:rsidRPr="00CE400D">
        <w:rPr>
          <w:rFonts w:ascii="Aptos" w:hAnsi="Aptos" w:cstheme="minorHAnsi"/>
          <w:sz w:val="24"/>
          <w:szCs w:val="24"/>
        </w:rPr>
        <w:t xml:space="preserve"> (Cruwys et al., 2020)</w:t>
      </w:r>
      <w:r w:rsidR="00161FAD" w:rsidRPr="00CE400D">
        <w:rPr>
          <w:rFonts w:ascii="Aptos" w:hAnsi="Aptos" w:cstheme="minorHAnsi"/>
          <w:sz w:val="24"/>
          <w:szCs w:val="24"/>
        </w:rPr>
        <w:t xml:space="preserve">. </w:t>
      </w:r>
      <w:r w:rsidR="0038645D" w:rsidRPr="00CE400D">
        <w:rPr>
          <w:rFonts w:ascii="Aptos" w:hAnsi="Aptos" w:cstheme="minorHAnsi"/>
          <w:sz w:val="24"/>
          <w:szCs w:val="24"/>
        </w:rPr>
        <w:t>For social workers, this means shifting from an expert-led model to a partnership where the service user is the director of their own journey. Practice involves working to identify and build upon an individual’s strengths, aspirations, and resources, rather than focusing solely on deficits and problems.</w:t>
      </w:r>
      <w:r w:rsidR="00161FAD" w:rsidRPr="00CE400D">
        <w:rPr>
          <w:rFonts w:ascii="Aptos" w:hAnsi="Aptos" w:cstheme="minorHAnsi"/>
          <w:sz w:val="24"/>
          <w:szCs w:val="24"/>
        </w:rPr>
        <w:t xml:space="preserve"> </w:t>
      </w:r>
      <w:r w:rsidR="00047CC8" w:rsidRPr="00CE400D">
        <w:rPr>
          <w:rFonts w:ascii="Aptos" w:hAnsi="Aptos" w:cstheme="minorHAnsi"/>
          <w:sz w:val="24"/>
          <w:szCs w:val="24"/>
        </w:rPr>
        <w:t xml:space="preserve">(Mahesh et al., 2024). </w:t>
      </w:r>
      <w:r w:rsidR="0038645D" w:rsidRPr="00CE400D">
        <w:rPr>
          <w:rFonts w:ascii="Aptos" w:hAnsi="Aptos" w:cstheme="minorHAnsi"/>
          <w:sz w:val="24"/>
          <w:szCs w:val="24"/>
        </w:rPr>
        <w:t>This might involve supporting someone to secure meaningful employment, develop social connections, or pursue educational goals, all of which are central to a sense of identity and purpose beyond a diagnostic label.</w:t>
      </w:r>
    </w:p>
    <w:p w14:paraId="3AA8A9A7" w14:textId="77777777" w:rsidR="0038645D" w:rsidRPr="00CE400D" w:rsidRDefault="0038645D" w:rsidP="002C2989">
      <w:pPr>
        <w:spacing w:before="240" w:line="360" w:lineRule="auto"/>
        <w:jc w:val="both"/>
        <w:rPr>
          <w:rFonts w:ascii="Aptos" w:hAnsi="Aptos" w:cstheme="minorHAnsi"/>
          <w:b/>
          <w:bCs/>
          <w:sz w:val="24"/>
          <w:szCs w:val="24"/>
        </w:rPr>
      </w:pPr>
      <w:r w:rsidRPr="00CE400D">
        <w:rPr>
          <w:rFonts w:ascii="Aptos" w:hAnsi="Aptos" w:cstheme="minorHAnsi"/>
          <w:b/>
          <w:bCs/>
          <w:sz w:val="24"/>
          <w:szCs w:val="24"/>
        </w:rPr>
        <w:t>2</w:t>
      </w:r>
      <w:r w:rsidR="00161FAD" w:rsidRPr="00CE400D">
        <w:rPr>
          <w:rFonts w:ascii="Aptos" w:hAnsi="Aptos" w:cstheme="minorHAnsi"/>
          <w:b/>
          <w:bCs/>
          <w:sz w:val="24"/>
          <w:szCs w:val="24"/>
        </w:rPr>
        <w:t>.2</w:t>
      </w:r>
      <w:r w:rsidRPr="00CE400D">
        <w:rPr>
          <w:rFonts w:ascii="Aptos" w:hAnsi="Aptos" w:cstheme="minorHAnsi"/>
          <w:b/>
          <w:bCs/>
          <w:sz w:val="24"/>
          <w:szCs w:val="24"/>
        </w:rPr>
        <w:t xml:space="preserve"> The Social Model of Disability and the Person-in-Environment Perspective</w:t>
      </w:r>
    </w:p>
    <w:p w14:paraId="738133AC" w14:textId="77777777" w:rsidR="0038645D" w:rsidRPr="00CE400D" w:rsidRDefault="0038645D" w:rsidP="002C2989">
      <w:pPr>
        <w:spacing w:after="0" w:line="360" w:lineRule="auto"/>
        <w:jc w:val="both"/>
        <w:rPr>
          <w:rFonts w:ascii="Aptos" w:hAnsi="Aptos" w:cstheme="minorHAnsi"/>
          <w:sz w:val="24"/>
          <w:szCs w:val="24"/>
        </w:rPr>
      </w:pPr>
      <w:r w:rsidRPr="00CE400D">
        <w:rPr>
          <w:rFonts w:ascii="Aptos" w:hAnsi="Aptos" w:cstheme="minorHAnsi"/>
          <w:sz w:val="24"/>
          <w:szCs w:val="24"/>
        </w:rPr>
        <w:t>The social model of disability, which posits that disability is caused by societal barriers and attitudes rather than by impairment itself, aligns perfectly with social work’s core "person-in-environment" principle.</w:t>
      </w:r>
      <w:r w:rsidR="009F718A" w:rsidRPr="00CE400D">
        <w:rPr>
          <w:rFonts w:ascii="Aptos" w:hAnsi="Aptos" w:cstheme="minorHAnsi"/>
          <w:sz w:val="24"/>
          <w:szCs w:val="24"/>
        </w:rPr>
        <w:t xml:space="preserve"> </w:t>
      </w:r>
      <w:r w:rsidR="0058074B" w:rsidRPr="00CE400D">
        <w:rPr>
          <w:rFonts w:ascii="Aptos" w:hAnsi="Aptos" w:cstheme="minorHAnsi"/>
          <w:sz w:val="24"/>
          <w:szCs w:val="24"/>
        </w:rPr>
        <w:t xml:space="preserve">(Adam &amp; </w:t>
      </w:r>
      <w:proofErr w:type="spellStart"/>
      <w:r w:rsidR="0058074B" w:rsidRPr="00CE400D">
        <w:rPr>
          <w:rFonts w:ascii="Aptos" w:hAnsi="Aptos" w:cstheme="minorHAnsi"/>
          <w:sz w:val="24"/>
          <w:szCs w:val="24"/>
        </w:rPr>
        <w:t>Koutsoklenis</w:t>
      </w:r>
      <w:proofErr w:type="spellEnd"/>
      <w:r w:rsidR="0058074B" w:rsidRPr="00CE400D">
        <w:rPr>
          <w:rFonts w:ascii="Aptos" w:hAnsi="Aptos" w:cstheme="minorHAnsi"/>
          <w:sz w:val="24"/>
          <w:szCs w:val="24"/>
        </w:rPr>
        <w:t xml:space="preserve">, 2023). </w:t>
      </w:r>
      <w:r w:rsidRPr="00CE400D">
        <w:rPr>
          <w:rFonts w:ascii="Aptos" w:hAnsi="Aptos" w:cstheme="minorHAnsi"/>
          <w:sz w:val="24"/>
          <w:szCs w:val="24"/>
        </w:rPr>
        <w:t xml:space="preserve">This framework directs social workers to address the external factors that disable people with mental health challenges, such as discriminatory hiring practices, inaccessible housing policies, and pervasive social </w:t>
      </w:r>
      <w:r w:rsidR="0058074B" w:rsidRPr="00CE400D">
        <w:rPr>
          <w:rFonts w:ascii="Aptos" w:hAnsi="Aptos" w:cstheme="minorHAnsi"/>
          <w:sz w:val="24"/>
          <w:szCs w:val="24"/>
        </w:rPr>
        <w:t>stigma (</w:t>
      </w:r>
      <w:proofErr w:type="spellStart"/>
      <w:r w:rsidR="0058074B" w:rsidRPr="00CE400D">
        <w:rPr>
          <w:rFonts w:ascii="Aptos" w:hAnsi="Aptos" w:cstheme="minorHAnsi"/>
          <w:sz w:val="24"/>
          <w:szCs w:val="24"/>
        </w:rPr>
        <w:t>Jeste</w:t>
      </w:r>
      <w:proofErr w:type="spellEnd"/>
      <w:r w:rsidR="0058074B" w:rsidRPr="00CE400D">
        <w:rPr>
          <w:rFonts w:ascii="Aptos" w:hAnsi="Aptos" w:cstheme="minorHAnsi"/>
          <w:sz w:val="24"/>
          <w:szCs w:val="24"/>
        </w:rPr>
        <w:t xml:space="preserve"> et al., 2025).</w:t>
      </w:r>
      <w:r w:rsidR="009F718A" w:rsidRPr="00CE400D">
        <w:rPr>
          <w:rFonts w:ascii="Aptos" w:hAnsi="Aptos" w:cstheme="minorHAnsi"/>
          <w:sz w:val="24"/>
          <w:szCs w:val="24"/>
        </w:rPr>
        <w:t xml:space="preserve"> </w:t>
      </w:r>
      <w:r w:rsidRPr="00CE400D">
        <w:rPr>
          <w:rFonts w:ascii="Aptos" w:hAnsi="Aptos" w:cstheme="minorHAnsi"/>
          <w:sz w:val="24"/>
          <w:szCs w:val="24"/>
        </w:rPr>
        <w:t>Practice is thus oriented towards social change and advocacy, working to dismantle these barriers and create more inclusive communities.</w:t>
      </w:r>
    </w:p>
    <w:p w14:paraId="3EA83CAE" w14:textId="77777777" w:rsidR="0038645D" w:rsidRPr="00CE400D" w:rsidRDefault="0038645D" w:rsidP="00047CC8">
      <w:pPr>
        <w:pStyle w:val="ListParagraph"/>
        <w:numPr>
          <w:ilvl w:val="0"/>
          <w:numId w:val="1"/>
        </w:numPr>
        <w:spacing w:before="240" w:line="360" w:lineRule="auto"/>
        <w:jc w:val="both"/>
        <w:rPr>
          <w:rFonts w:ascii="Aptos" w:hAnsi="Aptos" w:cstheme="minorHAnsi"/>
          <w:b/>
          <w:bCs/>
          <w:sz w:val="24"/>
          <w:szCs w:val="24"/>
        </w:rPr>
      </w:pPr>
      <w:r w:rsidRPr="00CE400D">
        <w:rPr>
          <w:rFonts w:ascii="Aptos" w:hAnsi="Aptos" w:cstheme="minorHAnsi"/>
          <w:b/>
          <w:bCs/>
          <w:sz w:val="24"/>
          <w:szCs w:val="24"/>
        </w:rPr>
        <w:t xml:space="preserve"> </w:t>
      </w:r>
      <w:r w:rsidR="00047CC8" w:rsidRPr="00CE400D">
        <w:rPr>
          <w:rFonts w:ascii="Aptos" w:hAnsi="Aptos" w:cstheme="minorHAnsi"/>
          <w:b/>
          <w:bCs/>
          <w:sz w:val="24"/>
          <w:szCs w:val="24"/>
        </w:rPr>
        <w:t>CORE PRACTICES: ASSESSMENT, INTERVENTION, AND CARE PLANNING</w:t>
      </w:r>
    </w:p>
    <w:p w14:paraId="572CA7F7" w14:textId="77777777" w:rsidR="0038645D" w:rsidRPr="00CE400D" w:rsidRDefault="0038645D" w:rsidP="002C2989">
      <w:pPr>
        <w:spacing w:before="240" w:line="360" w:lineRule="auto"/>
        <w:jc w:val="both"/>
        <w:rPr>
          <w:rFonts w:ascii="Aptos" w:hAnsi="Aptos" w:cstheme="minorHAnsi"/>
          <w:sz w:val="24"/>
          <w:szCs w:val="24"/>
        </w:rPr>
      </w:pPr>
      <w:r w:rsidRPr="00CE400D">
        <w:rPr>
          <w:rFonts w:ascii="Aptos" w:hAnsi="Aptos" w:cstheme="minorHAnsi"/>
          <w:sz w:val="24"/>
          <w:szCs w:val="24"/>
        </w:rPr>
        <w:t>The daily work of a mental health social worker is operationalized through a series of structured yet person-centered processes.</w:t>
      </w:r>
    </w:p>
    <w:p w14:paraId="673496E1" w14:textId="2A1B67C1" w:rsidR="0038645D" w:rsidRPr="00CE400D" w:rsidRDefault="00C04CD4" w:rsidP="002C2989">
      <w:pPr>
        <w:spacing w:before="240" w:line="360" w:lineRule="auto"/>
        <w:jc w:val="both"/>
        <w:rPr>
          <w:rFonts w:ascii="Aptos" w:hAnsi="Aptos" w:cstheme="minorHAnsi"/>
          <w:b/>
          <w:bCs/>
          <w:sz w:val="24"/>
          <w:szCs w:val="24"/>
        </w:rPr>
      </w:pPr>
      <w:r w:rsidRPr="00CE400D">
        <w:rPr>
          <w:rFonts w:ascii="Aptos" w:hAnsi="Aptos" w:cstheme="minorHAnsi"/>
          <w:b/>
          <w:bCs/>
          <w:sz w:val="24"/>
          <w:szCs w:val="24"/>
        </w:rPr>
        <w:t>3</w:t>
      </w:r>
      <w:r w:rsidR="0038645D" w:rsidRPr="00CE400D">
        <w:rPr>
          <w:rFonts w:ascii="Aptos" w:hAnsi="Aptos" w:cstheme="minorHAnsi"/>
          <w:b/>
          <w:bCs/>
          <w:sz w:val="24"/>
          <w:szCs w:val="24"/>
        </w:rPr>
        <w:t xml:space="preserve">.1 Holistic Assessment and the Care </w:t>
      </w:r>
      <w:r w:rsidR="00DF35F4" w:rsidRPr="00CE400D">
        <w:rPr>
          <w:rFonts w:ascii="Aptos" w:hAnsi="Aptos" w:cstheme="minorHAnsi"/>
          <w:b/>
          <w:bCs/>
          <w:sz w:val="24"/>
          <w:szCs w:val="24"/>
        </w:rPr>
        <w:t>Program</w:t>
      </w:r>
      <w:r w:rsidR="0038645D" w:rsidRPr="00CE400D">
        <w:rPr>
          <w:rFonts w:ascii="Aptos" w:hAnsi="Aptos" w:cstheme="minorHAnsi"/>
          <w:b/>
          <w:bCs/>
          <w:sz w:val="24"/>
          <w:szCs w:val="24"/>
        </w:rPr>
        <w:t xml:space="preserve"> Approach</w:t>
      </w:r>
    </w:p>
    <w:p w14:paraId="678D2202" w14:textId="7E943B9B" w:rsidR="00EA2D50" w:rsidRPr="00CE400D" w:rsidRDefault="0038645D" w:rsidP="002C2989">
      <w:pPr>
        <w:spacing w:after="0" w:line="360" w:lineRule="auto"/>
        <w:jc w:val="both"/>
        <w:rPr>
          <w:rFonts w:ascii="Aptos" w:hAnsi="Aptos" w:cstheme="minorHAnsi"/>
          <w:sz w:val="24"/>
          <w:szCs w:val="24"/>
        </w:rPr>
      </w:pPr>
      <w:r w:rsidRPr="00CE400D">
        <w:rPr>
          <w:rFonts w:ascii="Aptos" w:hAnsi="Aptos" w:cstheme="minorHAnsi"/>
          <w:sz w:val="24"/>
          <w:szCs w:val="24"/>
        </w:rPr>
        <w:lastRenderedPageBreak/>
        <w:t xml:space="preserve">In the UK context, the Care </w:t>
      </w:r>
      <w:r w:rsidR="009904FF" w:rsidRPr="00CE400D">
        <w:rPr>
          <w:rFonts w:ascii="Aptos" w:hAnsi="Aptos" w:cstheme="minorHAnsi"/>
          <w:sz w:val="24"/>
          <w:szCs w:val="24"/>
        </w:rPr>
        <w:t>Program</w:t>
      </w:r>
      <w:r w:rsidRPr="00CE400D">
        <w:rPr>
          <w:rFonts w:ascii="Aptos" w:hAnsi="Aptos" w:cstheme="minorHAnsi"/>
          <w:sz w:val="24"/>
          <w:szCs w:val="24"/>
        </w:rPr>
        <w:t xml:space="preserve"> Approach (CPA) is the cornerstone </w:t>
      </w:r>
      <w:r w:rsidR="005313B9" w:rsidRPr="00CE400D">
        <w:rPr>
          <w:rFonts w:ascii="Aptos" w:hAnsi="Aptos" w:cstheme="minorHAnsi"/>
          <w:sz w:val="24"/>
          <w:szCs w:val="24"/>
        </w:rPr>
        <w:t xml:space="preserve">of secondary mental health care; </w:t>
      </w:r>
      <w:r w:rsidRPr="00CE400D">
        <w:rPr>
          <w:rFonts w:ascii="Aptos" w:hAnsi="Aptos" w:cstheme="minorHAnsi"/>
          <w:sz w:val="24"/>
          <w:szCs w:val="24"/>
        </w:rPr>
        <w:t>social workers are key contributors. Assessment under the CPA is a holistic process that goes far beyond diagnostic criteria. It encompasses a person’s social, psychological, occupational, cultural, and spiritual needs, as well as their</w:t>
      </w:r>
      <w:r w:rsidR="00EA2D50" w:rsidRPr="00CE400D">
        <w:rPr>
          <w:rFonts w:ascii="Aptos" w:hAnsi="Aptos" w:cstheme="minorHAnsi"/>
          <w:sz w:val="24"/>
          <w:szCs w:val="24"/>
        </w:rPr>
        <w:t xml:space="preserve"> strengths and support networks (National Health Service [NHS], n.d.). </w:t>
      </w:r>
    </w:p>
    <w:p w14:paraId="37557B25" w14:textId="77777777" w:rsidR="0038645D" w:rsidRPr="00CE400D" w:rsidRDefault="00C04CD4" w:rsidP="002C2989">
      <w:pPr>
        <w:spacing w:before="240" w:line="360" w:lineRule="auto"/>
        <w:jc w:val="both"/>
        <w:rPr>
          <w:rFonts w:ascii="Aptos" w:hAnsi="Aptos" w:cstheme="minorHAnsi"/>
          <w:b/>
          <w:bCs/>
          <w:sz w:val="24"/>
          <w:szCs w:val="24"/>
        </w:rPr>
      </w:pPr>
      <w:r w:rsidRPr="00CE400D">
        <w:rPr>
          <w:rFonts w:ascii="Aptos" w:hAnsi="Aptos" w:cstheme="minorHAnsi"/>
          <w:b/>
          <w:bCs/>
          <w:sz w:val="24"/>
          <w:szCs w:val="24"/>
        </w:rPr>
        <w:t>3</w:t>
      </w:r>
      <w:r w:rsidR="0038645D" w:rsidRPr="00CE400D">
        <w:rPr>
          <w:rFonts w:ascii="Aptos" w:hAnsi="Aptos" w:cstheme="minorHAnsi"/>
          <w:b/>
          <w:bCs/>
          <w:sz w:val="24"/>
          <w:szCs w:val="24"/>
        </w:rPr>
        <w:t>.2 Strengths-Based and Person-Centered Interventions</w:t>
      </w:r>
    </w:p>
    <w:p w14:paraId="65620F55" w14:textId="79BE4EEC" w:rsidR="0038645D" w:rsidRPr="00CE400D" w:rsidRDefault="0038645D" w:rsidP="002C2989">
      <w:pPr>
        <w:spacing w:after="0" w:line="360" w:lineRule="auto"/>
        <w:jc w:val="both"/>
        <w:rPr>
          <w:rFonts w:ascii="Aptos" w:hAnsi="Aptos" w:cstheme="minorHAnsi"/>
          <w:sz w:val="24"/>
          <w:szCs w:val="24"/>
        </w:rPr>
      </w:pPr>
      <w:r w:rsidRPr="00CE400D">
        <w:rPr>
          <w:rFonts w:ascii="Aptos" w:hAnsi="Aptos" w:cstheme="minorHAnsi"/>
          <w:sz w:val="24"/>
          <w:szCs w:val="24"/>
        </w:rPr>
        <w:t xml:space="preserve">Drawing on the recovery model, interventions are increasingly </w:t>
      </w:r>
      <w:r w:rsidR="007E43F8" w:rsidRPr="00CE400D">
        <w:rPr>
          <w:rFonts w:ascii="Aptos" w:hAnsi="Aptos" w:cstheme="minorHAnsi"/>
          <w:sz w:val="24"/>
          <w:szCs w:val="24"/>
        </w:rPr>
        <w:t>strength</w:t>
      </w:r>
      <w:r w:rsidRPr="00CE400D">
        <w:rPr>
          <w:rFonts w:ascii="Aptos" w:hAnsi="Aptos" w:cstheme="minorHAnsi"/>
          <w:sz w:val="24"/>
          <w:szCs w:val="24"/>
        </w:rPr>
        <w:t>-based. Instead of asking "What problems do you have?" the social worker might ask "What interests you? What are you good at? What does a good life look like for you?" Methodologies such as Motivational Interviewing are used to explore ambivalence and build intrinsic motivation for change</w:t>
      </w:r>
      <w:r w:rsidR="001F14D2" w:rsidRPr="00CE400D">
        <w:rPr>
          <w:rFonts w:ascii="Aptos" w:hAnsi="Aptos" w:cstheme="minorHAnsi"/>
        </w:rPr>
        <w:t xml:space="preserve"> </w:t>
      </w:r>
      <w:r w:rsidR="001F14D2" w:rsidRPr="00CE400D">
        <w:rPr>
          <w:rFonts w:ascii="Aptos" w:hAnsi="Aptos" w:cstheme="minorHAnsi"/>
          <w:sz w:val="24"/>
          <w:szCs w:val="24"/>
        </w:rPr>
        <w:t>(</w:t>
      </w:r>
      <w:proofErr w:type="spellStart"/>
      <w:r w:rsidR="001F14D2" w:rsidRPr="00CE400D">
        <w:rPr>
          <w:rFonts w:ascii="Aptos" w:hAnsi="Aptos" w:cstheme="minorHAnsi"/>
          <w:sz w:val="24"/>
          <w:szCs w:val="24"/>
        </w:rPr>
        <w:t>Caiels</w:t>
      </w:r>
      <w:proofErr w:type="spellEnd"/>
      <w:r w:rsidR="001F14D2" w:rsidRPr="00CE400D">
        <w:rPr>
          <w:rFonts w:ascii="Aptos" w:hAnsi="Aptos" w:cstheme="minorHAnsi"/>
          <w:sz w:val="24"/>
          <w:szCs w:val="24"/>
        </w:rPr>
        <w:t xml:space="preserve"> et al., 2023). </w:t>
      </w:r>
      <w:r w:rsidRPr="00CE400D">
        <w:rPr>
          <w:rFonts w:ascii="Aptos" w:hAnsi="Aptos" w:cstheme="minorHAnsi"/>
          <w:sz w:val="24"/>
          <w:szCs w:val="24"/>
        </w:rPr>
        <w:t>Furthermore, the implementation of personal budgets and direct payments has been a significant policy drive, allowing eligible individuals to have greater choice and control over the care and support they receive, enabling them to purchase services that align with their personal recovery goals</w:t>
      </w:r>
      <w:r w:rsidR="001F14D2" w:rsidRPr="00CE400D">
        <w:rPr>
          <w:rFonts w:ascii="Aptos" w:hAnsi="Aptos" w:cstheme="minorHAnsi"/>
          <w:sz w:val="24"/>
          <w:szCs w:val="24"/>
        </w:rPr>
        <w:t xml:space="preserve"> (Bland et al., 2020)</w:t>
      </w:r>
      <w:r w:rsidRPr="00CE400D">
        <w:rPr>
          <w:rFonts w:ascii="Aptos" w:hAnsi="Aptos" w:cstheme="minorHAnsi"/>
          <w:sz w:val="24"/>
          <w:szCs w:val="24"/>
        </w:rPr>
        <w:t>.</w:t>
      </w:r>
      <w:r w:rsidR="008F6BF9" w:rsidRPr="00CE400D">
        <w:rPr>
          <w:rFonts w:ascii="Aptos" w:hAnsi="Aptos" w:cstheme="minorHAnsi"/>
          <w:sz w:val="24"/>
          <w:szCs w:val="24"/>
        </w:rPr>
        <w:t xml:space="preserve"> </w:t>
      </w:r>
    </w:p>
    <w:p w14:paraId="7DF3285C" w14:textId="77777777" w:rsidR="0038645D" w:rsidRPr="00CE400D" w:rsidRDefault="008F6BF9" w:rsidP="002C2989">
      <w:pPr>
        <w:spacing w:before="240" w:line="360" w:lineRule="auto"/>
        <w:jc w:val="both"/>
        <w:rPr>
          <w:rFonts w:ascii="Aptos" w:hAnsi="Aptos" w:cstheme="minorHAnsi"/>
          <w:b/>
          <w:bCs/>
          <w:sz w:val="24"/>
          <w:szCs w:val="24"/>
        </w:rPr>
      </w:pPr>
      <w:r w:rsidRPr="00CE400D">
        <w:rPr>
          <w:rFonts w:ascii="Aptos" w:hAnsi="Aptos" w:cstheme="minorHAnsi"/>
          <w:b/>
          <w:bCs/>
          <w:sz w:val="24"/>
          <w:szCs w:val="24"/>
        </w:rPr>
        <w:t>3</w:t>
      </w:r>
      <w:r w:rsidR="0038645D" w:rsidRPr="00CE400D">
        <w:rPr>
          <w:rFonts w:ascii="Aptos" w:hAnsi="Aptos" w:cstheme="minorHAnsi"/>
          <w:b/>
          <w:bCs/>
          <w:sz w:val="24"/>
          <w:szCs w:val="24"/>
        </w:rPr>
        <w:t>.3</w:t>
      </w:r>
      <w:r w:rsidR="00047CC8" w:rsidRPr="00CE400D">
        <w:rPr>
          <w:rFonts w:ascii="Aptos" w:hAnsi="Aptos" w:cstheme="minorHAnsi"/>
          <w:b/>
          <w:bCs/>
          <w:sz w:val="24"/>
          <w:szCs w:val="24"/>
        </w:rPr>
        <w:t>.</w:t>
      </w:r>
      <w:r w:rsidR="0038645D" w:rsidRPr="00CE400D">
        <w:rPr>
          <w:rFonts w:ascii="Aptos" w:hAnsi="Aptos" w:cstheme="minorHAnsi"/>
          <w:b/>
          <w:bCs/>
          <w:sz w:val="24"/>
          <w:szCs w:val="24"/>
        </w:rPr>
        <w:t xml:space="preserve"> Advocacy and Resource Brokerage</w:t>
      </w:r>
    </w:p>
    <w:p w14:paraId="7460549E" w14:textId="77777777" w:rsidR="007919C8" w:rsidRPr="00CE400D" w:rsidRDefault="0038645D" w:rsidP="002C2989">
      <w:pPr>
        <w:spacing w:before="240" w:line="360" w:lineRule="auto"/>
        <w:jc w:val="both"/>
        <w:rPr>
          <w:rFonts w:ascii="Aptos" w:hAnsi="Aptos" w:cstheme="minorHAnsi"/>
          <w:sz w:val="24"/>
          <w:szCs w:val="24"/>
        </w:rPr>
      </w:pPr>
      <w:r w:rsidRPr="00CE400D">
        <w:rPr>
          <w:rFonts w:ascii="Aptos" w:hAnsi="Aptos" w:cstheme="minorHAnsi"/>
          <w:sz w:val="24"/>
          <w:szCs w:val="24"/>
        </w:rPr>
        <w:t>A fundamental social work role is that of an advocate. This can involve mediating with landlords to prevent eviction, appealing welfare benefit decisions, or challenging discriminatory practices within other services. Social workers also act as resource brokers, connecting individuals with community assets such as peer support groups, vocational training programs, or leisure activities that foster social inclusion.</w:t>
      </w:r>
      <w:r w:rsidR="008F6BF9" w:rsidRPr="00CE400D">
        <w:rPr>
          <w:rFonts w:ascii="Aptos" w:hAnsi="Aptos" w:cstheme="minorHAnsi"/>
          <w:sz w:val="24"/>
          <w:szCs w:val="24"/>
        </w:rPr>
        <w:t xml:space="preserve"> </w:t>
      </w:r>
      <w:r w:rsidR="007919C8" w:rsidRPr="00CE400D">
        <w:rPr>
          <w:rFonts w:ascii="Aptos" w:hAnsi="Aptos" w:cstheme="minorHAnsi"/>
          <w:sz w:val="24"/>
          <w:szCs w:val="24"/>
        </w:rPr>
        <w:t>(NHS England, 2023)</w:t>
      </w:r>
    </w:p>
    <w:p w14:paraId="2E9B33B3" w14:textId="77777777" w:rsidR="0038645D" w:rsidRPr="00CE400D" w:rsidRDefault="00047CC8" w:rsidP="00047CC8">
      <w:pPr>
        <w:pStyle w:val="ListParagraph"/>
        <w:numPr>
          <w:ilvl w:val="0"/>
          <w:numId w:val="1"/>
        </w:numPr>
        <w:spacing w:before="240" w:line="360" w:lineRule="auto"/>
        <w:jc w:val="both"/>
        <w:rPr>
          <w:rFonts w:ascii="Aptos" w:hAnsi="Aptos" w:cstheme="minorHAnsi"/>
          <w:b/>
          <w:bCs/>
          <w:sz w:val="24"/>
          <w:szCs w:val="24"/>
        </w:rPr>
      </w:pPr>
      <w:r w:rsidRPr="00CE400D">
        <w:rPr>
          <w:rFonts w:ascii="Aptos" w:hAnsi="Aptos" w:cstheme="minorHAnsi"/>
          <w:b/>
          <w:bCs/>
          <w:sz w:val="24"/>
          <w:szCs w:val="24"/>
        </w:rPr>
        <w:t>THE IMPERATIVE OF INTERPROFESSIONAL COLLABORATION</w:t>
      </w:r>
    </w:p>
    <w:p w14:paraId="131B2F13" w14:textId="77777777" w:rsidR="007919C8" w:rsidRPr="00CE400D" w:rsidRDefault="0038645D" w:rsidP="002C2989">
      <w:pPr>
        <w:spacing w:after="0" w:line="360" w:lineRule="auto"/>
        <w:jc w:val="both"/>
        <w:rPr>
          <w:rFonts w:ascii="Aptos" w:hAnsi="Aptos" w:cstheme="minorHAnsi"/>
          <w:sz w:val="24"/>
          <w:szCs w:val="24"/>
        </w:rPr>
      </w:pPr>
      <w:r w:rsidRPr="00CE400D">
        <w:rPr>
          <w:rFonts w:ascii="Aptos" w:hAnsi="Aptos" w:cstheme="minorHAnsi"/>
          <w:sz w:val="24"/>
          <w:szCs w:val="24"/>
        </w:rPr>
        <w:t>Mental health care is inherently multi-agency, involving psychiatrists, community psychiatric nurses, occupational therapists, psychologists, and peer support workers, among others. Effective collaboration is essential but often challenging. Social workers bring a distinct value to these teams through their expertise in social care law, safeguarding, and social determinants of health</w:t>
      </w:r>
      <w:r w:rsidR="007919C8" w:rsidRPr="00CE400D">
        <w:rPr>
          <w:rFonts w:ascii="Aptos" w:hAnsi="Aptos" w:cstheme="minorHAnsi"/>
          <w:sz w:val="24"/>
          <w:szCs w:val="24"/>
        </w:rPr>
        <w:t xml:space="preserve"> (Pinheiro et al., 2025)</w:t>
      </w:r>
      <w:r w:rsidR="003812E7" w:rsidRPr="00CE400D">
        <w:rPr>
          <w:rFonts w:ascii="Aptos" w:hAnsi="Aptos" w:cstheme="minorHAnsi"/>
          <w:sz w:val="24"/>
          <w:szCs w:val="24"/>
        </w:rPr>
        <w:t xml:space="preserve">. </w:t>
      </w:r>
    </w:p>
    <w:p w14:paraId="14E9A59A" w14:textId="77777777" w:rsidR="00DF152C" w:rsidRPr="00CE400D" w:rsidRDefault="0038645D" w:rsidP="002C2989">
      <w:pPr>
        <w:spacing w:after="0" w:line="360" w:lineRule="auto"/>
        <w:jc w:val="both"/>
        <w:rPr>
          <w:rFonts w:ascii="Aptos" w:hAnsi="Aptos" w:cstheme="minorHAnsi"/>
          <w:sz w:val="24"/>
          <w:szCs w:val="24"/>
        </w:rPr>
      </w:pPr>
      <w:r w:rsidRPr="00CE400D">
        <w:rPr>
          <w:rFonts w:ascii="Aptos" w:hAnsi="Aptos" w:cstheme="minorHAnsi"/>
          <w:sz w:val="24"/>
          <w:szCs w:val="24"/>
        </w:rPr>
        <w:lastRenderedPageBreak/>
        <w:t>However, interdisciplinary work can be fraught with tensions arising from different professional cultures, paradigms, and power dynamics. For instance, a medical model focused on medication adherence and risk containment may sometimes conflict with a social model prioritizing autonomy and community integration</w:t>
      </w:r>
      <w:r w:rsidR="00DF152C" w:rsidRPr="00CE400D">
        <w:rPr>
          <w:rFonts w:ascii="Aptos" w:hAnsi="Aptos" w:cstheme="minorHAnsi"/>
          <w:sz w:val="24"/>
          <w:szCs w:val="24"/>
        </w:rPr>
        <w:t xml:space="preserve"> (Disability Unit, Equality Hub, &amp; Department for Work and Pensions [DWP], 2021)</w:t>
      </w:r>
      <w:r w:rsidRPr="00CE400D">
        <w:rPr>
          <w:rFonts w:ascii="Aptos" w:hAnsi="Aptos" w:cstheme="minorHAnsi"/>
          <w:sz w:val="24"/>
          <w:szCs w:val="24"/>
        </w:rPr>
        <w:t>.</w:t>
      </w:r>
    </w:p>
    <w:p w14:paraId="6282B32D" w14:textId="77777777" w:rsidR="0038645D" w:rsidRPr="00CE400D" w:rsidRDefault="0038645D" w:rsidP="002C2989">
      <w:pPr>
        <w:spacing w:after="0" w:line="360" w:lineRule="auto"/>
        <w:jc w:val="both"/>
        <w:rPr>
          <w:rFonts w:ascii="Aptos" w:hAnsi="Aptos" w:cstheme="minorHAnsi"/>
          <w:sz w:val="24"/>
          <w:szCs w:val="24"/>
        </w:rPr>
      </w:pPr>
      <w:r w:rsidRPr="00CE400D">
        <w:rPr>
          <w:rFonts w:ascii="Aptos" w:hAnsi="Aptos" w:cstheme="minorHAnsi"/>
          <w:sz w:val="24"/>
          <w:szCs w:val="24"/>
        </w:rPr>
        <w:t xml:space="preserve">The social worker’s role is to champion the service user’s voice and social context within these team deliberations, ensuring that care plans are not only clinically sound but also socially just and personally meaningful. Models of interprofessional education and clear communication protocols, such as the Structured Professional Judgement Framework for risk assessment, are crucial for facilitating effective </w:t>
      </w:r>
      <w:r w:rsidR="003812E7" w:rsidRPr="00CE400D">
        <w:rPr>
          <w:rFonts w:ascii="Aptos" w:hAnsi="Aptos" w:cstheme="minorHAnsi"/>
          <w:sz w:val="24"/>
          <w:szCs w:val="24"/>
        </w:rPr>
        <w:t>teamwork</w:t>
      </w:r>
      <w:r w:rsidR="00DF152C" w:rsidRPr="00CE400D">
        <w:rPr>
          <w:rFonts w:ascii="Aptos" w:hAnsi="Aptos" w:cstheme="minorHAnsi"/>
          <w:sz w:val="24"/>
          <w:szCs w:val="24"/>
        </w:rPr>
        <w:t xml:space="preserve"> (Logan &amp; O'Connor, 2020).</w:t>
      </w:r>
    </w:p>
    <w:p w14:paraId="4B20A1F5" w14:textId="77777777" w:rsidR="0038645D" w:rsidRPr="00CE400D" w:rsidRDefault="00047CC8" w:rsidP="002C2989">
      <w:pPr>
        <w:spacing w:before="240" w:line="360" w:lineRule="auto"/>
        <w:jc w:val="both"/>
        <w:rPr>
          <w:rFonts w:ascii="Aptos" w:hAnsi="Aptos" w:cstheme="minorHAnsi"/>
          <w:b/>
          <w:bCs/>
          <w:sz w:val="24"/>
          <w:szCs w:val="24"/>
        </w:rPr>
      </w:pPr>
      <w:r w:rsidRPr="00CE400D">
        <w:rPr>
          <w:rFonts w:ascii="Aptos" w:hAnsi="Aptos" w:cstheme="minorHAnsi"/>
          <w:b/>
          <w:bCs/>
          <w:sz w:val="24"/>
          <w:szCs w:val="24"/>
        </w:rPr>
        <w:t xml:space="preserve">4.1. </w:t>
      </w:r>
      <w:r w:rsidR="0038645D" w:rsidRPr="00CE400D">
        <w:rPr>
          <w:rFonts w:ascii="Aptos" w:hAnsi="Aptos" w:cstheme="minorHAnsi"/>
          <w:b/>
          <w:bCs/>
          <w:sz w:val="24"/>
          <w:szCs w:val="24"/>
        </w:rPr>
        <w:t>Ethical Dilemmas and Statutory Responsibilities</w:t>
      </w:r>
    </w:p>
    <w:p w14:paraId="3DF22153" w14:textId="55C52523" w:rsidR="0038645D" w:rsidRPr="00CE400D" w:rsidRDefault="0038645D" w:rsidP="002C2989">
      <w:pPr>
        <w:spacing w:before="240" w:line="360" w:lineRule="auto"/>
        <w:jc w:val="both"/>
        <w:rPr>
          <w:rFonts w:ascii="Aptos" w:hAnsi="Aptos" w:cstheme="minorHAnsi"/>
          <w:sz w:val="24"/>
          <w:szCs w:val="24"/>
        </w:rPr>
      </w:pPr>
      <w:r w:rsidRPr="00CE400D">
        <w:rPr>
          <w:rFonts w:ascii="Aptos" w:hAnsi="Aptos" w:cstheme="minorHAnsi"/>
          <w:sz w:val="24"/>
          <w:szCs w:val="24"/>
        </w:rPr>
        <w:t>Mental health social work</w:t>
      </w:r>
      <w:r w:rsidR="00C7648D" w:rsidRPr="00CE400D">
        <w:rPr>
          <w:rFonts w:ascii="Aptos" w:hAnsi="Aptos" w:cstheme="minorHAnsi"/>
          <w:sz w:val="24"/>
          <w:szCs w:val="24"/>
        </w:rPr>
        <w:t>er</w:t>
      </w:r>
      <w:r w:rsidRPr="00CE400D">
        <w:rPr>
          <w:rFonts w:ascii="Aptos" w:hAnsi="Aptos" w:cstheme="minorHAnsi"/>
          <w:sz w:val="24"/>
          <w:szCs w:val="24"/>
        </w:rPr>
        <w:t xml:space="preserve"> is practiced within a complex legal and ethical framework, often requiring navigation of profound dilemmas</w:t>
      </w:r>
      <w:r w:rsidR="003812E7" w:rsidRPr="00CE400D">
        <w:rPr>
          <w:rFonts w:ascii="Aptos" w:hAnsi="Aptos" w:cstheme="minorHAnsi"/>
          <w:sz w:val="24"/>
          <w:szCs w:val="24"/>
        </w:rPr>
        <w:t xml:space="preserve"> such as:</w:t>
      </w:r>
    </w:p>
    <w:p w14:paraId="0CF54785" w14:textId="77777777" w:rsidR="0038645D" w:rsidRPr="00CE400D" w:rsidRDefault="00047CC8" w:rsidP="002C2989">
      <w:pPr>
        <w:spacing w:before="240" w:line="360" w:lineRule="auto"/>
        <w:jc w:val="both"/>
        <w:rPr>
          <w:rFonts w:ascii="Aptos" w:hAnsi="Aptos" w:cstheme="minorHAnsi"/>
          <w:b/>
          <w:bCs/>
          <w:sz w:val="24"/>
          <w:szCs w:val="24"/>
        </w:rPr>
      </w:pPr>
      <w:r w:rsidRPr="00CE400D">
        <w:rPr>
          <w:rFonts w:ascii="Aptos" w:hAnsi="Aptos" w:cstheme="minorHAnsi"/>
          <w:b/>
          <w:bCs/>
          <w:sz w:val="24"/>
          <w:szCs w:val="24"/>
        </w:rPr>
        <w:t xml:space="preserve">4.2. </w:t>
      </w:r>
      <w:r w:rsidR="0038645D" w:rsidRPr="00CE400D">
        <w:rPr>
          <w:rFonts w:ascii="Aptos" w:hAnsi="Aptos" w:cstheme="minorHAnsi"/>
          <w:b/>
          <w:bCs/>
          <w:sz w:val="24"/>
          <w:szCs w:val="24"/>
        </w:rPr>
        <w:t>Balancing Risk and Autonomy</w:t>
      </w:r>
    </w:p>
    <w:p w14:paraId="38C56F0A" w14:textId="77777777" w:rsidR="00047CC8" w:rsidRPr="00CE400D" w:rsidRDefault="0038645D" w:rsidP="002C2989">
      <w:pPr>
        <w:spacing w:before="240" w:line="360" w:lineRule="auto"/>
        <w:jc w:val="both"/>
        <w:rPr>
          <w:rFonts w:ascii="Aptos" w:hAnsi="Aptos" w:cstheme="minorHAnsi"/>
          <w:sz w:val="24"/>
          <w:szCs w:val="24"/>
        </w:rPr>
      </w:pPr>
      <w:r w:rsidRPr="00CE400D">
        <w:rPr>
          <w:rFonts w:ascii="Aptos" w:hAnsi="Aptos" w:cstheme="minorHAnsi"/>
          <w:sz w:val="24"/>
          <w:szCs w:val="24"/>
        </w:rPr>
        <w:t>A central and persistent tension lies in balancing the duty of care with the principle of self-determination. The use of coercive powers under mental health legislation (e.g., the Mental Health Act 1983 in England and Wales) represents the most extreme point of this tension. Approved Mental Health Professionals (AMHPs), who are often experienced social workers, have a specific statutory responsibility to coordinate Mental Health Act assessments. They are required to bring a social perspective to the decision-making process, considering the least restrictive alternative and the wider social context of the individual’s life, in counterpoint to the medical focus of the accompanying doctors</w:t>
      </w:r>
      <w:r w:rsidR="00047CC8" w:rsidRPr="00CE400D">
        <w:rPr>
          <w:rFonts w:ascii="Aptos" w:hAnsi="Aptos" w:cstheme="minorHAnsi"/>
          <w:sz w:val="24"/>
          <w:szCs w:val="24"/>
        </w:rPr>
        <w:t xml:space="preserve"> </w:t>
      </w:r>
      <w:r w:rsidR="001110D5" w:rsidRPr="00CE400D">
        <w:rPr>
          <w:rFonts w:ascii="Aptos" w:hAnsi="Aptos" w:cstheme="minorHAnsi"/>
          <w:sz w:val="24"/>
          <w:szCs w:val="24"/>
        </w:rPr>
        <w:t>(Hemmington, 2024</w:t>
      </w:r>
      <w:r w:rsidRPr="00CE400D">
        <w:rPr>
          <w:rFonts w:ascii="Aptos" w:hAnsi="Aptos" w:cstheme="minorHAnsi"/>
          <w:sz w:val="24"/>
          <w:szCs w:val="24"/>
        </w:rPr>
        <w:t>.</w:t>
      </w:r>
      <w:r w:rsidR="003812E7" w:rsidRPr="00CE400D">
        <w:rPr>
          <w:rFonts w:ascii="Aptos" w:hAnsi="Aptos" w:cstheme="minorHAnsi"/>
          <w:sz w:val="24"/>
          <w:szCs w:val="24"/>
        </w:rPr>
        <w:t xml:space="preserve"> </w:t>
      </w:r>
    </w:p>
    <w:p w14:paraId="0941B58B" w14:textId="77777777" w:rsidR="0038645D" w:rsidRPr="00CE400D" w:rsidRDefault="00047CC8" w:rsidP="002C2989">
      <w:pPr>
        <w:spacing w:before="240" w:line="360" w:lineRule="auto"/>
        <w:jc w:val="both"/>
        <w:rPr>
          <w:rFonts w:ascii="Aptos" w:hAnsi="Aptos" w:cstheme="minorHAnsi"/>
          <w:b/>
          <w:bCs/>
          <w:sz w:val="24"/>
          <w:szCs w:val="24"/>
        </w:rPr>
      </w:pPr>
      <w:r w:rsidRPr="00CE400D">
        <w:rPr>
          <w:rFonts w:ascii="Aptos" w:hAnsi="Aptos" w:cstheme="minorHAnsi"/>
          <w:b/>
          <w:bCs/>
          <w:sz w:val="24"/>
          <w:szCs w:val="24"/>
        </w:rPr>
        <w:t>4.3.</w:t>
      </w:r>
      <w:r w:rsidR="0038645D" w:rsidRPr="00CE400D">
        <w:rPr>
          <w:rFonts w:ascii="Aptos" w:hAnsi="Aptos" w:cstheme="minorHAnsi"/>
          <w:b/>
          <w:bCs/>
          <w:sz w:val="24"/>
          <w:szCs w:val="24"/>
        </w:rPr>
        <w:t xml:space="preserve"> Safeguarding and Capacity</w:t>
      </w:r>
    </w:p>
    <w:p w14:paraId="38DE3FFB" w14:textId="77777777" w:rsidR="00C40FFA" w:rsidRPr="00CE400D" w:rsidRDefault="0038645D" w:rsidP="002C2989">
      <w:pPr>
        <w:spacing w:after="0" w:line="360" w:lineRule="auto"/>
        <w:jc w:val="both"/>
        <w:rPr>
          <w:rFonts w:ascii="Aptos" w:hAnsi="Aptos" w:cstheme="minorHAnsi"/>
          <w:sz w:val="24"/>
          <w:szCs w:val="24"/>
        </w:rPr>
      </w:pPr>
      <w:r w:rsidRPr="00CE400D">
        <w:rPr>
          <w:rFonts w:ascii="Aptos" w:hAnsi="Aptos" w:cstheme="minorHAnsi"/>
          <w:sz w:val="24"/>
          <w:szCs w:val="24"/>
        </w:rPr>
        <w:t xml:space="preserve">Social workers are also key agents in adult safeguarding, responding to situations of abuse or neglect. This work is guided by principles of proportionality and person-led outcomes. The Mental Capacity Act 2005 (in England and Wales) provides a legal framework for acting and </w:t>
      </w:r>
      <w:r w:rsidRPr="00CE400D">
        <w:rPr>
          <w:rFonts w:ascii="Aptos" w:hAnsi="Aptos" w:cstheme="minorHAnsi"/>
          <w:sz w:val="24"/>
          <w:szCs w:val="24"/>
        </w:rPr>
        <w:lastRenderedPageBreak/>
        <w:t>making decisions on behalf of individuals who lack the capacity to make specific decisions for themselves. Social workers must skillfully apply the Act’s core principles—starting with the presumption of capacity—and conduct nuanced capacity assessments that are decision-specific and time-specific</w:t>
      </w:r>
      <w:r w:rsidR="00C40FFA" w:rsidRPr="00CE400D">
        <w:rPr>
          <w:rFonts w:ascii="Aptos" w:hAnsi="Aptos" w:cstheme="minorHAnsi"/>
          <w:sz w:val="24"/>
          <w:szCs w:val="24"/>
        </w:rPr>
        <w:t xml:space="preserve"> (Mental Capacity Act 2005)</w:t>
      </w:r>
      <w:r w:rsidRPr="00CE400D">
        <w:rPr>
          <w:rFonts w:ascii="Aptos" w:hAnsi="Aptos" w:cstheme="minorHAnsi"/>
          <w:sz w:val="24"/>
          <w:szCs w:val="24"/>
        </w:rPr>
        <w:t>.</w:t>
      </w:r>
      <w:r w:rsidR="003812E7" w:rsidRPr="00CE400D">
        <w:rPr>
          <w:rFonts w:ascii="Aptos" w:hAnsi="Aptos" w:cstheme="minorHAnsi"/>
          <w:sz w:val="24"/>
          <w:szCs w:val="24"/>
        </w:rPr>
        <w:t xml:space="preserve"> </w:t>
      </w:r>
    </w:p>
    <w:p w14:paraId="414959A6" w14:textId="5439F71E" w:rsidR="00047CC8" w:rsidRPr="00CE400D" w:rsidRDefault="0038645D" w:rsidP="002C2989">
      <w:pPr>
        <w:spacing w:after="0" w:line="360" w:lineRule="auto"/>
        <w:jc w:val="both"/>
        <w:rPr>
          <w:rFonts w:ascii="Aptos" w:hAnsi="Aptos" w:cstheme="minorHAnsi"/>
          <w:sz w:val="24"/>
          <w:szCs w:val="24"/>
        </w:rPr>
      </w:pPr>
      <w:r w:rsidRPr="00CE400D">
        <w:rPr>
          <w:rFonts w:ascii="Aptos" w:hAnsi="Aptos" w:cstheme="minorHAnsi"/>
          <w:sz w:val="24"/>
          <w:szCs w:val="24"/>
        </w:rPr>
        <w:t xml:space="preserve">This requires </w:t>
      </w:r>
      <w:r w:rsidR="00A1408E" w:rsidRPr="00CE400D">
        <w:rPr>
          <w:rFonts w:ascii="Aptos" w:hAnsi="Aptos" w:cstheme="minorHAnsi"/>
          <w:sz w:val="24"/>
          <w:szCs w:val="24"/>
        </w:rPr>
        <w:t>delicate</w:t>
      </w:r>
      <w:r w:rsidRPr="00CE400D">
        <w:rPr>
          <w:rFonts w:ascii="Aptos" w:hAnsi="Aptos" w:cstheme="minorHAnsi"/>
          <w:sz w:val="24"/>
          <w:szCs w:val="24"/>
        </w:rPr>
        <w:t xml:space="preserve"> practice of supporting autonomy while intervening to protect vulnerable adults from harm</w:t>
      </w:r>
    </w:p>
    <w:p w14:paraId="36010A80" w14:textId="77777777" w:rsidR="00826EE7" w:rsidRPr="00CE400D" w:rsidRDefault="00826EE7" w:rsidP="002C2989">
      <w:pPr>
        <w:spacing w:after="0" w:line="360" w:lineRule="auto"/>
        <w:jc w:val="both"/>
        <w:rPr>
          <w:rFonts w:ascii="Aptos" w:hAnsi="Aptos" w:cstheme="minorHAnsi"/>
          <w:sz w:val="24"/>
          <w:szCs w:val="24"/>
        </w:rPr>
      </w:pPr>
    </w:p>
    <w:p w14:paraId="60FC9821" w14:textId="77777777" w:rsidR="0038645D" w:rsidRPr="00CE400D" w:rsidRDefault="00826EE7" w:rsidP="00826EE7">
      <w:pPr>
        <w:pStyle w:val="ListParagraph"/>
        <w:numPr>
          <w:ilvl w:val="0"/>
          <w:numId w:val="1"/>
        </w:numPr>
        <w:spacing w:after="0" w:line="360" w:lineRule="auto"/>
        <w:jc w:val="both"/>
        <w:rPr>
          <w:rFonts w:ascii="Aptos" w:hAnsi="Aptos" w:cstheme="minorHAnsi"/>
          <w:b/>
          <w:bCs/>
          <w:sz w:val="24"/>
          <w:szCs w:val="24"/>
        </w:rPr>
      </w:pPr>
      <w:r w:rsidRPr="00CE400D">
        <w:rPr>
          <w:rFonts w:ascii="Aptos" w:hAnsi="Aptos" w:cstheme="minorHAnsi"/>
          <w:b/>
          <w:bCs/>
          <w:sz w:val="24"/>
          <w:szCs w:val="24"/>
        </w:rPr>
        <w:t>CONTEMPORARY CHALLENGES AND EMERGING INNOVATIONS</w:t>
      </w:r>
    </w:p>
    <w:p w14:paraId="55651CB4" w14:textId="77777777" w:rsidR="00CA2C8C" w:rsidRPr="00CE400D" w:rsidRDefault="0038645D" w:rsidP="002C2989">
      <w:pPr>
        <w:spacing w:before="240" w:line="360" w:lineRule="auto"/>
        <w:jc w:val="both"/>
        <w:rPr>
          <w:rFonts w:ascii="Aptos" w:hAnsi="Aptos" w:cstheme="minorHAnsi"/>
          <w:sz w:val="24"/>
          <w:szCs w:val="24"/>
        </w:rPr>
      </w:pPr>
      <w:r w:rsidRPr="00CE400D">
        <w:rPr>
          <w:rFonts w:ascii="Aptos" w:hAnsi="Aptos" w:cstheme="minorHAnsi"/>
          <w:sz w:val="24"/>
          <w:szCs w:val="24"/>
        </w:rPr>
        <w:t>The context of practice is constantly shifting, presenting both significant challenges and opportunities for innovation.</w:t>
      </w:r>
    </w:p>
    <w:p w14:paraId="230B02C1" w14:textId="77777777" w:rsidR="0038645D" w:rsidRPr="00CE400D" w:rsidRDefault="0038645D" w:rsidP="002C2989">
      <w:pPr>
        <w:spacing w:before="240" w:line="360" w:lineRule="auto"/>
        <w:jc w:val="both"/>
        <w:rPr>
          <w:rFonts w:ascii="Aptos" w:hAnsi="Aptos" w:cstheme="minorHAnsi"/>
          <w:b/>
          <w:bCs/>
          <w:sz w:val="24"/>
          <w:szCs w:val="24"/>
        </w:rPr>
      </w:pPr>
      <w:r w:rsidRPr="00CE400D">
        <w:rPr>
          <w:rFonts w:ascii="Aptos" w:hAnsi="Aptos" w:cstheme="minorHAnsi"/>
          <w:b/>
          <w:bCs/>
          <w:sz w:val="24"/>
          <w:szCs w:val="24"/>
        </w:rPr>
        <w:t>5.1 The Impact of Austerity and System Pressures</w:t>
      </w:r>
      <w:r w:rsidR="002A34E0" w:rsidRPr="00CE400D">
        <w:rPr>
          <w:rFonts w:ascii="Aptos" w:hAnsi="Aptos" w:cstheme="minorHAnsi"/>
          <w:b/>
          <w:bCs/>
          <w:sz w:val="24"/>
          <w:szCs w:val="24"/>
        </w:rPr>
        <w:t xml:space="preserve"> </w:t>
      </w:r>
      <w:r w:rsidR="002A34E0" w:rsidRPr="00CE400D">
        <w:rPr>
          <w:rFonts w:ascii="Aptos" w:hAnsi="Aptos" w:cstheme="minorHAnsi"/>
          <w:sz w:val="24"/>
          <w:szCs w:val="24"/>
        </w:rPr>
        <w:t>(Cummins, 2018)</w:t>
      </w:r>
    </w:p>
    <w:p w14:paraId="78756606" w14:textId="77777777" w:rsidR="0038645D" w:rsidRPr="00CE400D" w:rsidRDefault="0038645D" w:rsidP="002C2989">
      <w:pPr>
        <w:spacing w:before="240" w:line="360" w:lineRule="auto"/>
        <w:jc w:val="both"/>
        <w:rPr>
          <w:rFonts w:ascii="Aptos" w:hAnsi="Aptos" w:cstheme="minorHAnsi"/>
          <w:sz w:val="24"/>
          <w:szCs w:val="24"/>
        </w:rPr>
      </w:pPr>
      <w:r w:rsidRPr="00CE400D">
        <w:rPr>
          <w:rFonts w:ascii="Aptos" w:hAnsi="Aptos" w:cstheme="minorHAnsi"/>
          <w:sz w:val="24"/>
          <w:szCs w:val="24"/>
        </w:rPr>
        <w:t>Over the past decade, mental health services have operated under severe financial constraints due to austerity policies. Cuts to local authority budgets have led to reduced community resources, longer waiting times, and higher thresholds for accessing social care support</w:t>
      </w:r>
      <w:r w:rsidR="002A34E0" w:rsidRPr="00CE400D">
        <w:rPr>
          <w:rFonts w:ascii="Aptos" w:hAnsi="Aptos" w:cstheme="minorHAnsi"/>
          <w:sz w:val="24"/>
          <w:szCs w:val="24"/>
        </w:rPr>
        <w:t xml:space="preserve"> </w:t>
      </w:r>
      <w:r w:rsidR="00183804" w:rsidRPr="00CE400D">
        <w:rPr>
          <w:rFonts w:ascii="Aptos" w:hAnsi="Aptos" w:cstheme="minorHAnsi"/>
          <w:sz w:val="24"/>
          <w:szCs w:val="24"/>
        </w:rPr>
        <w:t>(Lowe &amp; DeVerteuil, 2020)</w:t>
      </w:r>
      <w:r w:rsidRPr="00CE400D">
        <w:rPr>
          <w:rFonts w:ascii="Aptos" w:hAnsi="Aptos" w:cstheme="minorHAnsi"/>
          <w:sz w:val="24"/>
          <w:szCs w:val="24"/>
        </w:rPr>
        <w:t>.</w:t>
      </w:r>
      <w:r w:rsidR="00F6740D" w:rsidRPr="00CE400D">
        <w:rPr>
          <w:rFonts w:ascii="Aptos" w:hAnsi="Aptos" w:cstheme="minorHAnsi"/>
          <w:sz w:val="24"/>
          <w:szCs w:val="24"/>
        </w:rPr>
        <w:t xml:space="preserve"> </w:t>
      </w:r>
      <w:r w:rsidRPr="00CE400D">
        <w:rPr>
          <w:rFonts w:ascii="Aptos" w:hAnsi="Aptos" w:cstheme="minorHAnsi"/>
          <w:sz w:val="24"/>
          <w:szCs w:val="24"/>
        </w:rPr>
        <w:t>This has increased the caseloads and moral distress of social workers, who find themselves unable to provide the level of support they believe is necessary, often acting as "gatekeepers" to scarce resources rather than enablers of support.</w:t>
      </w:r>
    </w:p>
    <w:p w14:paraId="4AD7F20F" w14:textId="77777777" w:rsidR="0038645D" w:rsidRPr="00CE400D" w:rsidRDefault="0038645D" w:rsidP="002C2989">
      <w:pPr>
        <w:spacing w:before="240" w:line="360" w:lineRule="auto"/>
        <w:jc w:val="both"/>
        <w:rPr>
          <w:rFonts w:ascii="Aptos" w:hAnsi="Aptos" w:cstheme="minorHAnsi"/>
          <w:b/>
          <w:bCs/>
          <w:sz w:val="24"/>
          <w:szCs w:val="24"/>
        </w:rPr>
      </w:pPr>
      <w:r w:rsidRPr="00CE400D">
        <w:rPr>
          <w:rFonts w:ascii="Aptos" w:hAnsi="Aptos" w:cstheme="minorHAnsi"/>
          <w:b/>
          <w:bCs/>
          <w:sz w:val="24"/>
          <w:szCs w:val="24"/>
        </w:rPr>
        <w:t>5.2 The Rise of Digital and Telehealth Practices</w:t>
      </w:r>
    </w:p>
    <w:p w14:paraId="596E0948" w14:textId="77777777" w:rsidR="0038645D" w:rsidRPr="00CE400D" w:rsidRDefault="0038645D" w:rsidP="002C2989">
      <w:pPr>
        <w:spacing w:before="240" w:line="360" w:lineRule="auto"/>
        <w:jc w:val="both"/>
        <w:rPr>
          <w:rFonts w:ascii="Aptos" w:hAnsi="Aptos" w:cstheme="minorHAnsi"/>
          <w:sz w:val="24"/>
          <w:szCs w:val="24"/>
        </w:rPr>
      </w:pPr>
      <w:r w:rsidRPr="00CE400D">
        <w:rPr>
          <w:rFonts w:ascii="Aptos" w:hAnsi="Aptos" w:cstheme="minorHAnsi"/>
          <w:sz w:val="24"/>
          <w:szCs w:val="24"/>
        </w:rPr>
        <w:t>The COVID-19 pandemic accelerated the adoption of digital technologies in mental health care. Telehealth, video conferencing, and digital peer support platforms have offered new avenues for maintaining contact and providing services</w:t>
      </w:r>
      <w:r w:rsidR="006A71EB" w:rsidRPr="00CE400D">
        <w:rPr>
          <w:rFonts w:ascii="Aptos" w:hAnsi="Aptos" w:cstheme="minorHAnsi"/>
          <w:sz w:val="24"/>
          <w:szCs w:val="24"/>
        </w:rPr>
        <w:t xml:space="preserve"> (Macdonald &amp; Collins, 2025)</w:t>
      </w:r>
      <w:r w:rsidRPr="00CE400D">
        <w:rPr>
          <w:rFonts w:ascii="Aptos" w:hAnsi="Aptos" w:cstheme="minorHAnsi"/>
          <w:sz w:val="24"/>
          <w:szCs w:val="24"/>
        </w:rPr>
        <w:t>.</w:t>
      </w:r>
      <w:r w:rsidR="006A71EB" w:rsidRPr="00CE400D">
        <w:rPr>
          <w:rFonts w:ascii="Aptos" w:hAnsi="Aptos" w:cstheme="minorHAnsi"/>
          <w:sz w:val="24"/>
          <w:szCs w:val="24"/>
        </w:rPr>
        <w:t xml:space="preserve"> </w:t>
      </w:r>
      <w:r w:rsidRPr="00CE400D">
        <w:rPr>
          <w:rFonts w:ascii="Aptos" w:hAnsi="Aptos" w:cstheme="minorHAnsi"/>
          <w:sz w:val="24"/>
          <w:szCs w:val="24"/>
        </w:rPr>
        <w:t>While this can increase accessibility for some, it also risks exacerbating digital exclusion for those who lack the necessary technology, skills, or confidence, such as older adults or those with severe poverty. Social workers must now develop digital literacy and navigate the ethical complexities of providing support remotely, including issues of confidentiality and assessing risk without being physically present.</w:t>
      </w:r>
    </w:p>
    <w:p w14:paraId="76FDF180" w14:textId="77777777" w:rsidR="0038645D" w:rsidRPr="00CE400D" w:rsidRDefault="002B2203" w:rsidP="002C2989">
      <w:pPr>
        <w:spacing w:before="240" w:line="360" w:lineRule="auto"/>
        <w:jc w:val="both"/>
        <w:rPr>
          <w:rFonts w:ascii="Aptos" w:hAnsi="Aptos" w:cstheme="minorHAnsi"/>
          <w:b/>
          <w:bCs/>
          <w:sz w:val="24"/>
          <w:szCs w:val="24"/>
        </w:rPr>
      </w:pPr>
      <w:r w:rsidRPr="00CE400D">
        <w:rPr>
          <w:rFonts w:ascii="Aptos" w:hAnsi="Aptos" w:cstheme="minorHAnsi"/>
          <w:b/>
          <w:bCs/>
          <w:sz w:val="24"/>
          <w:szCs w:val="24"/>
        </w:rPr>
        <w:lastRenderedPageBreak/>
        <w:t xml:space="preserve">6.0 </w:t>
      </w:r>
      <w:r w:rsidR="0038645D" w:rsidRPr="00CE400D">
        <w:rPr>
          <w:rFonts w:ascii="Aptos" w:hAnsi="Aptos" w:cstheme="minorHAnsi"/>
          <w:b/>
          <w:bCs/>
          <w:sz w:val="24"/>
          <w:szCs w:val="24"/>
        </w:rPr>
        <w:t>Conclusion</w:t>
      </w:r>
    </w:p>
    <w:p w14:paraId="0726AAEC" w14:textId="77777777" w:rsidR="0038645D" w:rsidRPr="00CE400D" w:rsidRDefault="0038645D" w:rsidP="002C2989">
      <w:pPr>
        <w:spacing w:before="240" w:line="360" w:lineRule="auto"/>
        <w:jc w:val="both"/>
        <w:rPr>
          <w:rFonts w:ascii="Aptos" w:hAnsi="Aptos" w:cstheme="minorHAnsi"/>
          <w:sz w:val="24"/>
          <w:szCs w:val="24"/>
        </w:rPr>
      </w:pPr>
      <w:r w:rsidRPr="00CE400D">
        <w:rPr>
          <w:rFonts w:ascii="Aptos" w:hAnsi="Aptos" w:cstheme="minorHAnsi"/>
          <w:sz w:val="24"/>
          <w:szCs w:val="24"/>
        </w:rPr>
        <w:t>The working practices of social workers caring for adults with mental health challenges are characterized by a dynamic and complex integration of skills, knowledge, and values. Moving beyond a historical focus on containment and case management, the contemporary social worker operates as a recovery-oriented practitioner, a trauma-informed ally, a skilled assessor, a tenacious advocate, and an ethical navigator of legal and systemic complexities. Their practice is grounded in a commitment to social justice and the person-in-environment perspective, ensuring that the social determinants of mental distress—poverty, inequality, isolation, and stigma—are not overlooked.</w:t>
      </w:r>
    </w:p>
    <w:p w14:paraId="7177D71B" w14:textId="5201836E" w:rsidR="0038645D" w:rsidRPr="00CE400D" w:rsidRDefault="0038645D" w:rsidP="002C2989">
      <w:pPr>
        <w:spacing w:before="240" w:line="360" w:lineRule="auto"/>
        <w:jc w:val="both"/>
        <w:rPr>
          <w:rFonts w:ascii="Aptos" w:hAnsi="Aptos" w:cstheme="minorHAnsi"/>
          <w:sz w:val="24"/>
          <w:szCs w:val="24"/>
        </w:rPr>
      </w:pPr>
      <w:r w:rsidRPr="00CE400D">
        <w:rPr>
          <w:rFonts w:ascii="Aptos" w:hAnsi="Aptos" w:cstheme="minorHAnsi"/>
          <w:sz w:val="24"/>
          <w:szCs w:val="24"/>
        </w:rPr>
        <w:t xml:space="preserve">While the challenges are significant, from systemic austerity to the ethical tensions of coercion, the profession continues to adapt. By embracing new evidence, collaborating effectively across disciplines, leveraging technology thoughtfully, and centering the expertise of lived experience, social workers remain indispensable in supporting adults with mental health challenges to build lives of dignity, meaning, and connection within their communities. The future of this practice will depend on continued advocacy for adequately resourced, </w:t>
      </w:r>
      <w:r w:rsidR="00A762AE" w:rsidRPr="00CE400D">
        <w:rPr>
          <w:rFonts w:ascii="Aptos" w:hAnsi="Aptos" w:cstheme="minorHAnsi"/>
          <w:sz w:val="24"/>
          <w:szCs w:val="24"/>
        </w:rPr>
        <w:t>socially oriented</w:t>
      </w:r>
      <w:r w:rsidRPr="00CE400D">
        <w:rPr>
          <w:rFonts w:ascii="Aptos" w:hAnsi="Aptos" w:cstheme="minorHAnsi"/>
          <w:sz w:val="24"/>
          <w:szCs w:val="24"/>
        </w:rPr>
        <w:t xml:space="preserve"> services that truly embody the principles of recovery and human rights.</w:t>
      </w:r>
    </w:p>
    <w:p w14:paraId="1D840991" w14:textId="77777777" w:rsidR="0091706F" w:rsidRPr="00CE400D" w:rsidRDefault="0091706F" w:rsidP="002C2989">
      <w:pPr>
        <w:spacing w:before="240" w:line="360" w:lineRule="auto"/>
        <w:jc w:val="both"/>
        <w:rPr>
          <w:rFonts w:ascii="Aptos" w:hAnsi="Aptos" w:cstheme="minorHAnsi"/>
          <w:sz w:val="24"/>
          <w:szCs w:val="24"/>
        </w:rPr>
      </w:pPr>
    </w:p>
    <w:p w14:paraId="6D6FC296" w14:textId="77777777" w:rsidR="002A34E0" w:rsidRPr="00CE400D" w:rsidRDefault="002A34E0" w:rsidP="002C2989">
      <w:pPr>
        <w:spacing w:before="240" w:line="360" w:lineRule="auto"/>
        <w:jc w:val="both"/>
        <w:rPr>
          <w:rFonts w:ascii="Aptos" w:hAnsi="Aptos" w:cstheme="minorHAnsi"/>
          <w:sz w:val="24"/>
          <w:szCs w:val="24"/>
        </w:rPr>
      </w:pPr>
    </w:p>
    <w:p w14:paraId="7388D632" w14:textId="77777777" w:rsidR="002A34E0" w:rsidRPr="00CE400D" w:rsidRDefault="002A34E0" w:rsidP="002C2989">
      <w:pPr>
        <w:spacing w:before="240" w:line="360" w:lineRule="auto"/>
        <w:jc w:val="both"/>
        <w:rPr>
          <w:rFonts w:ascii="Aptos" w:hAnsi="Aptos" w:cs="Times New Roman"/>
          <w:sz w:val="24"/>
          <w:szCs w:val="24"/>
        </w:rPr>
      </w:pPr>
    </w:p>
    <w:p w14:paraId="65298535" w14:textId="77777777" w:rsidR="0091706F" w:rsidRPr="00CE400D" w:rsidRDefault="0091706F" w:rsidP="002C2989">
      <w:pPr>
        <w:spacing w:before="240" w:line="360" w:lineRule="auto"/>
        <w:jc w:val="both"/>
        <w:rPr>
          <w:rFonts w:ascii="Aptos" w:hAnsi="Aptos" w:cs="Times New Roman"/>
          <w:b/>
          <w:bCs/>
          <w:sz w:val="24"/>
          <w:szCs w:val="24"/>
        </w:rPr>
      </w:pPr>
      <w:r w:rsidRPr="00CE400D">
        <w:rPr>
          <w:rFonts w:ascii="Aptos" w:hAnsi="Aptos" w:cs="Times New Roman"/>
          <w:b/>
          <w:bCs/>
          <w:sz w:val="24"/>
          <w:szCs w:val="24"/>
        </w:rPr>
        <w:t xml:space="preserve">References </w:t>
      </w:r>
    </w:p>
    <w:p w14:paraId="04E840D0" w14:textId="77777777" w:rsidR="0091706F" w:rsidRPr="00CE400D" w:rsidRDefault="002C2989" w:rsidP="002C2989">
      <w:pPr>
        <w:spacing w:before="240" w:line="360" w:lineRule="auto"/>
        <w:jc w:val="both"/>
        <w:rPr>
          <w:rFonts w:ascii="Aptos" w:hAnsi="Aptos" w:cs="Times New Roman"/>
          <w:sz w:val="24"/>
          <w:szCs w:val="24"/>
        </w:rPr>
      </w:pPr>
      <w:r w:rsidRPr="00CE400D">
        <w:rPr>
          <w:rFonts w:ascii="Aptos" w:hAnsi="Aptos" w:cs="Times New Roman"/>
          <w:sz w:val="24"/>
          <w:szCs w:val="24"/>
        </w:rPr>
        <w:t xml:space="preserve">National Association of Social Workers. (2021). National Association of Social Workers Code of Ethics. </w:t>
      </w:r>
      <w:hyperlink r:id="rId6" w:history="1">
        <w:r w:rsidRPr="00CE400D">
          <w:rPr>
            <w:rStyle w:val="Hyperlink"/>
            <w:rFonts w:ascii="Aptos" w:hAnsi="Aptos" w:cs="Times New Roman"/>
            <w:sz w:val="24"/>
            <w:szCs w:val="24"/>
          </w:rPr>
          <w:t>https://www.socialworkers.org/About/Ethics/Code-of-Ethics/Code-of-Ethics-English</w:t>
        </w:r>
      </w:hyperlink>
    </w:p>
    <w:p w14:paraId="5D0B1705" w14:textId="77777777" w:rsidR="0091706F" w:rsidRPr="00CE400D" w:rsidRDefault="0091706F" w:rsidP="002C2989">
      <w:pPr>
        <w:spacing w:before="240" w:line="360" w:lineRule="auto"/>
        <w:jc w:val="both"/>
        <w:rPr>
          <w:rFonts w:ascii="Aptos" w:hAnsi="Aptos" w:cs="Times New Roman"/>
          <w:sz w:val="24"/>
          <w:szCs w:val="24"/>
        </w:rPr>
      </w:pPr>
      <w:r w:rsidRPr="00CE400D">
        <w:rPr>
          <w:rFonts w:ascii="Aptos" w:hAnsi="Aptos" w:cs="Times New Roman"/>
          <w:sz w:val="24"/>
          <w:szCs w:val="24"/>
        </w:rPr>
        <w:lastRenderedPageBreak/>
        <w:t xml:space="preserve">Wainberg, M. L., Scorza, P., Shultz, J. M., Helpman, L., Mootz, J. J., Johnson, K. A., Neria, Y., Bradford, J. E., Oquendo, M. A., &amp; Arbuckle, M. R. (2017). Challenges and Opportunities in Global Mental Health: </w:t>
      </w:r>
      <w:proofErr w:type="gramStart"/>
      <w:r w:rsidRPr="00CE400D">
        <w:rPr>
          <w:rFonts w:ascii="Aptos" w:hAnsi="Aptos" w:cs="Times New Roman"/>
          <w:sz w:val="24"/>
          <w:szCs w:val="24"/>
        </w:rPr>
        <w:t>a</w:t>
      </w:r>
      <w:proofErr w:type="gramEnd"/>
      <w:r w:rsidRPr="00CE400D">
        <w:rPr>
          <w:rFonts w:ascii="Aptos" w:hAnsi="Aptos" w:cs="Times New Roman"/>
          <w:sz w:val="24"/>
          <w:szCs w:val="24"/>
        </w:rPr>
        <w:t xml:space="preserve"> Research-to-Practice Perspective. Current psychiatry reports, 19(5), 28. </w:t>
      </w:r>
      <w:hyperlink r:id="rId7" w:history="1">
        <w:r w:rsidRPr="00CE400D">
          <w:rPr>
            <w:rStyle w:val="Hyperlink"/>
            <w:rFonts w:ascii="Aptos" w:hAnsi="Aptos" w:cs="Times New Roman"/>
            <w:sz w:val="24"/>
            <w:szCs w:val="24"/>
          </w:rPr>
          <w:t>https://doi.org/10.1007/s11920-017-0780-z</w:t>
        </w:r>
      </w:hyperlink>
    </w:p>
    <w:p w14:paraId="0D7F0225" w14:textId="77777777" w:rsidR="008F45C8" w:rsidRPr="00CE400D" w:rsidRDefault="008F45C8" w:rsidP="002C2989">
      <w:pPr>
        <w:spacing w:before="240" w:line="360" w:lineRule="auto"/>
        <w:jc w:val="both"/>
        <w:rPr>
          <w:rFonts w:ascii="Aptos" w:hAnsi="Aptos" w:cs="Times New Roman"/>
          <w:sz w:val="24"/>
          <w:szCs w:val="24"/>
        </w:rPr>
      </w:pPr>
      <w:r w:rsidRPr="00CE400D">
        <w:rPr>
          <w:rFonts w:ascii="Aptos" w:hAnsi="Aptos" w:cs="Times New Roman"/>
          <w:sz w:val="24"/>
          <w:szCs w:val="24"/>
        </w:rPr>
        <w:t xml:space="preserve">Cruwys, T., Stewart, B., Buckley, L., </w:t>
      </w:r>
      <w:proofErr w:type="spellStart"/>
      <w:r w:rsidRPr="00CE400D">
        <w:rPr>
          <w:rFonts w:ascii="Aptos" w:hAnsi="Aptos" w:cs="Times New Roman"/>
          <w:sz w:val="24"/>
          <w:szCs w:val="24"/>
        </w:rPr>
        <w:t>Gumley</w:t>
      </w:r>
      <w:proofErr w:type="spellEnd"/>
      <w:r w:rsidRPr="00CE400D">
        <w:rPr>
          <w:rFonts w:ascii="Aptos" w:hAnsi="Aptos" w:cs="Times New Roman"/>
          <w:sz w:val="24"/>
          <w:szCs w:val="24"/>
        </w:rPr>
        <w:t xml:space="preserve">, J., &amp; Scholz, B. (2020). The recovery model in chronic mental health: A community-based investigation of social identity processes. Psychiatry Research, 291, 113241. </w:t>
      </w:r>
      <w:r w:rsidRPr="00CE400D">
        <w:rPr>
          <w:rFonts w:ascii="Aptos" w:hAnsi="Aptos" w:cs="Times New Roman"/>
          <w:sz w:val="24"/>
          <w:szCs w:val="24"/>
        </w:rPr>
        <w:tab/>
      </w:r>
      <w:r w:rsidR="00B11E98" w:rsidRPr="00CE400D">
        <w:rPr>
          <w:rFonts w:ascii="Aptos" w:hAnsi="Aptos" w:cs="Times New Roman"/>
          <w:sz w:val="24"/>
          <w:szCs w:val="24"/>
        </w:rPr>
        <w:tab/>
      </w:r>
      <w:r w:rsidR="00B11E98" w:rsidRPr="00CE400D">
        <w:rPr>
          <w:rFonts w:ascii="Aptos" w:hAnsi="Aptos" w:cs="Times New Roman"/>
          <w:sz w:val="24"/>
          <w:szCs w:val="24"/>
        </w:rPr>
        <w:tab/>
      </w:r>
      <w:r w:rsidR="00B11E98" w:rsidRPr="00CE400D">
        <w:rPr>
          <w:rFonts w:ascii="Aptos" w:hAnsi="Aptos" w:cs="Times New Roman"/>
          <w:sz w:val="24"/>
          <w:szCs w:val="24"/>
        </w:rPr>
        <w:tab/>
      </w:r>
      <w:r w:rsidRPr="00CE400D">
        <w:rPr>
          <w:rFonts w:ascii="Aptos" w:hAnsi="Aptos" w:cs="Times New Roman"/>
          <w:sz w:val="24"/>
          <w:szCs w:val="24"/>
        </w:rPr>
        <w:t xml:space="preserve"> </w:t>
      </w:r>
      <w:hyperlink r:id="rId8" w:history="1">
        <w:r w:rsidRPr="00CE400D">
          <w:rPr>
            <w:rStyle w:val="Hyperlink"/>
            <w:rFonts w:ascii="Aptos" w:hAnsi="Aptos" w:cs="Times New Roman"/>
            <w:sz w:val="24"/>
            <w:szCs w:val="24"/>
          </w:rPr>
          <w:t>https://doi.org/10.1016/j.psychres.2020.113241</w:t>
        </w:r>
      </w:hyperlink>
    </w:p>
    <w:p w14:paraId="5C820B6C" w14:textId="77777777" w:rsidR="00B11E98" w:rsidRPr="00CE400D" w:rsidRDefault="00B11E98" w:rsidP="002C2989">
      <w:pPr>
        <w:spacing w:before="240" w:line="360" w:lineRule="auto"/>
        <w:jc w:val="both"/>
        <w:rPr>
          <w:rFonts w:ascii="Aptos" w:hAnsi="Aptos" w:cs="Times New Roman"/>
          <w:sz w:val="24"/>
          <w:szCs w:val="24"/>
        </w:rPr>
      </w:pPr>
      <w:r w:rsidRPr="00CE400D">
        <w:rPr>
          <w:rFonts w:ascii="Aptos" w:hAnsi="Aptos" w:cs="Times New Roman"/>
          <w:sz w:val="24"/>
          <w:szCs w:val="24"/>
        </w:rPr>
        <w:t xml:space="preserve">Mahesh, S., </w:t>
      </w:r>
      <w:proofErr w:type="spellStart"/>
      <w:r w:rsidRPr="00CE400D">
        <w:rPr>
          <w:rFonts w:ascii="Aptos" w:hAnsi="Aptos" w:cs="Times New Roman"/>
          <w:sz w:val="24"/>
          <w:szCs w:val="24"/>
        </w:rPr>
        <w:t>Bharatan</w:t>
      </w:r>
      <w:proofErr w:type="spellEnd"/>
      <w:r w:rsidRPr="00CE400D">
        <w:rPr>
          <w:rFonts w:ascii="Aptos" w:hAnsi="Aptos" w:cs="Times New Roman"/>
          <w:sz w:val="24"/>
          <w:szCs w:val="24"/>
        </w:rPr>
        <w:t xml:space="preserve">, I., &amp; Miller, R. (2024). Strengths-based practice in adult social care: Understanding implementation. NIHR open research, 4, 19. </w:t>
      </w:r>
      <w:hyperlink r:id="rId9" w:history="1">
        <w:r w:rsidRPr="00CE400D">
          <w:rPr>
            <w:rStyle w:val="Hyperlink"/>
            <w:rFonts w:ascii="Aptos" w:hAnsi="Aptos" w:cs="Times New Roman"/>
            <w:sz w:val="24"/>
            <w:szCs w:val="24"/>
          </w:rPr>
          <w:t>https://doi.org/10.3310/nihropenres.13532.2</w:t>
        </w:r>
      </w:hyperlink>
    </w:p>
    <w:p w14:paraId="03FD211A" w14:textId="77777777" w:rsidR="00B11E98" w:rsidRPr="00CE400D" w:rsidRDefault="00B11E98" w:rsidP="002C2989">
      <w:pPr>
        <w:spacing w:before="240" w:line="360" w:lineRule="auto"/>
        <w:jc w:val="both"/>
        <w:rPr>
          <w:rFonts w:ascii="Aptos" w:hAnsi="Aptos" w:cs="Times New Roman"/>
          <w:sz w:val="24"/>
          <w:szCs w:val="24"/>
        </w:rPr>
      </w:pPr>
      <w:r w:rsidRPr="00CE400D">
        <w:rPr>
          <w:rFonts w:ascii="Aptos" w:hAnsi="Aptos" w:cs="Times New Roman"/>
          <w:sz w:val="24"/>
          <w:szCs w:val="24"/>
        </w:rPr>
        <w:t xml:space="preserve">Adam, S., &amp; </w:t>
      </w:r>
      <w:proofErr w:type="spellStart"/>
      <w:r w:rsidRPr="00CE400D">
        <w:rPr>
          <w:rFonts w:ascii="Aptos" w:hAnsi="Aptos" w:cs="Times New Roman"/>
          <w:sz w:val="24"/>
          <w:szCs w:val="24"/>
        </w:rPr>
        <w:t>Koutsoklenis</w:t>
      </w:r>
      <w:proofErr w:type="spellEnd"/>
      <w:r w:rsidRPr="00CE400D">
        <w:rPr>
          <w:rFonts w:ascii="Aptos" w:hAnsi="Aptos" w:cs="Times New Roman"/>
          <w:sz w:val="24"/>
          <w:szCs w:val="24"/>
        </w:rPr>
        <w:t xml:space="preserve">, A. (2023). Who needs the social model of </w:t>
      </w:r>
      <w:proofErr w:type="gramStart"/>
      <w:r w:rsidRPr="00CE400D">
        <w:rPr>
          <w:rFonts w:ascii="Aptos" w:hAnsi="Aptos" w:cs="Times New Roman"/>
          <w:sz w:val="24"/>
          <w:szCs w:val="24"/>
        </w:rPr>
        <w:t>disability?.</w:t>
      </w:r>
      <w:proofErr w:type="gramEnd"/>
      <w:r w:rsidRPr="00CE400D">
        <w:rPr>
          <w:rFonts w:ascii="Aptos" w:hAnsi="Aptos" w:cs="Times New Roman"/>
          <w:sz w:val="24"/>
          <w:szCs w:val="24"/>
        </w:rPr>
        <w:t xml:space="preserve"> Frontiers in sociology, 8, 1305301. </w:t>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t xml:space="preserve">           </w:t>
      </w:r>
      <w:hyperlink r:id="rId10" w:history="1">
        <w:r w:rsidRPr="00CE400D">
          <w:rPr>
            <w:rStyle w:val="Hyperlink"/>
            <w:rFonts w:ascii="Aptos" w:hAnsi="Aptos" w:cs="Times New Roman"/>
            <w:sz w:val="24"/>
            <w:szCs w:val="24"/>
          </w:rPr>
          <w:t>https://doi.org/10.3389/fsoc.2023.1305301</w:t>
        </w:r>
      </w:hyperlink>
    </w:p>
    <w:p w14:paraId="20EBA762" w14:textId="77777777" w:rsidR="008F45C8" w:rsidRPr="00CE400D" w:rsidRDefault="0058074B" w:rsidP="002C2989">
      <w:pPr>
        <w:spacing w:before="240" w:line="360" w:lineRule="auto"/>
        <w:jc w:val="both"/>
        <w:rPr>
          <w:rFonts w:ascii="Aptos" w:hAnsi="Aptos" w:cs="Times New Roman"/>
          <w:sz w:val="24"/>
          <w:szCs w:val="24"/>
        </w:rPr>
      </w:pPr>
      <w:proofErr w:type="spellStart"/>
      <w:r w:rsidRPr="00CE400D">
        <w:rPr>
          <w:rFonts w:ascii="Aptos" w:hAnsi="Aptos" w:cs="Times New Roman"/>
          <w:sz w:val="24"/>
          <w:szCs w:val="24"/>
        </w:rPr>
        <w:t>Jeste</w:t>
      </w:r>
      <w:proofErr w:type="spellEnd"/>
      <w:r w:rsidRPr="00CE400D">
        <w:rPr>
          <w:rFonts w:ascii="Aptos" w:hAnsi="Aptos" w:cs="Times New Roman"/>
          <w:sz w:val="24"/>
          <w:szCs w:val="24"/>
        </w:rPr>
        <w:t xml:space="preserve">, D. V., Smith, J., Lewis-Fernández, R., Saks, E. R., Na, P. J., Pietrzak, R. H., Quinn, M., &amp; Kessler, R. C. (2025). Addressing social determinants of health in individuals with mental disorders in clinical practice: review and recommendations. Translational psychiatry, 15(1), 120. </w:t>
      </w:r>
      <w:hyperlink r:id="rId11" w:history="1">
        <w:r w:rsidRPr="00CE400D">
          <w:rPr>
            <w:rStyle w:val="Hyperlink"/>
            <w:rFonts w:ascii="Aptos" w:hAnsi="Aptos" w:cs="Times New Roman"/>
            <w:sz w:val="24"/>
            <w:szCs w:val="24"/>
          </w:rPr>
          <w:t>https://doi.org/10.1038/s41398-025-03332-4</w:t>
        </w:r>
      </w:hyperlink>
    </w:p>
    <w:p w14:paraId="0B811247" w14:textId="77777777" w:rsidR="00EA2D50" w:rsidRPr="00CE400D" w:rsidRDefault="00EA2D50" w:rsidP="002C2989">
      <w:pPr>
        <w:spacing w:before="240" w:line="360" w:lineRule="auto"/>
        <w:jc w:val="both"/>
        <w:rPr>
          <w:rFonts w:ascii="Aptos" w:hAnsi="Aptos" w:cs="Times New Roman"/>
          <w:sz w:val="24"/>
          <w:szCs w:val="24"/>
        </w:rPr>
      </w:pPr>
      <w:r w:rsidRPr="00CE400D">
        <w:rPr>
          <w:rFonts w:ascii="Aptos" w:hAnsi="Aptos" w:cs="Times New Roman"/>
          <w:sz w:val="24"/>
          <w:szCs w:val="24"/>
        </w:rPr>
        <w:t xml:space="preserve">National Health Service. (n.d.). Care for people with mental health problems - care </w:t>
      </w:r>
      <w:proofErr w:type="spellStart"/>
      <w:r w:rsidRPr="00CE400D">
        <w:rPr>
          <w:rFonts w:ascii="Aptos" w:hAnsi="Aptos" w:cs="Times New Roman"/>
          <w:sz w:val="24"/>
          <w:szCs w:val="24"/>
        </w:rPr>
        <w:t>programme</w:t>
      </w:r>
      <w:proofErr w:type="spellEnd"/>
      <w:r w:rsidRPr="00CE400D">
        <w:rPr>
          <w:rFonts w:ascii="Aptos" w:hAnsi="Aptos" w:cs="Times New Roman"/>
          <w:sz w:val="24"/>
          <w:szCs w:val="24"/>
        </w:rPr>
        <w:t xml:space="preserve"> approach. </w:t>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t xml:space="preserve">               </w:t>
      </w:r>
      <w:hyperlink r:id="rId12" w:history="1">
        <w:r w:rsidRPr="00CE400D">
          <w:rPr>
            <w:rStyle w:val="Hyperlink"/>
            <w:rFonts w:ascii="Aptos" w:hAnsi="Aptos" w:cs="Times New Roman"/>
            <w:sz w:val="24"/>
            <w:szCs w:val="24"/>
          </w:rPr>
          <w:t>https://www.nhs.uk/social-care-and-support/help-from-social-services-and-charities/care-for-people-with-mental-health-problems-care-programme-approach/</w:t>
        </w:r>
      </w:hyperlink>
    </w:p>
    <w:p w14:paraId="71A6DFB1" w14:textId="77777777" w:rsidR="001F14D2" w:rsidRPr="00CE400D" w:rsidRDefault="001F14D2" w:rsidP="002C2989">
      <w:pPr>
        <w:spacing w:before="240" w:line="360" w:lineRule="auto"/>
        <w:jc w:val="both"/>
        <w:rPr>
          <w:rFonts w:ascii="Aptos" w:hAnsi="Aptos" w:cs="Times New Roman"/>
          <w:sz w:val="24"/>
          <w:szCs w:val="24"/>
        </w:rPr>
      </w:pPr>
      <w:r w:rsidRPr="00CE400D">
        <w:rPr>
          <w:rFonts w:ascii="Aptos" w:hAnsi="Aptos"/>
        </w:rPr>
        <w:t xml:space="preserve"> </w:t>
      </w:r>
      <w:proofErr w:type="spellStart"/>
      <w:r w:rsidRPr="00CE400D">
        <w:rPr>
          <w:rFonts w:ascii="Aptos" w:hAnsi="Aptos" w:cs="Times New Roman"/>
          <w:sz w:val="24"/>
          <w:szCs w:val="24"/>
        </w:rPr>
        <w:t>Caiels</w:t>
      </w:r>
      <w:proofErr w:type="spellEnd"/>
      <w:r w:rsidRPr="00CE400D">
        <w:rPr>
          <w:rFonts w:ascii="Aptos" w:hAnsi="Aptos" w:cs="Times New Roman"/>
          <w:sz w:val="24"/>
          <w:szCs w:val="24"/>
        </w:rPr>
        <w:t xml:space="preserve">, James &amp; </w:t>
      </w:r>
      <w:proofErr w:type="spellStart"/>
      <w:r w:rsidRPr="00CE400D">
        <w:rPr>
          <w:rFonts w:ascii="Aptos" w:hAnsi="Aptos" w:cs="Times New Roman"/>
          <w:sz w:val="24"/>
          <w:szCs w:val="24"/>
        </w:rPr>
        <w:t>Silarova</w:t>
      </w:r>
      <w:proofErr w:type="spellEnd"/>
      <w:r w:rsidRPr="00CE400D">
        <w:rPr>
          <w:rFonts w:ascii="Aptos" w:hAnsi="Aptos" w:cs="Times New Roman"/>
          <w:sz w:val="24"/>
          <w:szCs w:val="24"/>
        </w:rPr>
        <w:t xml:space="preserve">, Barbora &amp; Milne, Alisoun &amp; Beadle-Brown, Julie. (2023). Strengths-based Approaches—Perspectives from Practitioners. The British Journal of Social Work. 54. </w:t>
      </w:r>
      <w:hyperlink r:id="rId13" w:history="1">
        <w:r w:rsidRPr="00CE400D">
          <w:rPr>
            <w:rStyle w:val="Hyperlink"/>
            <w:rFonts w:ascii="Aptos" w:hAnsi="Aptos" w:cs="Times New Roman"/>
            <w:sz w:val="24"/>
            <w:szCs w:val="24"/>
          </w:rPr>
          <w:t>10.1093/</w:t>
        </w:r>
        <w:proofErr w:type="spellStart"/>
        <w:r w:rsidRPr="00CE400D">
          <w:rPr>
            <w:rStyle w:val="Hyperlink"/>
            <w:rFonts w:ascii="Aptos" w:hAnsi="Aptos" w:cs="Times New Roman"/>
            <w:sz w:val="24"/>
            <w:szCs w:val="24"/>
          </w:rPr>
          <w:t>bjsw</w:t>
        </w:r>
        <w:proofErr w:type="spellEnd"/>
        <w:r w:rsidRPr="00CE400D">
          <w:rPr>
            <w:rStyle w:val="Hyperlink"/>
            <w:rFonts w:ascii="Aptos" w:hAnsi="Aptos" w:cs="Times New Roman"/>
            <w:sz w:val="24"/>
            <w:szCs w:val="24"/>
          </w:rPr>
          <w:t>/bcad186</w:t>
        </w:r>
      </w:hyperlink>
    </w:p>
    <w:p w14:paraId="29E08875" w14:textId="77777777" w:rsidR="001F14D2" w:rsidRPr="00CE400D" w:rsidRDefault="001F14D2" w:rsidP="002C2989">
      <w:pPr>
        <w:spacing w:before="240" w:line="360" w:lineRule="auto"/>
        <w:jc w:val="both"/>
        <w:rPr>
          <w:rFonts w:ascii="Aptos" w:hAnsi="Aptos" w:cs="Times New Roman"/>
          <w:sz w:val="24"/>
          <w:szCs w:val="24"/>
        </w:rPr>
      </w:pPr>
      <w:r w:rsidRPr="00CE400D">
        <w:rPr>
          <w:rFonts w:ascii="Aptos" w:hAnsi="Aptos" w:cs="Times New Roman"/>
          <w:sz w:val="24"/>
          <w:szCs w:val="24"/>
        </w:rPr>
        <w:lastRenderedPageBreak/>
        <w:t>Bland, R., Renouf, N., &amp; Tullgren, A. (2020). Social work practice in mental health: An introduction (2nd ed.). Routledge.</w:t>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t xml:space="preserve">                 </w:t>
      </w:r>
      <w:hyperlink r:id="rId14" w:history="1">
        <w:r w:rsidRPr="00CE400D">
          <w:rPr>
            <w:rStyle w:val="Hyperlink"/>
            <w:rFonts w:ascii="Aptos" w:hAnsi="Aptos" w:cs="Times New Roman"/>
            <w:sz w:val="24"/>
            <w:szCs w:val="24"/>
          </w:rPr>
          <w:t>https://doi.org/10.4324/9781003117308</w:t>
        </w:r>
      </w:hyperlink>
    </w:p>
    <w:p w14:paraId="25DFAD6C" w14:textId="77777777" w:rsidR="0091706F" w:rsidRPr="00CE400D" w:rsidRDefault="007919C8" w:rsidP="002C2989">
      <w:pPr>
        <w:spacing w:before="240" w:line="360" w:lineRule="auto"/>
        <w:jc w:val="both"/>
        <w:rPr>
          <w:rFonts w:ascii="Aptos" w:hAnsi="Aptos" w:cs="Times New Roman"/>
          <w:sz w:val="24"/>
          <w:szCs w:val="24"/>
        </w:rPr>
      </w:pPr>
      <w:r w:rsidRPr="00CE400D">
        <w:rPr>
          <w:rFonts w:ascii="Aptos" w:hAnsi="Aptos" w:cs="Times New Roman"/>
          <w:sz w:val="24"/>
          <w:szCs w:val="24"/>
        </w:rPr>
        <w:t xml:space="preserve">NHS England. (2023, January 18). Workforce development framework: Social prescribing link workers. </w:t>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t xml:space="preserve">                </w:t>
      </w:r>
      <w:hyperlink r:id="rId15" w:history="1">
        <w:r w:rsidRPr="00CE400D">
          <w:rPr>
            <w:rStyle w:val="Hyperlink"/>
            <w:rFonts w:ascii="Aptos" w:hAnsi="Aptos" w:cs="Times New Roman"/>
            <w:sz w:val="24"/>
            <w:szCs w:val="24"/>
          </w:rPr>
          <w:t>https://www.england.nhs.uk/long-read/workforce-development-framework-social-prescribing-link-workers/</w:t>
        </w:r>
      </w:hyperlink>
    </w:p>
    <w:p w14:paraId="110CD590" w14:textId="77777777" w:rsidR="007919C8" w:rsidRPr="00CE400D" w:rsidRDefault="007919C8" w:rsidP="002C2989">
      <w:pPr>
        <w:spacing w:before="240" w:line="360" w:lineRule="auto"/>
        <w:jc w:val="both"/>
        <w:rPr>
          <w:rFonts w:ascii="Aptos" w:hAnsi="Aptos" w:cs="Times New Roman"/>
          <w:sz w:val="24"/>
          <w:szCs w:val="24"/>
        </w:rPr>
      </w:pPr>
      <w:r w:rsidRPr="00CE400D">
        <w:rPr>
          <w:rFonts w:ascii="Aptos" w:hAnsi="Aptos" w:cs="Times New Roman"/>
          <w:sz w:val="24"/>
          <w:szCs w:val="24"/>
        </w:rPr>
        <w:t xml:space="preserve">Pinheiro, E., Laranjeira, C., </w:t>
      </w:r>
      <w:proofErr w:type="spellStart"/>
      <w:r w:rsidRPr="00CE400D">
        <w:rPr>
          <w:rFonts w:ascii="Aptos" w:hAnsi="Aptos" w:cs="Times New Roman"/>
          <w:sz w:val="24"/>
          <w:szCs w:val="24"/>
        </w:rPr>
        <w:t>Harmuch</w:t>
      </w:r>
      <w:proofErr w:type="spellEnd"/>
      <w:r w:rsidRPr="00CE400D">
        <w:rPr>
          <w:rFonts w:ascii="Aptos" w:hAnsi="Aptos" w:cs="Times New Roman"/>
          <w:sz w:val="24"/>
          <w:szCs w:val="24"/>
        </w:rPr>
        <w:t xml:space="preserve">, C., Graça, J. M. B., Ali, A. M., Fekih-Romdhane, F., Yıldırım, M., Severo, A. K., &amp; Franco, E. (2025). Collaborative Practices in Mental Health Care: A Concept Analysis. Healthcare, 13(15), 1891. </w:t>
      </w:r>
      <w:r w:rsidRPr="00CE400D">
        <w:rPr>
          <w:rFonts w:ascii="Aptos" w:hAnsi="Aptos" w:cs="Times New Roman"/>
          <w:sz w:val="24"/>
          <w:szCs w:val="24"/>
        </w:rPr>
        <w:tab/>
        <w:t xml:space="preserve">         </w:t>
      </w:r>
      <w:hyperlink r:id="rId16" w:history="1">
        <w:r w:rsidRPr="00CE400D">
          <w:rPr>
            <w:rStyle w:val="Hyperlink"/>
            <w:rFonts w:ascii="Aptos" w:hAnsi="Aptos" w:cs="Times New Roman"/>
            <w:sz w:val="24"/>
            <w:szCs w:val="24"/>
          </w:rPr>
          <w:t>https://doi.org/10.3390/healthcare13151891</w:t>
        </w:r>
      </w:hyperlink>
    </w:p>
    <w:p w14:paraId="3469BA2C" w14:textId="77777777" w:rsidR="00DF152C" w:rsidRPr="00CE400D" w:rsidRDefault="00DF152C" w:rsidP="00DF152C">
      <w:pPr>
        <w:spacing w:before="240" w:line="360" w:lineRule="auto"/>
        <w:jc w:val="both"/>
        <w:rPr>
          <w:rFonts w:ascii="Aptos" w:hAnsi="Aptos" w:cs="Times New Roman"/>
          <w:sz w:val="24"/>
          <w:szCs w:val="24"/>
        </w:rPr>
      </w:pPr>
      <w:r w:rsidRPr="00CE400D">
        <w:rPr>
          <w:rFonts w:ascii="Aptos" w:hAnsi="Aptos" w:cs="Times New Roman"/>
          <w:sz w:val="24"/>
          <w:szCs w:val="24"/>
        </w:rPr>
        <w:t xml:space="preserve">Disability Unit, Equality Hub, &amp; Department for Work and Pensions. (2021, July 28). National disability strategy. GOV.UK.      </w:t>
      </w:r>
      <w:r w:rsidRPr="00CE400D">
        <w:rPr>
          <w:rFonts w:ascii="Aptos" w:hAnsi="Aptos" w:cs="Times New Roman"/>
          <w:sz w:val="24"/>
          <w:szCs w:val="24"/>
        </w:rPr>
        <w:tab/>
        <w:t xml:space="preserve">  </w:t>
      </w:r>
      <w:hyperlink r:id="rId17" w:history="1">
        <w:r w:rsidRPr="00CE400D">
          <w:rPr>
            <w:rStyle w:val="Hyperlink"/>
            <w:rFonts w:ascii="Aptos" w:hAnsi="Aptos" w:cs="Times New Roman"/>
            <w:sz w:val="24"/>
            <w:szCs w:val="24"/>
          </w:rPr>
          <w:t>https://assets.publishing.service.gov.uk/media/60fff9b8d3bf7f0452a7a939/National-Disability-Strategy_web-accesible-pdf.pdf</w:t>
        </w:r>
      </w:hyperlink>
    </w:p>
    <w:p w14:paraId="5718010D" w14:textId="77777777" w:rsidR="00DF152C" w:rsidRPr="00CE400D" w:rsidRDefault="00DF152C" w:rsidP="00DF152C">
      <w:pPr>
        <w:spacing w:before="240" w:line="360" w:lineRule="auto"/>
        <w:jc w:val="both"/>
        <w:rPr>
          <w:rFonts w:ascii="Aptos" w:hAnsi="Aptos" w:cs="Times New Roman"/>
          <w:sz w:val="24"/>
          <w:szCs w:val="24"/>
        </w:rPr>
      </w:pPr>
      <w:r w:rsidRPr="00CE400D">
        <w:rPr>
          <w:rFonts w:ascii="Aptos" w:hAnsi="Aptos" w:cs="Times New Roman"/>
          <w:sz w:val="24"/>
          <w:szCs w:val="24"/>
        </w:rPr>
        <w:t>Logan, C., &amp; O'Connor, R. (2020). Risk assessment and management in mental health. In S. Banks, K. Nøhr, &amp; A. M. Guillén (Eds.), The Routledge handbook of social work ethics and values (pp. 240–249). Routledge.</w:t>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t xml:space="preserve"> </w:t>
      </w:r>
      <w:hyperlink r:id="rId18" w:history="1">
        <w:r w:rsidRPr="00CE400D">
          <w:rPr>
            <w:rStyle w:val="Hyperlink"/>
            <w:rFonts w:ascii="Aptos" w:hAnsi="Aptos" w:cs="Times New Roman"/>
            <w:sz w:val="24"/>
            <w:szCs w:val="24"/>
          </w:rPr>
          <w:t>https://assets.publishing.service.gov.uk/media/60fff9b8d3bf7f0452a7a939/National-Disability-Strategy_web-accesible-pdf.pdf</w:t>
        </w:r>
      </w:hyperlink>
    </w:p>
    <w:p w14:paraId="4EED2C1C" w14:textId="77777777" w:rsidR="00047CC8" w:rsidRPr="00CE400D" w:rsidRDefault="00047CC8" w:rsidP="00DF152C">
      <w:pPr>
        <w:spacing w:before="240" w:line="360" w:lineRule="auto"/>
        <w:jc w:val="both"/>
        <w:rPr>
          <w:rFonts w:ascii="Aptos" w:hAnsi="Aptos" w:cs="Times New Roman"/>
          <w:sz w:val="24"/>
          <w:szCs w:val="24"/>
        </w:rPr>
      </w:pPr>
      <w:r w:rsidRPr="00CE400D">
        <w:rPr>
          <w:rFonts w:ascii="Aptos" w:hAnsi="Aptos" w:cs="Times New Roman"/>
          <w:sz w:val="24"/>
          <w:szCs w:val="24"/>
        </w:rPr>
        <w:t xml:space="preserve">Hemmington, J. (2024). Approved Mental Health Professionals: </w:t>
      </w:r>
      <w:proofErr w:type="gramStart"/>
      <w:r w:rsidRPr="00CE400D">
        <w:rPr>
          <w:rFonts w:ascii="Aptos" w:hAnsi="Aptos" w:cs="Times New Roman"/>
          <w:sz w:val="24"/>
          <w:szCs w:val="24"/>
        </w:rPr>
        <w:t>Teamwork, ‘</w:t>
      </w:r>
      <w:proofErr w:type="gramEnd"/>
      <w:r w:rsidRPr="00CE400D">
        <w:rPr>
          <w:rFonts w:ascii="Aptos" w:hAnsi="Aptos" w:cs="Times New Roman"/>
          <w:sz w:val="24"/>
          <w:szCs w:val="24"/>
        </w:rPr>
        <w:t xml:space="preserve">Safety Nets’ and ‘Buckling Under.’ Journal of Social Work Practice, 38(4), 423–436. </w:t>
      </w:r>
      <w:hyperlink r:id="rId19" w:history="1">
        <w:r w:rsidRPr="00CE400D">
          <w:rPr>
            <w:rStyle w:val="Hyperlink"/>
            <w:rFonts w:ascii="Aptos" w:hAnsi="Aptos" w:cs="Times New Roman"/>
            <w:sz w:val="24"/>
            <w:szCs w:val="24"/>
          </w:rPr>
          <w:t>https://doi.org/10.1080/02650533.2024.2421468</w:t>
        </w:r>
      </w:hyperlink>
    </w:p>
    <w:p w14:paraId="7BC20695" w14:textId="77777777" w:rsidR="001110D5" w:rsidRPr="00CE400D" w:rsidRDefault="00C40FFA" w:rsidP="00DF152C">
      <w:pPr>
        <w:spacing w:before="240" w:line="360" w:lineRule="auto"/>
        <w:jc w:val="both"/>
        <w:rPr>
          <w:rFonts w:ascii="Aptos" w:hAnsi="Aptos" w:cs="Times New Roman"/>
          <w:sz w:val="24"/>
          <w:szCs w:val="24"/>
        </w:rPr>
      </w:pPr>
      <w:r w:rsidRPr="00CE400D">
        <w:rPr>
          <w:rFonts w:ascii="Aptos" w:hAnsi="Aptos" w:cs="Times New Roman"/>
          <w:sz w:val="24"/>
          <w:szCs w:val="24"/>
        </w:rPr>
        <w:t xml:space="preserve">Ministry of Justice: Mental Capacity Act </w:t>
      </w:r>
      <w:r w:rsidR="00826EE7" w:rsidRPr="00CE400D">
        <w:rPr>
          <w:rFonts w:ascii="Aptos" w:hAnsi="Aptos" w:cs="Times New Roman"/>
          <w:sz w:val="24"/>
          <w:szCs w:val="24"/>
        </w:rPr>
        <w:t>(</w:t>
      </w:r>
      <w:r w:rsidRPr="00CE400D">
        <w:rPr>
          <w:rFonts w:ascii="Aptos" w:hAnsi="Aptos" w:cs="Times New Roman"/>
          <w:sz w:val="24"/>
          <w:szCs w:val="24"/>
        </w:rPr>
        <w:t>2005</w:t>
      </w:r>
      <w:r w:rsidR="00826EE7" w:rsidRPr="00CE400D">
        <w:rPr>
          <w:rFonts w:ascii="Aptos" w:hAnsi="Aptos" w:cs="Times New Roman"/>
          <w:sz w:val="24"/>
          <w:szCs w:val="24"/>
        </w:rPr>
        <w:t>)</w:t>
      </w:r>
      <w:r w:rsidRPr="00CE400D">
        <w:rPr>
          <w:rFonts w:ascii="Aptos" w:hAnsi="Aptos" w:cs="Times New Roman"/>
          <w:sz w:val="24"/>
          <w:szCs w:val="24"/>
        </w:rPr>
        <w:t>, c. 9.</w:t>
      </w:r>
      <w:r w:rsidR="00826EE7" w:rsidRPr="00CE400D">
        <w:rPr>
          <w:rFonts w:ascii="Aptos" w:hAnsi="Aptos" w:cs="Times New Roman"/>
          <w:sz w:val="24"/>
          <w:szCs w:val="24"/>
        </w:rPr>
        <w:t xml:space="preserve"> </w:t>
      </w:r>
      <w:r w:rsidRPr="00CE400D">
        <w:rPr>
          <w:rFonts w:ascii="Aptos" w:hAnsi="Aptos" w:cs="Times New Roman"/>
          <w:sz w:val="24"/>
          <w:szCs w:val="24"/>
        </w:rPr>
        <w:t>Code of Practice (London: The Stationery Office, 2007: 25).</w:t>
      </w:r>
      <w:r w:rsidRPr="00CE400D">
        <w:rPr>
          <w:rFonts w:ascii="Aptos" w:hAnsi="Aptos" w:cs="Times New Roman"/>
          <w:sz w:val="24"/>
          <w:szCs w:val="24"/>
        </w:rPr>
        <w:tab/>
        <w:t xml:space="preserve">                     </w:t>
      </w:r>
      <w:r w:rsidR="00826EE7" w:rsidRPr="00CE400D">
        <w:rPr>
          <w:rFonts w:ascii="Aptos" w:hAnsi="Aptos" w:cs="Times New Roman"/>
          <w:sz w:val="24"/>
          <w:szCs w:val="24"/>
        </w:rPr>
        <w:tab/>
        <w:t xml:space="preserve">                     </w:t>
      </w:r>
      <w:hyperlink r:id="rId20" w:history="1">
        <w:r w:rsidR="001110D5" w:rsidRPr="00CE400D">
          <w:rPr>
            <w:rStyle w:val="Hyperlink"/>
            <w:rFonts w:ascii="Aptos" w:hAnsi="Aptos" w:cs="Times New Roman"/>
            <w:sz w:val="24"/>
            <w:szCs w:val="24"/>
          </w:rPr>
          <w:t>https://www.legislation.gov.uk/ukpga/2005/9/contents</w:t>
        </w:r>
      </w:hyperlink>
    </w:p>
    <w:p w14:paraId="5D838F38" w14:textId="77777777" w:rsidR="00F6740D" w:rsidRPr="00CE400D" w:rsidRDefault="00F6740D" w:rsidP="00DF152C">
      <w:pPr>
        <w:spacing w:before="240" w:line="360" w:lineRule="auto"/>
        <w:jc w:val="both"/>
        <w:rPr>
          <w:rFonts w:ascii="Aptos" w:hAnsi="Aptos" w:cs="Times New Roman"/>
          <w:sz w:val="24"/>
          <w:szCs w:val="24"/>
        </w:rPr>
      </w:pPr>
      <w:r w:rsidRPr="00CE400D">
        <w:rPr>
          <w:rFonts w:ascii="Aptos" w:hAnsi="Aptos" w:cs="Times New Roman"/>
          <w:sz w:val="24"/>
          <w:szCs w:val="24"/>
        </w:rPr>
        <w:lastRenderedPageBreak/>
        <w:t xml:space="preserve">Cummins, Ian. (2018). The Impact of Austerity on Mental Health Service Provision: A UK Perspective. International Journal of Environmental Research and Public Health. 15. 1145.     </w:t>
      </w:r>
      <w:hyperlink r:id="rId21" w:history="1">
        <w:r w:rsidRPr="00CE400D">
          <w:rPr>
            <w:rStyle w:val="Hyperlink"/>
            <w:rFonts w:ascii="Aptos" w:hAnsi="Aptos" w:cs="Times New Roman"/>
            <w:sz w:val="24"/>
            <w:szCs w:val="24"/>
          </w:rPr>
          <w:t>10.3390/ijerph15061145.</w:t>
        </w:r>
      </w:hyperlink>
    </w:p>
    <w:p w14:paraId="1B1A3262" w14:textId="77777777" w:rsidR="00183804" w:rsidRPr="00CE400D" w:rsidRDefault="00183804" w:rsidP="00DF152C">
      <w:pPr>
        <w:spacing w:before="240" w:line="360" w:lineRule="auto"/>
        <w:jc w:val="both"/>
        <w:rPr>
          <w:rFonts w:ascii="Aptos" w:hAnsi="Aptos" w:cs="Times New Roman"/>
          <w:sz w:val="24"/>
          <w:szCs w:val="24"/>
        </w:rPr>
      </w:pPr>
      <w:r w:rsidRPr="00CE400D">
        <w:rPr>
          <w:rFonts w:ascii="Aptos" w:hAnsi="Aptos" w:cs="Times New Roman"/>
          <w:sz w:val="24"/>
          <w:szCs w:val="24"/>
        </w:rPr>
        <w:t xml:space="preserve">Lowe, J., &amp; DeVerteuil, G. (2020). </w:t>
      </w:r>
      <w:proofErr w:type="gramStart"/>
      <w:r w:rsidRPr="00CE400D">
        <w:rPr>
          <w:rFonts w:ascii="Aptos" w:hAnsi="Aptos" w:cs="Times New Roman"/>
          <w:sz w:val="24"/>
          <w:szCs w:val="24"/>
        </w:rPr>
        <w:t>Austerity Britain</w:t>
      </w:r>
      <w:proofErr w:type="gramEnd"/>
      <w:r w:rsidRPr="00CE400D">
        <w:rPr>
          <w:rFonts w:ascii="Aptos" w:hAnsi="Aptos" w:cs="Times New Roman"/>
          <w:sz w:val="24"/>
          <w:szCs w:val="24"/>
        </w:rPr>
        <w:t xml:space="preserve">, poverty management and the missing geographies of mental health. Health &amp; Place, 64, 102358.      </w:t>
      </w:r>
      <w:r w:rsidRPr="00CE400D">
        <w:rPr>
          <w:rFonts w:ascii="Aptos" w:hAnsi="Aptos" w:cs="Times New Roman"/>
          <w:sz w:val="24"/>
          <w:szCs w:val="24"/>
        </w:rPr>
        <w:tab/>
        <w:t xml:space="preserve">  </w:t>
      </w:r>
      <w:hyperlink r:id="rId22" w:history="1">
        <w:r w:rsidRPr="00CE400D">
          <w:rPr>
            <w:rStyle w:val="Hyperlink"/>
            <w:rFonts w:ascii="Aptos" w:hAnsi="Aptos" w:cs="Times New Roman"/>
            <w:sz w:val="24"/>
            <w:szCs w:val="24"/>
          </w:rPr>
          <w:t>https://doi.org/10.1016/j.healthplace.2020.102358</w:t>
        </w:r>
      </w:hyperlink>
    </w:p>
    <w:p w14:paraId="570BA7AD" w14:textId="77777777" w:rsidR="002A34E0" w:rsidRPr="00CE400D" w:rsidRDefault="002A34E0" w:rsidP="00DF152C">
      <w:pPr>
        <w:spacing w:before="240" w:line="360" w:lineRule="auto"/>
        <w:jc w:val="both"/>
        <w:rPr>
          <w:rFonts w:ascii="Aptos" w:hAnsi="Aptos" w:cs="Times New Roman"/>
          <w:sz w:val="24"/>
          <w:szCs w:val="24"/>
        </w:rPr>
      </w:pPr>
      <w:r w:rsidRPr="00CE400D">
        <w:rPr>
          <w:rFonts w:ascii="Aptos" w:hAnsi="Aptos" w:cs="Times New Roman"/>
          <w:sz w:val="24"/>
          <w:szCs w:val="24"/>
        </w:rPr>
        <w:t xml:space="preserve">Macdonald, M. A., &amp; Collins, B. (2025, September). Reducing unnecessary </w:t>
      </w:r>
      <w:proofErr w:type="gramStart"/>
      <w:r w:rsidRPr="00CE400D">
        <w:rPr>
          <w:rFonts w:ascii="Aptos" w:hAnsi="Aptos" w:cs="Times New Roman"/>
          <w:sz w:val="24"/>
          <w:szCs w:val="24"/>
        </w:rPr>
        <w:t>social worker</w:t>
      </w:r>
      <w:proofErr w:type="gramEnd"/>
      <w:r w:rsidRPr="00CE400D">
        <w:rPr>
          <w:rFonts w:ascii="Aptos" w:hAnsi="Aptos" w:cs="Times New Roman"/>
          <w:sz w:val="24"/>
          <w:szCs w:val="24"/>
        </w:rPr>
        <w:t xml:space="preserve"> workload through hybrid working and digital practice (Research report). Department for Education. </w:t>
      </w:r>
      <w:hyperlink r:id="rId23" w:history="1">
        <w:r w:rsidRPr="00CE400D">
          <w:rPr>
            <w:rStyle w:val="Hyperlink"/>
            <w:rFonts w:ascii="Aptos" w:hAnsi="Aptos" w:cs="Times New Roman"/>
            <w:sz w:val="24"/>
            <w:szCs w:val="24"/>
          </w:rPr>
          <w:t>https://assets.publishing.service.gov.uk/media/68d51ac3e65dc716bfb1dda0/Reducing_unnecessary_social_worker_workload_through_hybrid_working_and_digital_practice.pdf</w:t>
        </w:r>
      </w:hyperlink>
    </w:p>
    <w:p w14:paraId="752C7C06" w14:textId="77777777" w:rsidR="002A34E0" w:rsidRPr="00CE400D" w:rsidRDefault="002A34E0" w:rsidP="00DF152C">
      <w:pPr>
        <w:spacing w:before="240" w:line="360" w:lineRule="auto"/>
        <w:jc w:val="both"/>
        <w:rPr>
          <w:rFonts w:ascii="Aptos" w:hAnsi="Aptos" w:cs="Times New Roman"/>
          <w:sz w:val="24"/>
          <w:szCs w:val="24"/>
        </w:rPr>
      </w:pPr>
      <w:r w:rsidRPr="00CE400D">
        <w:rPr>
          <w:rFonts w:ascii="Aptos" w:hAnsi="Aptos" w:cs="Times New Roman"/>
          <w:sz w:val="24"/>
          <w:szCs w:val="24"/>
        </w:rPr>
        <w:t xml:space="preserve">Gillard, Steve &amp; Turner, Kati &amp; </w:t>
      </w:r>
      <w:proofErr w:type="spellStart"/>
      <w:r w:rsidRPr="00CE400D">
        <w:rPr>
          <w:rFonts w:ascii="Aptos" w:hAnsi="Aptos" w:cs="Times New Roman"/>
          <w:sz w:val="24"/>
          <w:szCs w:val="24"/>
        </w:rPr>
        <w:t>Neffgen</w:t>
      </w:r>
      <w:proofErr w:type="spellEnd"/>
      <w:r w:rsidRPr="00CE400D">
        <w:rPr>
          <w:rFonts w:ascii="Aptos" w:hAnsi="Aptos" w:cs="Times New Roman"/>
          <w:sz w:val="24"/>
          <w:szCs w:val="24"/>
        </w:rPr>
        <w:t xml:space="preserve">, Marion. (2015). Understanding recovery in the context of lived experience of personality disorders: A collaborative, qualitative research study. BMC Psychiatry. 15. 183. </w:t>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r>
      <w:r w:rsidRPr="00CE400D">
        <w:rPr>
          <w:rFonts w:ascii="Aptos" w:hAnsi="Aptos" w:cs="Times New Roman"/>
          <w:sz w:val="24"/>
          <w:szCs w:val="24"/>
        </w:rPr>
        <w:tab/>
        <w:t xml:space="preserve">                                 </w:t>
      </w:r>
      <w:hyperlink r:id="rId24" w:history="1">
        <w:r w:rsidRPr="00CE400D">
          <w:rPr>
            <w:rStyle w:val="Hyperlink"/>
            <w:rFonts w:ascii="Aptos" w:hAnsi="Aptos" w:cs="Times New Roman"/>
            <w:sz w:val="24"/>
            <w:szCs w:val="24"/>
          </w:rPr>
          <w:t>10.1186/s12888-015-0572-0.</w:t>
        </w:r>
      </w:hyperlink>
    </w:p>
    <w:sectPr w:rsidR="002A34E0" w:rsidRPr="00CE400D" w:rsidSect="008F5E0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BF52C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59D87C49"/>
    <w:multiLevelType w:val="hybridMultilevel"/>
    <w:tmpl w:val="BC9C46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10A1B02"/>
    <w:multiLevelType w:val="multilevel"/>
    <w:tmpl w:val="B23ADF44"/>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370226860">
    <w:abstractNumId w:val="2"/>
  </w:num>
  <w:num w:numId="2" w16cid:durableId="656032638">
    <w:abstractNumId w:val="0"/>
  </w:num>
  <w:num w:numId="3" w16cid:durableId="2423757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45D"/>
    <w:rsid w:val="0004569B"/>
    <w:rsid w:val="00047CC8"/>
    <w:rsid w:val="00061228"/>
    <w:rsid w:val="00087BB8"/>
    <w:rsid w:val="000946B3"/>
    <w:rsid w:val="00094E18"/>
    <w:rsid w:val="001110D5"/>
    <w:rsid w:val="00131EA5"/>
    <w:rsid w:val="00161FAD"/>
    <w:rsid w:val="00183804"/>
    <w:rsid w:val="001F14D2"/>
    <w:rsid w:val="00231BE0"/>
    <w:rsid w:val="002341E2"/>
    <w:rsid w:val="00271B76"/>
    <w:rsid w:val="002A34E0"/>
    <w:rsid w:val="002B2203"/>
    <w:rsid w:val="002C1D5F"/>
    <w:rsid w:val="002C2989"/>
    <w:rsid w:val="00336942"/>
    <w:rsid w:val="003812E7"/>
    <w:rsid w:val="0038645D"/>
    <w:rsid w:val="003F58E5"/>
    <w:rsid w:val="00413D2D"/>
    <w:rsid w:val="0048300F"/>
    <w:rsid w:val="00490F4F"/>
    <w:rsid w:val="004E1074"/>
    <w:rsid w:val="005313B9"/>
    <w:rsid w:val="0058074B"/>
    <w:rsid w:val="005C2487"/>
    <w:rsid w:val="006A71EB"/>
    <w:rsid w:val="006F6EA5"/>
    <w:rsid w:val="007317E2"/>
    <w:rsid w:val="00742ECE"/>
    <w:rsid w:val="007919C8"/>
    <w:rsid w:val="007E43F8"/>
    <w:rsid w:val="00826EE7"/>
    <w:rsid w:val="008307B1"/>
    <w:rsid w:val="008C2469"/>
    <w:rsid w:val="008F45C8"/>
    <w:rsid w:val="008F5E0B"/>
    <w:rsid w:val="008F6BF9"/>
    <w:rsid w:val="0091706F"/>
    <w:rsid w:val="009904FF"/>
    <w:rsid w:val="009A493B"/>
    <w:rsid w:val="009F718A"/>
    <w:rsid w:val="00A1408E"/>
    <w:rsid w:val="00A762AE"/>
    <w:rsid w:val="00AC0A07"/>
    <w:rsid w:val="00AC3950"/>
    <w:rsid w:val="00B11E98"/>
    <w:rsid w:val="00B71F55"/>
    <w:rsid w:val="00BA0601"/>
    <w:rsid w:val="00C04CD4"/>
    <w:rsid w:val="00C40FFA"/>
    <w:rsid w:val="00C756C8"/>
    <w:rsid w:val="00C7648D"/>
    <w:rsid w:val="00CA2C8C"/>
    <w:rsid w:val="00CE400D"/>
    <w:rsid w:val="00D12C95"/>
    <w:rsid w:val="00DB6B43"/>
    <w:rsid w:val="00DF152C"/>
    <w:rsid w:val="00DF35F4"/>
    <w:rsid w:val="00E408D9"/>
    <w:rsid w:val="00E90E76"/>
    <w:rsid w:val="00EA2D50"/>
    <w:rsid w:val="00F03F30"/>
    <w:rsid w:val="00F343DC"/>
    <w:rsid w:val="00F45F7A"/>
    <w:rsid w:val="00F6740D"/>
    <w:rsid w:val="00F67F00"/>
    <w:rsid w:val="00FE59D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E084F"/>
  <w15:docId w15:val="{F2B9817C-53F4-D04A-8E6F-A5CC9FB6C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5E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706F"/>
    <w:rPr>
      <w:color w:val="0563C1" w:themeColor="hyperlink"/>
      <w:u w:val="single"/>
    </w:rPr>
  </w:style>
  <w:style w:type="paragraph" w:styleId="ListParagraph">
    <w:name w:val="List Paragraph"/>
    <w:basedOn w:val="Normal"/>
    <w:uiPriority w:val="34"/>
    <w:qFormat/>
    <w:rsid w:val="002C29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006045">
      <w:bodyDiv w:val="1"/>
      <w:marLeft w:val="0"/>
      <w:marRight w:val="0"/>
      <w:marTop w:val="0"/>
      <w:marBottom w:val="0"/>
      <w:divBdr>
        <w:top w:val="none" w:sz="0" w:space="0" w:color="auto"/>
        <w:left w:val="none" w:sz="0" w:space="0" w:color="auto"/>
        <w:bottom w:val="none" w:sz="0" w:space="0" w:color="auto"/>
        <w:right w:val="none" w:sz="0" w:space="0" w:color="auto"/>
      </w:divBdr>
      <w:divsChild>
        <w:div w:id="1188249745">
          <w:marLeft w:val="0"/>
          <w:marRight w:val="0"/>
          <w:marTop w:val="240"/>
          <w:marBottom w:val="240"/>
          <w:divBdr>
            <w:top w:val="none" w:sz="0" w:space="0" w:color="auto"/>
            <w:left w:val="none" w:sz="0" w:space="0" w:color="auto"/>
            <w:bottom w:val="none" w:sz="0" w:space="0" w:color="auto"/>
            <w:right w:val="none" w:sz="0" w:space="0" w:color="auto"/>
          </w:divBdr>
        </w:div>
      </w:divsChild>
    </w:div>
    <w:div w:id="348022326">
      <w:bodyDiv w:val="1"/>
      <w:marLeft w:val="0"/>
      <w:marRight w:val="0"/>
      <w:marTop w:val="0"/>
      <w:marBottom w:val="0"/>
      <w:divBdr>
        <w:top w:val="none" w:sz="0" w:space="0" w:color="auto"/>
        <w:left w:val="none" w:sz="0" w:space="0" w:color="auto"/>
        <w:bottom w:val="none" w:sz="0" w:space="0" w:color="auto"/>
        <w:right w:val="none" w:sz="0" w:space="0" w:color="auto"/>
      </w:divBdr>
      <w:divsChild>
        <w:div w:id="676078446">
          <w:marLeft w:val="0"/>
          <w:marRight w:val="0"/>
          <w:marTop w:val="0"/>
          <w:marBottom w:val="0"/>
          <w:divBdr>
            <w:top w:val="none" w:sz="0" w:space="0" w:color="auto"/>
            <w:left w:val="none" w:sz="0" w:space="0" w:color="auto"/>
            <w:bottom w:val="none" w:sz="0" w:space="0" w:color="auto"/>
            <w:right w:val="none" w:sz="0" w:space="0" w:color="auto"/>
          </w:divBdr>
          <w:divsChild>
            <w:div w:id="885142236">
              <w:marLeft w:val="0"/>
              <w:marRight w:val="0"/>
              <w:marTop w:val="0"/>
              <w:marBottom w:val="0"/>
              <w:divBdr>
                <w:top w:val="none" w:sz="0" w:space="0" w:color="auto"/>
                <w:left w:val="none" w:sz="0" w:space="0" w:color="auto"/>
                <w:bottom w:val="none" w:sz="0" w:space="0" w:color="auto"/>
                <w:right w:val="none" w:sz="0" w:space="0" w:color="auto"/>
              </w:divBdr>
              <w:divsChild>
                <w:div w:id="191882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601408">
      <w:bodyDiv w:val="1"/>
      <w:marLeft w:val="0"/>
      <w:marRight w:val="0"/>
      <w:marTop w:val="0"/>
      <w:marBottom w:val="0"/>
      <w:divBdr>
        <w:top w:val="none" w:sz="0" w:space="0" w:color="auto"/>
        <w:left w:val="none" w:sz="0" w:space="0" w:color="auto"/>
        <w:bottom w:val="none" w:sz="0" w:space="0" w:color="auto"/>
        <w:right w:val="none" w:sz="0" w:space="0" w:color="auto"/>
      </w:divBdr>
      <w:divsChild>
        <w:div w:id="87434372">
          <w:marLeft w:val="0"/>
          <w:marRight w:val="0"/>
          <w:marTop w:val="0"/>
          <w:marBottom w:val="0"/>
          <w:divBdr>
            <w:top w:val="none" w:sz="0" w:space="0" w:color="auto"/>
            <w:left w:val="none" w:sz="0" w:space="0" w:color="auto"/>
            <w:bottom w:val="none" w:sz="0" w:space="0" w:color="auto"/>
            <w:right w:val="none" w:sz="0" w:space="0" w:color="auto"/>
          </w:divBdr>
          <w:divsChild>
            <w:div w:id="1971547257">
              <w:marLeft w:val="0"/>
              <w:marRight w:val="0"/>
              <w:marTop w:val="0"/>
              <w:marBottom w:val="0"/>
              <w:divBdr>
                <w:top w:val="none" w:sz="0" w:space="0" w:color="auto"/>
                <w:left w:val="none" w:sz="0" w:space="0" w:color="auto"/>
                <w:bottom w:val="none" w:sz="0" w:space="0" w:color="auto"/>
                <w:right w:val="none" w:sz="0" w:space="0" w:color="auto"/>
              </w:divBdr>
              <w:divsChild>
                <w:div w:id="30501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332489">
      <w:bodyDiv w:val="1"/>
      <w:marLeft w:val="0"/>
      <w:marRight w:val="0"/>
      <w:marTop w:val="0"/>
      <w:marBottom w:val="0"/>
      <w:divBdr>
        <w:top w:val="none" w:sz="0" w:space="0" w:color="auto"/>
        <w:left w:val="none" w:sz="0" w:space="0" w:color="auto"/>
        <w:bottom w:val="none" w:sz="0" w:space="0" w:color="auto"/>
        <w:right w:val="none" w:sz="0" w:space="0" w:color="auto"/>
      </w:divBdr>
      <w:divsChild>
        <w:div w:id="959604677">
          <w:marLeft w:val="0"/>
          <w:marRight w:val="0"/>
          <w:marTop w:val="240"/>
          <w:marBottom w:val="240"/>
          <w:divBdr>
            <w:top w:val="none" w:sz="0" w:space="0" w:color="auto"/>
            <w:left w:val="none" w:sz="0" w:space="0" w:color="auto"/>
            <w:bottom w:val="none" w:sz="0" w:space="0" w:color="auto"/>
            <w:right w:val="none" w:sz="0" w:space="0" w:color="auto"/>
          </w:divBdr>
        </w:div>
      </w:divsChild>
    </w:div>
    <w:div w:id="682710754">
      <w:bodyDiv w:val="1"/>
      <w:marLeft w:val="0"/>
      <w:marRight w:val="0"/>
      <w:marTop w:val="0"/>
      <w:marBottom w:val="0"/>
      <w:divBdr>
        <w:top w:val="none" w:sz="0" w:space="0" w:color="auto"/>
        <w:left w:val="none" w:sz="0" w:space="0" w:color="auto"/>
        <w:bottom w:val="none" w:sz="0" w:space="0" w:color="auto"/>
        <w:right w:val="none" w:sz="0" w:space="0" w:color="auto"/>
      </w:divBdr>
      <w:divsChild>
        <w:div w:id="288051433">
          <w:marLeft w:val="0"/>
          <w:marRight w:val="0"/>
          <w:marTop w:val="240"/>
          <w:marBottom w:val="240"/>
          <w:divBdr>
            <w:top w:val="none" w:sz="0" w:space="0" w:color="auto"/>
            <w:left w:val="none" w:sz="0" w:space="0" w:color="auto"/>
            <w:bottom w:val="none" w:sz="0" w:space="0" w:color="auto"/>
            <w:right w:val="none" w:sz="0" w:space="0" w:color="auto"/>
          </w:divBdr>
        </w:div>
      </w:divsChild>
    </w:div>
    <w:div w:id="968783095">
      <w:bodyDiv w:val="1"/>
      <w:marLeft w:val="0"/>
      <w:marRight w:val="0"/>
      <w:marTop w:val="0"/>
      <w:marBottom w:val="0"/>
      <w:divBdr>
        <w:top w:val="none" w:sz="0" w:space="0" w:color="auto"/>
        <w:left w:val="none" w:sz="0" w:space="0" w:color="auto"/>
        <w:bottom w:val="none" w:sz="0" w:space="0" w:color="auto"/>
        <w:right w:val="none" w:sz="0" w:space="0" w:color="auto"/>
      </w:divBdr>
      <w:divsChild>
        <w:div w:id="1216894283">
          <w:marLeft w:val="0"/>
          <w:marRight w:val="0"/>
          <w:marTop w:val="240"/>
          <w:marBottom w:val="240"/>
          <w:divBdr>
            <w:top w:val="none" w:sz="0" w:space="0" w:color="auto"/>
            <w:left w:val="none" w:sz="0" w:space="0" w:color="auto"/>
            <w:bottom w:val="none" w:sz="0" w:space="0" w:color="auto"/>
            <w:right w:val="none" w:sz="0" w:space="0" w:color="auto"/>
          </w:divBdr>
        </w:div>
      </w:divsChild>
    </w:div>
    <w:div w:id="1782456328">
      <w:bodyDiv w:val="1"/>
      <w:marLeft w:val="0"/>
      <w:marRight w:val="0"/>
      <w:marTop w:val="0"/>
      <w:marBottom w:val="0"/>
      <w:divBdr>
        <w:top w:val="none" w:sz="0" w:space="0" w:color="auto"/>
        <w:left w:val="none" w:sz="0" w:space="0" w:color="auto"/>
        <w:bottom w:val="none" w:sz="0" w:space="0" w:color="auto"/>
        <w:right w:val="none" w:sz="0" w:space="0" w:color="auto"/>
      </w:divBdr>
      <w:divsChild>
        <w:div w:id="1484930652">
          <w:marLeft w:val="0"/>
          <w:marRight w:val="0"/>
          <w:marTop w:val="240"/>
          <w:marBottom w:val="240"/>
          <w:divBdr>
            <w:top w:val="none" w:sz="0" w:space="0" w:color="auto"/>
            <w:left w:val="none" w:sz="0" w:space="0" w:color="auto"/>
            <w:bottom w:val="none" w:sz="0" w:space="0" w:color="auto"/>
            <w:right w:val="none" w:sz="0" w:space="0" w:color="auto"/>
          </w:divBdr>
        </w:div>
      </w:divsChild>
    </w:div>
    <w:div w:id="2112125193">
      <w:bodyDiv w:val="1"/>
      <w:marLeft w:val="0"/>
      <w:marRight w:val="0"/>
      <w:marTop w:val="0"/>
      <w:marBottom w:val="0"/>
      <w:divBdr>
        <w:top w:val="none" w:sz="0" w:space="0" w:color="auto"/>
        <w:left w:val="none" w:sz="0" w:space="0" w:color="auto"/>
        <w:bottom w:val="none" w:sz="0" w:space="0" w:color="auto"/>
        <w:right w:val="none" w:sz="0" w:space="0" w:color="auto"/>
      </w:divBdr>
      <w:divsChild>
        <w:div w:id="1395395401">
          <w:marLeft w:val="0"/>
          <w:marRight w:val="0"/>
          <w:marTop w:val="0"/>
          <w:marBottom w:val="0"/>
          <w:divBdr>
            <w:top w:val="none" w:sz="0" w:space="0" w:color="auto"/>
            <w:left w:val="none" w:sz="0" w:space="0" w:color="auto"/>
            <w:bottom w:val="none" w:sz="0" w:space="0" w:color="auto"/>
            <w:right w:val="none" w:sz="0" w:space="0" w:color="auto"/>
          </w:divBdr>
          <w:divsChild>
            <w:div w:id="1439641979">
              <w:marLeft w:val="0"/>
              <w:marRight w:val="0"/>
              <w:marTop w:val="0"/>
              <w:marBottom w:val="0"/>
              <w:divBdr>
                <w:top w:val="none" w:sz="0" w:space="0" w:color="auto"/>
                <w:left w:val="none" w:sz="0" w:space="0" w:color="auto"/>
                <w:bottom w:val="none" w:sz="0" w:space="0" w:color="auto"/>
                <w:right w:val="none" w:sz="0" w:space="0" w:color="auto"/>
              </w:divBdr>
              <w:divsChild>
                <w:div w:id="279339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psychres.2020.113241" TargetMode="External"/><Relationship Id="rId13" Type="http://schemas.openxmlformats.org/officeDocument/2006/relationships/hyperlink" Target="DOI:10.1093/bjsw/bcad186" TargetMode="External"/><Relationship Id="rId18" Type="http://schemas.openxmlformats.org/officeDocument/2006/relationships/hyperlink" Target="https://assets.publishing.service.gov.uk/media/60fff9b8d3bf7f0452a7a939/National-Disability-Strategy_web-accesible-pdf.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10.3390/ijerph15061145." TargetMode="External"/><Relationship Id="rId7" Type="http://schemas.openxmlformats.org/officeDocument/2006/relationships/hyperlink" Target="https://doi.org/10.1007/s11920-017-0780-z" TargetMode="External"/><Relationship Id="rId12" Type="http://schemas.openxmlformats.org/officeDocument/2006/relationships/hyperlink" Target="https://www.nhs.uk/social-care-and-support/help-from-social-services-and-charities/care-for-people-with-mental-health-problems-care-programme-approach/" TargetMode="External"/><Relationship Id="rId17" Type="http://schemas.openxmlformats.org/officeDocument/2006/relationships/hyperlink" Target="https://assets.publishing.service.gov.uk/media/60fff9b8d3bf7f0452a7a939/National-Disability-Strategy_web-accesible-pdf.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390/healthcare13151891" TargetMode="External"/><Relationship Id="rId20" Type="http://schemas.openxmlformats.org/officeDocument/2006/relationships/hyperlink" Target="https://www.legislation.gov.uk/ukpga/2005/9/contents" TargetMode="External"/><Relationship Id="rId1" Type="http://schemas.openxmlformats.org/officeDocument/2006/relationships/customXml" Target="../customXml/item1.xml"/><Relationship Id="rId6" Type="http://schemas.openxmlformats.org/officeDocument/2006/relationships/hyperlink" Target="https://www.socialworkers.org/About/Ethics/Code-of-Ethics/Code-of-Ethics-English" TargetMode="External"/><Relationship Id="rId11" Type="http://schemas.openxmlformats.org/officeDocument/2006/relationships/hyperlink" Target="https://doi.org/10.1038/s41398-025-03332-4" TargetMode="External"/><Relationship Id="rId24" Type="http://schemas.openxmlformats.org/officeDocument/2006/relationships/hyperlink" Target="10.1186/s12888-015-0572-0." TargetMode="External"/><Relationship Id="rId5" Type="http://schemas.openxmlformats.org/officeDocument/2006/relationships/webSettings" Target="webSettings.xml"/><Relationship Id="rId15" Type="http://schemas.openxmlformats.org/officeDocument/2006/relationships/hyperlink" Target="https://www.england.nhs.uk/long-read/workforce-development-framework-social-prescribing-link-workers/" TargetMode="External"/><Relationship Id="rId23" Type="http://schemas.openxmlformats.org/officeDocument/2006/relationships/hyperlink" Target="https://assets.publishing.service.gov.uk/media/68d51ac3e65dc716bfb1dda0/Reducing_unnecessary_social_worker_workload_through_hybrid_working_and_digital_practice.pdf" TargetMode="External"/><Relationship Id="rId10" Type="http://schemas.openxmlformats.org/officeDocument/2006/relationships/hyperlink" Target="https://doi.org/10.3389/fsoc.2023.1305301" TargetMode="External"/><Relationship Id="rId19" Type="http://schemas.openxmlformats.org/officeDocument/2006/relationships/hyperlink" Target="https://doi.org/10.1080/02650533.2024.2421468" TargetMode="External"/><Relationship Id="rId4" Type="http://schemas.openxmlformats.org/officeDocument/2006/relationships/settings" Target="settings.xml"/><Relationship Id="rId9" Type="http://schemas.openxmlformats.org/officeDocument/2006/relationships/hyperlink" Target="https://doi.org/10.3310/nihropenres.13532.2" TargetMode="External"/><Relationship Id="rId14" Type="http://schemas.openxmlformats.org/officeDocument/2006/relationships/hyperlink" Target="https://doi.org/10.4324/9781003117308" TargetMode="External"/><Relationship Id="rId22" Type="http://schemas.openxmlformats.org/officeDocument/2006/relationships/hyperlink" Target="https://doi.org/10.1016/j.healthplace.2020.1023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0B1E84-CFBD-45D7-987C-3B43853F1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9</Pages>
  <Words>2600</Words>
  <Characters>14822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ESSAY I BMHP4030</vt:lpstr>
    </vt:vector>
  </TitlesOfParts>
  <Company/>
  <LinksUpToDate>false</LinksUpToDate>
  <CharactersWithSpaces>17388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I BMHP4030</dc:title>
  <dc:creator>Nancy Duru</dc:creator>
  <cp:lastModifiedBy>Nancy Duru</cp:lastModifiedBy>
  <cp:revision>34</cp:revision>
  <dcterms:created xsi:type="dcterms:W3CDTF">2025-11-24T21:13:00Z</dcterms:created>
  <dcterms:modified xsi:type="dcterms:W3CDTF">2025-11-27T15:02:00Z</dcterms:modified>
</cp:coreProperties>
</file>