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u7xe715uqqf3" w:id="0"/>
      <w:bookmarkEnd w:id="0"/>
      <w:r w:rsidDel="00000000" w:rsidR="00000000" w:rsidRPr="00000000">
        <w:rPr>
          <w:rtl w:val="0"/>
        </w:rPr>
        <w:t xml:space="preserve">Draft 4 RCC Essay 1 - Compare and Contrast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1"/>
        <w:rPr/>
      </w:pPr>
      <w:bookmarkStart w:colFirst="0" w:colLast="0" w:name="_18hsft4no1dd" w:id="1"/>
      <w:bookmarkEnd w:id="1"/>
      <w:r w:rsidDel="00000000" w:rsidR="00000000" w:rsidRPr="00000000">
        <w:rPr>
          <w:rtl w:val="0"/>
        </w:rPr>
        <w:t xml:space="preserve">Introduction </w:t>
      </w:r>
    </w:p>
    <w:p w:rsidR="00000000" w:rsidDel="00000000" w:rsidP="00000000" w:rsidRDefault="00000000" w:rsidRPr="00000000" w14:paraId="00000005">
      <w:pPr>
        <w:ind w:firstLine="720"/>
        <w:rPr/>
      </w:pPr>
      <w:r w:rsidDel="00000000" w:rsidR="00000000" w:rsidRPr="00000000">
        <w:rPr>
          <w:rtl w:val="0"/>
        </w:rPr>
        <w:t xml:space="preserve">This essay compares and contrasts two academic papers. The chosen papers are Brink, T. L. 1978. ‘Inconsistency of Belief among Roman Catholic Girls: Concerning Religion, Astrology, Reincarnation.’, from  ‘Review of Religious Research’ (20, 82-85), with Walter, T. &amp; Waterhouse, H. 1999. ‘A Very Private Belief: Reincarnation in Contemporary England’, from ‘Sociology of Religion’ (60, 187-197). While Walter and Waterhouse delve into the private and varied beliefs in reincarnation among individuals in contemporary England, illustrating a landscape where traditional Christian beliefs coexist with concepts typically found outside the scope of Western religious doctrine, Brink's study focuses on the inconsistency of belief among Roman Catholic girls, examining their attitudes towards religion alongside beliefs in astrology and reincarnation. Both studies illuminate the complexity and plurality of spiritual beliefs within specific cultural and religious contexts, highlighting how individuals navigate and reconcile seemingly disparate belief systems within their personal faith journeys. This essay aims to extend past a simple content review of these papers, delving into their narrative techniques, research approaches, assessing the researchers positions within their research, as well as critiquing their sources, conclusions, and overall strengths and weaknesses. Further to this, I will be supporting this comparative analysis with further scholarly work through a literature review, to underscore the ongoing conversation around spirituality, belief consistency, and the role of personal faith in the modern world. Overall, this essay aims to compare and contrast these papers to gain a broader understanding of the interplay between traditional religious affiliations and individual belief systems in shaping personal spirituality, as well as the ways in which this data is gathered. </w:t>
      </w:r>
    </w:p>
    <w:p w:rsidR="00000000" w:rsidDel="00000000" w:rsidP="00000000" w:rsidRDefault="00000000" w:rsidRPr="00000000" w14:paraId="00000006">
      <w:pPr>
        <w:ind w:firstLine="720"/>
        <w:rPr/>
      </w:pPr>
      <w:r w:rsidDel="00000000" w:rsidR="00000000" w:rsidRPr="00000000">
        <w:rPr>
          <w:rtl w:val="0"/>
        </w:rPr>
      </w:r>
    </w:p>
    <w:p w:rsidR="00000000" w:rsidDel="00000000" w:rsidP="00000000" w:rsidRDefault="00000000" w:rsidRPr="00000000" w14:paraId="00000007">
      <w:pPr>
        <w:pStyle w:val="Heading1"/>
        <w:rPr/>
      </w:pPr>
      <w:bookmarkStart w:colFirst="0" w:colLast="0" w:name="_pwvzn23su0k2" w:id="2"/>
      <w:bookmarkEnd w:id="2"/>
      <w:r w:rsidDel="00000000" w:rsidR="00000000" w:rsidRPr="00000000">
        <w:rPr>
          <w:rtl w:val="0"/>
        </w:rPr>
        <w:t xml:space="preserve">Context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after="160" w:line="256.80001090909093" w:lineRule="auto"/>
        <w:ind w:left="0" w:firstLine="720"/>
        <w:rPr/>
      </w:pPr>
      <w:r w:rsidDel="00000000" w:rsidR="00000000" w:rsidRPr="00000000">
        <w:rPr>
          <w:rtl w:val="0"/>
        </w:rPr>
        <w:t xml:space="preserve">To accurately evaluate these two papers, it is essential to underscore their scholarly and temporal contexts. Walter (1948-), a sociologist and </w:t>
      </w:r>
      <w:r w:rsidDel="00000000" w:rsidR="00000000" w:rsidRPr="00000000">
        <w:rPr>
          <w:shd w:fill="fff2cc" w:val="clear"/>
          <w:rtl w:val="0"/>
        </w:rPr>
        <w:t xml:space="preserve">Professor of Death Studies at the University of Bath</w:t>
      </w:r>
      <w:r w:rsidDel="00000000" w:rsidR="00000000" w:rsidRPr="00000000">
        <w:rPr>
          <w:rtl w:val="0"/>
        </w:rPr>
        <w:t xml:space="preserve">, and Waterhouse, a </w:t>
      </w:r>
      <w:r w:rsidDel="00000000" w:rsidR="00000000" w:rsidRPr="00000000">
        <w:rPr>
          <w:shd w:fill="fff2cc" w:val="clear"/>
          <w:rtl w:val="0"/>
        </w:rPr>
        <w:t xml:space="preserve">British archaeologist (1913-1999)</w:t>
      </w:r>
      <w:r w:rsidDel="00000000" w:rsidR="00000000" w:rsidRPr="00000000">
        <w:rPr>
          <w:rtl w:val="0"/>
        </w:rPr>
        <w:t xml:space="preserve">, Both analysed their data, </w:t>
      </w:r>
      <w:r w:rsidDel="00000000" w:rsidR="00000000" w:rsidRPr="00000000">
        <w:rPr>
          <w:shd w:fill="fff2cc" w:val="clear"/>
          <w:rtl w:val="0"/>
        </w:rPr>
        <w:t xml:space="preserve">“Waterhouse coming from a religious studies perspective, Walter from sociology.”</w:t>
      </w:r>
      <w:r w:rsidDel="00000000" w:rsidR="00000000" w:rsidRPr="00000000">
        <w:rPr>
          <w:rtl w:val="0"/>
        </w:rPr>
        <w:t xml:space="preserve"> page 189. Both have/had extensive works published within their respective fields. </w:t>
      </w:r>
      <w:r w:rsidDel="00000000" w:rsidR="00000000" w:rsidRPr="00000000">
        <w:rPr>
          <w:shd w:fill="fff2cc" w:val="clear"/>
          <w:rtl w:val="0"/>
        </w:rPr>
        <w:t xml:space="preserve">Brink (year-), a social scientist and psychologist, and Professor of human development and psychology at Crafton Hills College</w:t>
      </w:r>
      <w:r w:rsidDel="00000000" w:rsidR="00000000" w:rsidRPr="00000000">
        <w:rPr>
          <w:rtl w:val="0"/>
        </w:rPr>
        <w:t xml:space="preserve">, also has extensive work published within his field. During the publication of Brink’s paper in the late </w:t>
      </w:r>
      <w:r w:rsidDel="00000000" w:rsidR="00000000" w:rsidRPr="00000000">
        <w:rPr>
          <w:shd w:fill="fff2cc" w:val="clear"/>
          <w:rtl w:val="0"/>
        </w:rPr>
        <w:t xml:space="preserve">1970s, the USA saw a cultural shift </w:t>
      </w:r>
      <w:r w:rsidDel="00000000" w:rsidR="00000000" w:rsidRPr="00000000">
        <w:rPr>
          <w:rtl w:val="0"/>
        </w:rPr>
        <w:t xml:space="preserve">towards personal freedom and an exploration of alternative spiritualities and world-views, amid the aftermath of the Vietnam War and Watergate scandal, reflecting a broader questioning of traditional institutions. Gender also plays a role in this, with Woodhead noting that </w:t>
      </w:r>
      <w:r w:rsidDel="00000000" w:rsidR="00000000" w:rsidRPr="00000000">
        <w:rPr>
          <w:shd w:fill="fff2cc" w:val="clear"/>
          <w:rtl w:val="0"/>
        </w:rPr>
        <w:t xml:space="preserve">“...the growing individualization, which has taken place since the 1960s, has different impacts on women and men.”</w:t>
      </w:r>
      <w:r w:rsidDel="00000000" w:rsidR="00000000" w:rsidRPr="00000000">
        <w:rPr>
          <w:rtl w:val="0"/>
        </w:rPr>
        <w:t xml:space="preserve">. Grace Davie also notes this </w:t>
      </w:r>
      <w:r w:rsidDel="00000000" w:rsidR="00000000" w:rsidRPr="00000000">
        <w:rPr>
          <w:shd w:fill="fff2cc" w:val="clear"/>
          <w:rtl w:val="0"/>
        </w:rPr>
        <w:t xml:space="preserve">“...women's beliefs </w:t>
      </w:r>
      <w:r w:rsidDel="00000000" w:rsidR="00000000" w:rsidRPr="00000000">
        <w:rPr>
          <w:shd w:fill="fff2cc" w:val="clear"/>
          <w:rtl w:val="0"/>
        </w:rPr>
        <w:t xml:space="preserve">is different</w:t>
      </w:r>
      <w:r w:rsidDel="00000000" w:rsidR="00000000" w:rsidRPr="00000000">
        <w:rPr>
          <w:shd w:fill="fff2cc" w:val="clear"/>
          <w:rtl w:val="0"/>
        </w:rPr>
        <w:t xml:space="preserve"> from those of their male counterparts. These differences hold throughout the age range.”</w:t>
      </w:r>
      <w:r w:rsidDel="00000000" w:rsidR="00000000" w:rsidRPr="00000000">
        <w:rPr>
          <w:rtl w:val="0"/>
        </w:rPr>
        <w:t xml:space="preserve"> page 23.page 19. These, therefore, must be taken into consideration. Walter and Waterhouse's 1999 paper emerged in a UK increasingly influenced by globalisation and the </w:t>
      </w:r>
      <w:r w:rsidDel="00000000" w:rsidR="00000000" w:rsidRPr="00000000">
        <w:rPr>
          <w:shd w:fill="fff2cc" w:val="clear"/>
          <w:rtl w:val="0"/>
        </w:rPr>
        <w:t xml:space="preserve">digital revolution with the recent emergence of the internet</w:t>
      </w:r>
      <w:r w:rsidDel="00000000" w:rsidR="00000000" w:rsidRPr="00000000">
        <w:rPr>
          <w:rtl w:val="0"/>
        </w:rPr>
        <w:t xml:space="preserve">, amidst a </w:t>
      </w:r>
      <w:r w:rsidDel="00000000" w:rsidR="00000000" w:rsidRPr="00000000">
        <w:rPr>
          <w:shd w:fill="fff2cc" w:val="clear"/>
          <w:rtl w:val="0"/>
        </w:rPr>
        <w:t xml:space="preserve">resurgence of interest in New Age spirituality</w:t>
      </w:r>
      <w:r w:rsidDel="00000000" w:rsidR="00000000" w:rsidRPr="00000000">
        <w:rPr>
          <w:rtl w:val="0"/>
        </w:rPr>
        <w:t xml:space="preserve"> and a notable decline in traditional religious affiliation, as Gracie notes </w:t>
      </w:r>
      <w:r w:rsidDel="00000000" w:rsidR="00000000" w:rsidRPr="00000000">
        <w:rPr>
          <w:shd w:fill="fff2cc" w:val="clear"/>
          <w:rtl w:val="0"/>
        </w:rPr>
        <w:t xml:space="preserve">“…​​it remains abundantly clear that both church membership in an active sense and regular church attendance have become minority pursuits in contemporary Britain…”</w:t>
      </w:r>
      <w:r w:rsidDel="00000000" w:rsidR="00000000" w:rsidRPr="00000000">
        <w:rPr>
          <w:rtl w:val="0"/>
        </w:rPr>
      </w:r>
    </w:p>
    <w:p w:rsidR="00000000" w:rsidDel="00000000" w:rsidP="00000000" w:rsidRDefault="00000000" w:rsidRPr="00000000" w14:paraId="0000000A">
      <w:pPr>
        <w:spacing w:after="160" w:line="256.80001090909093" w:lineRule="auto"/>
        <w:ind w:left="0" w:firstLine="0"/>
        <w:rPr/>
      </w:pPr>
      <w:r w:rsidDel="00000000" w:rsidR="00000000" w:rsidRPr="00000000">
        <w:rPr>
          <w:rtl w:val="0"/>
        </w:rPr>
      </w:r>
    </w:p>
    <w:p w:rsidR="00000000" w:rsidDel="00000000" w:rsidP="00000000" w:rsidRDefault="00000000" w:rsidRPr="00000000" w14:paraId="0000000B">
      <w:pPr>
        <w:pStyle w:val="Heading1"/>
        <w:rPr/>
      </w:pPr>
      <w:bookmarkStart w:colFirst="0" w:colLast="0" w:name="_ig0q6smbb2v9" w:id="3"/>
      <w:bookmarkEnd w:id="3"/>
      <w:r w:rsidDel="00000000" w:rsidR="00000000" w:rsidRPr="00000000">
        <w:rPr>
          <w:rtl w:val="0"/>
        </w:rPr>
        <w:t xml:space="preserve">Summary of the papers </w:t>
      </w:r>
    </w:p>
    <w:p w:rsidR="00000000" w:rsidDel="00000000" w:rsidP="00000000" w:rsidRDefault="00000000" w:rsidRPr="00000000" w14:paraId="0000000C">
      <w:pPr>
        <w:ind w:firstLine="720"/>
        <w:rPr/>
      </w:pPr>
      <w:r w:rsidDel="00000000" w:rsidR="00000000" w:rsidRPr="00000000">
        <w:rPr>
          <w:rtl w:val="0"/>
        </w:rPr>
        <w:t xml:space="preserve">Walter &amp; Waterhouse's ‘A Very Private Belief: Reincarnation in Contemporary England’.</w:t>
      </w:r>
      <w:r w:rsidDel="00000000" w:rsidR="00000000" w:rsidRPr="00000000">
        <w:rPr>
          <w:shd w:fill="fff2cc" w:val="clear"/>
          <w:rtl w:val="0"/>
        </w:rPr>
        <w:t xml:space="preserve"> “explores what reincarnation means to some of those who believe in it…In particular, the article asks whether the twentieth century privatisation of belief makes it easier to hold beliefs not taught by one's church.” </w:t>
      </w:r>
      <w:r w:rsidDel="00000000" w:rsidR="00000000" w:rsidRPr="00000000">
        <w:rPr>
          <w:rtl w:val="0"/>
        </w:rPr>
        <w:t xml:space="preserve">(Page187). The authors argue that this trend underscores a broader shift towards a privatised, personalised spirituality, indicative of the evolving nature of religious identity in modern society. Utilising qualitative interviews, the study uncovers how individuals reconcile reincarnation with their Christian British upbringing. The central thesis posits that private beliefs in reincarnation reflect a form of spiritual expression that coexists with, yet is </w:t>
      </w:r>
      <w:r w:rsidDel="00000000" w:rsidR="00000000" w:rsidRPr="00000000">
        <w:rPr>
          <w:shd w:fill="fff2cc" w:val="clear"/>
          <w:rtl w:val="0"/>
        </w:rPr>
        <w:t xml:space="preserve">“detached from religious and other affiliations”(page 187)</w:t>
      </w:r>
      <w:r w:rsidDel="00000000" w:rsidR="00000000" w:rsidRPr="00000000">
        <w:rPr>
          <w:rtl w:val="0"/>
        </w:rPr>
        <w:t xml:space="preserve">. This exploration reveals a complex, layered approach to spirituality where personal beliefs subtly challenge and reshape conventional religious affiliations.</w:t>
      </w:r>
      <w:r w:rsidDel="00000000" w:rsidR="00000000" w:rsidRPr="00000000">
        <w:rPr>
          <w:shd w:fill="cfe2f3" w:val="clear"/>
          <w:rtl w:val="0"/>
        </w:rPr>
        <w:t xml:space="preserve"> Examples include interviews with participants who, despite a Christian background, express belief in reincarnation, highlighting the individualised nature of contemporary spiritual practices.</w:t>
      </w:r>
      <w:r w:rsidDel="00000000" w:rsidR="00000000" w:rsidRPr="00000000">
        <w:rPr>
          <w:rtl w:val="0"/>
        </w:rPr>
        <w:t xml:space="preserve"> </w:t>
      </w:r>
    </w:p>
    <w:p w:rsidR="00000000" w:rsidDel="00000000" w:rsidP="00000000" w:rsidRDefault="00000000" w:rsidRPr="00000000" w14:paraId="0000000D">
      <w:pPr>
        <w:ind w:firstLine="720"/>
        <w:rPr/>
      </w:pPr>
      <w:r w:rsidDel="00000000" w:rsidR="00000000" w:rsidRPr="00000000">
        <w:rPr>
          <w:rtl w:val="0"/>
        </w:rPr>
        <w:t xml:space="preserve">T.L. Brink's "Inconsistency of Belief among Roman Catholic Girls”, hypotheses that </w:t>
      </w:r>
      <w:r w:rsidDel="00000000" w:rsidR="00000000" w:rsidRPr="00000000">
        <w:rPr>
          <w:shd w:fill="fff2cc" w:val="clear"/>
          <w:rtl w:val="0"/>
        </w:rPr>
        <w:t xml:space="preserve">“Simultaneous belief in Roman Catholic doctrine, astrology, reincarnation is logically incompatible”</w:t>
      </w:r>
      <w:r w:rsidDel="00000000" w:rsidR="00000000" w:rsidRPr="00000000">
        <w:rPr>
          <w:rtl w:val="0"/>
        </w:rPr>
        <w:t xml:space="preserve">(page 82). Brink has a similar initial hypothesis similar to Leon Festinger who notes</w:t>
      </w:r>
      <w:r w:rsidDel="00000000" w:rsidR="00000000" w:rsidRPr="00000000">
        <w:rPr>
          <w:shd w:fill="fff2cc" w:val="clear"/>
          <w:rtl w:val="0"/>
        </w:rPr>
        <w:t xml:space="preserve"> </w:t>
      </w:r>
      <w:r w:rsidDel="00000000" w:rsidR="00000000" w:rsidRPr="00000000">
        <w:rPr>
          <w:shd w:fill="fff2cc" w:val="clear"/>
          <w:rtl w:val="0"/>
        </w:rPr>
        <w:t xml:space="preserve">“Such behaviour can be explained by a new theory concerning "cognitive dissonance." This theory centres around the idea that if a person knows various things that are not psychologically consistent with one another, he will, in a variety of ways, try to make them more consistent.”</w:t>
      </w:r>
      <w:r w:rsidDel="00000000" w:rsidR="00000000" w:rsidRPr="00000000">
        <w:rPr>
          <w:sz w:val="20"/>
          <w:szCs w:val="20"/>
          <w:shd w:fill="fff2cc" w:val="clear"/>
          <w:rtl w:val="0"/>
        </w:rPr>
        <w:t xml:space="preserve"> </w:t>
      </w:r>
      <w:r w:rsidDel="00000000" w:rsidR="00000000" w:rsidRPr="00000000">
        <w:rPr>
          <w:rtl w:val="0"/>
        </w:rPr>
        <w:t xml:space="preserve">page 93</w:t>
      </w:r>
      <w:r w:rsidDel="00000000" w:rsidR="00000000" w:rsidRPr="00000000">
        <w:rPr>
          <w:sz w:val="24"/>
          <w:szCs w:val="24"/>
          <w:rtl w:val="0"/>
        </w:rPr>
        <w:t xml:space="preserve">.</w:t>
      </w:r>
      <w:r w:rsidDel="00000000" w:rsidR="00000000" w:rsidRPr="00000000">
        <w:rPr>
          <w:rtl w:val="0"/>
        </w:rPr>
        <w:t xml:space="preserve"> Brink investigates the extent and nature of these inconsistencies through a survey methodology. Brink’s analysis provides insight into the ways young believers navigate and integrate diverse spiritual elements, offering a window into the dynamic process of belief formation in contemporary settings, although ultimately </w:t>
      </w:r>
      <w:r w:rsidDel="00000000" w:rsidR="00000000" w:rsidRPr="00000000">
        <w:rPr>
          <w:shd w:fill="fff2cc" w:val="clear"/>
          <w:rtl w:val="0"/>
        </w:rPr>
        <w:t xml:space="preserve">“The hypothesis was not confirmed”</w:t>
      </w:r>
      <w:r w:rsidDel="00000000" w:rsidR="00000000" w:rsidRPr="00000000">
        <w:rPr>
          <w:rtl w:val="0"/>
        </w:rPr>
        <w:t xml:space="preserve">.</w:t>
      </w:r>
    </w:p>
    <w:p w:rsidR="00000000" w:rsidDel="00000000" w:rsidP="00000000" w:rsidRDefault="00000000" w:rsidRPr="00000000" w14:paraId="0000000E">
      <w:pPr>
        <w:ind w:firstLine="720"/>
        <w:rPr/>
      </w:pPr>
      <w:r w:rsidDel="00000000" w:rsidR="00000000" w:rsidRPr="00000000">
        <w:rPr>
          <w:rtl w:val="0"/>
        </w:rPr>
      </w:r>
    </w:p>
    <w:p w:rsidR="00000000" w:rsidDel="00000000" w:rsidP="00000000" w:rsidRDefault="00000000" w:rsidRPr="00000000" w14:paraId="0000000F">
      <w:pPr>
        <w:pStyle w:val="Heading1"/>
        <w:rPr/>
      </w:pPr>
      <w:bookmarkStart w:colFirst="0" w:colLast="0" w:name="_vmcg5q2nvfza" w:id="4"/>
      <w:bookmarkEnd w:id="4"/>
      <w:r w:rsidDel="00000000" w:rsidR="00000000" w:rsidRPr="00000000">
        <w:rPr>
          <w:rtl w:val="0"/>
        </w:rPr>
        <w:t xml:space="preserve">Analysis </w:t>
      </w:r>
    </w:p>
    <w:p w:rsidR="00000000" w:rsidDel="00000000" w:rsidP="00000000" w:rsidRDefault="00000000" w:rsidRPr="00000000" w14:paraId="00000010">
      <w:pPr>
        <w:pStyle w:val="Heading2"/>
        <w:rPr/>
      </w:pPr>
      <w:bookmarkStart w:colFirst="0" w:colLast="0" w:name="_7s9ekyhtgqfm" w:id="5"/>
      <w:bookmarkEnd w:id="5"/>
      <w:r w:rsidDel="00000000" w:rsidR="00000000" w:rsidRPr="00000000">
        <w:rPr>
          <w:rtl w:val="0"/>
        </w:rPr>
        <w:t xml:space="preserve">Writing Styles</w:t>
      </w:r>
    </w:p>
    <w:p w:rsidR="00000000" w:rsidDel="00000000" w:rsidP="00000000" w:rsidRDefault="00000000" w:rsidRPr="00000000" w14:paraId="00000011">
      <w:pPr>
        <w:ind w:firstLine="720"/>
        <w:rPr/>
      </w:pPr>
      <w:r w:rsidDel="00000000" w:rsidR="00000000" w:rsidRPr="00000000">
        <w:rPr>
          <w:rtl w:val="0"/>
        </w:rPr>
        <w:t xml:space="preserve">Walter and Waterhouse’s paper presents a well structured and compelling narrative, seamlessly integrating their data and interview insights into their work. Their prose, while academic, maintains clarity and accessibility, balancing sociological ideas with the perspectives of their interviewees skillfully. Moreover, despite the occasional use of specialised terms such as </w:t>
      </w:r>
      <w:r w:rsidDel="00000000" w:rsidR="00000000" w:rsidRPr="00000000">
        <w:rPr>
          <w:shd w:fill="fff2cc" w:val="clear"/>
          <w:rtl w:val="0"/>
        </w:rPr>
        <w:t xml:space="preserve">“theodicy”</w:t>
      </w:r>
      <w:r w:rsidDel="00000000" w:rsidR="00000000" w:rsidRPr="00000000">
        <w:rPr>
          <w:rtl w:val="0"/>
        </w:rPr>
        <w:t xml:space="preserve">(page 187, 193), </w:t>
      </w:r>
      <w:r w:rsidDel="00000000" w:rsidR="00000000" w:rsidRPr="00000000">
        <w:rPr>
          <w:shd w:fill="f4cccc" w:val="clear"/>
          <w:rtl w:val="0"/>
        </w:rPr>
        <w:t xml:space="preserve">that may pose challenges for some readers,</w:t>
      </w:r>
      <w:r w:rsidDel="00000000" w:rsidR="00000000" w:rsidRPr="00000000">
        <w:rPr>
          <w:rtl w:val="0"/>
        </w:rPr>
        <w:t xml:space="preserve"> the paper remains engaging, offering a deep dive into the complexities of modern spirituality without veering into overtly technical jargon. The authors conscientiously acknowledge their research's scope and limitations, particularly their decision to focus on non-Eastern adherents of reincarnation, thus providing a transparent and reflective examination of the subject. This thoughtful approach, coupled with their mostly (</w:t>
      </w:r>
      <w:r w:rsidDel="00000000" w:rsidR="00000000" w:rsidRPr="00000000">
        <w:rPr>
          <w:shd w:fill="fff2cc" w:val="clear"/>
          <w:rtl w:val="0"/>
        </w:rPr>
        <w:t xml:space="preserve">as Alan Bryman points out </w:t>
      </w:r>
      <w:r w:rsidDel="00000000" w:rsidR="00000000" w:rsidRPr="00000000">
        <w:rPr>
          <w:shd w:fill="fff2cc" w:val="clear"/>
          <w:rtl w:val="0"/>
        </w:rPr>
        <w:t xml:space="preserve">“Each of the philosophical positions which underpins such research displays a devotion to participants’ perspectives, and it would be very difficult to find an exposition of qualitative research in which the theme does not figure strongly” page 71</w:t>
      </w:r>
      <w:r w:rsidDel="00000000" w:rsidR="00000000" w:rsidRPr="00000000">
        <w:rPr>
          <w:sz w:val="24"/>
          <w:szCs w:val="24"/>
          <w:rtl w:val="0"/>
        </w:rPr>
        <w:t xml:space="preserve">) </w:t>
      </w:r>
      <w:r w:rsidDel="00000000" w:rsidR="00000000" w:rsidRPr="00000000">
        <w:rPr>
          <w:rtl w:val="0"/>
        </w:rPr>
        <w:t xml:space="preserve">objective analysis, underscores the significance of their findings within the broader discourse on contemporary religious belief and identity in England, striking a harmonious balance between scholarly detail and the accessibility of complex concepts.</w:t>
      </w:r>
    </w:p>
    <w:p w:rsidR="00000000" w:rsidDel="00000000" w:rsidP="00000000" w:rsidRDefault="00000000" w:rsidRPr="00000000" w14:paraId="00000012">
      <w:pPr>
        <w:ind w:firstLine="720"/>
        <w:rPr/>
      </w:pPr>
      <w:r w:rsidDel="00000000" w:rsidR="00000000" w:rsidRPr="00000000">
        <w:rPr>
          <w:rtl w:val="0"/>
        </w:rPr>
        <w:t xml:space="preserve">Conversely, Brink’s paper is short and concise. It has a clear and direct writing style and logical structure from the onset, with a clear hypothesis, results and discussion. Brink displays complex ideas in an easily understandable way, for example noting that, </w:t>
      </w:r>
      <w:r w:rsidDel="00000000" w:rsidR="00000000" w:rsidRPr="00000000">
        <w:rPr>
          <w:shd w:fill="fff2cc" w:val="clear"/>
          <w:rtl w:val="0"/>
        </w:rPr>
        <w:t xml:space="preserve">“Although these attitudes are structurally incompatible with each other, they serve similar functions to some adolescent girls: the provision of security in the face of confusion and uncertainty.</w:t>
      </w:r>
      <w:r w:rsidDel="00000000" w:rsidR="00000000" w:rsidRPr="00000000">
        <w:rPr>
          <w:rtl w:val="0"/>
        </w:rPr>
        <w:t xml:space="preserve">” (page 82). Furthermore, Brink refers to theoretical frameworks without delving into overly technical jargon, with only the odd point that may stump some readers such as </w:t>
      </w:r>
      <w:r w:rsidDel="00000000" w:rsidR="00000000" w:rsidRPr="00000000">
        <w:rPr>
          <w:shd w:fill="fff2cc" w:val="clear"/>
          <w:rtl w:val="0"/>
        </w:rPr>
        <w:t xml:space="preserve">“The author presents a functional perspective”</w:t>
      </w:r>
      <w:r w:rsidDel="00000000" w:rsidR="00000000" w:rsidRPr="00000000">
        <w:rPr>
          <w:rtl w:val="0"/>
        </w:rPr>
        <w:t xml:space="preserve"> (page 82). Brink has more of an argumentative stance than Walter &amp; Waterhouse, with points such as </w:t>
      </w:r>
      <w:r w:rsidDel="00000000" w:rsidR="00000000" w:rsidRPr="00000000">
        <w:rPr>
          <w:shd w:fill="fff2cc" w:val="clear"/>
          <w:rtl w:val="0"/>
        </w:rPr>
        <w:t xml:space="preserve">“Some teachers in parochial schools have encouraged students to doubt religious dogma, and have fostered interest in Eastern religions humanistic philosophy” </w:t>
      </w:r>
      <w:r w:rsidDel="00000000" w:rsidR="00000000" w:rsidRPr="00000000">
        <w:rPr>
          <w:rtl w:val="0"/>
        </w:rPr>
        <w:t xml:space="preserve">(page 84). Finally, Brinks acknowledgement of unexpected findings suggests an objective approach, with points like</w:t>
      </w:r>
      <w:r w:rsidDel="00000000" w:rsidR="00000000" w:rsidRPr="00000000">
        <w:rPr>
          <w:shd w:fill="fff2cc" w:val="clear"/>
          <w:rtl w:val="0"/>
        </w:rPr>
        <w:t xml:space="preserve"> “The most striking finding is the tendency of some subjects to report a belief in both”</w:t>
      </w:r>
      <w:r w:rsidDel="00000000" w:rsidR="00000000" w:rsidRPr="00000000">
        <w:rPr>
          <w:rtl w:val="0"/>
        </w:rPr>
        <w:t xml:space="preserve"> (page 83).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2"/>
        <w:rPr/>
      </w:pPr>
      <w:bookmarkStart w:colFirst="0" w:colLast="0" w:name="_nwgmtukt4i13" w:id="6"/>
      <w:bookmarkEnd w:id="6"/>
      <w:r w:rsidDel="00000000" w:rsidR="00000000" w:rsidRPr="00000000">
        <w:rPr>
          <w:rtl w:val="0"/>
        </w:rPr>
        <w:t xml:space="preserve">Methodological and Theoretical approaches</w:t>
      </w:r>
    </w:p>
    <w:p w:rsidR="00000000" w:rsidDel="00000000" w:rsidP="00000000" w:rsidRDefault="00000000" w:rsidRPr="00000000" w14:paraId="00000015">
      <w:pPr>
        <w:ind w:firstLine="720"/>
        <w:rPr>
          <w:shd w:fill="fff2cc" w:val="clear"/>
        </w:rPr>
      </w:pPr>
      <w:r w:rsidDel="00000000" w:rsidR="00000000" w:rsidRPr="00000000">
        <w:rPr>
          <w:rtl w:val="0"/>
        </w:rPr>
        <w:t xml:space="preserve">Brink’s study employs a quantitative approach,</w:t>
      </w:r>
      <w:r w:rsidDel="00000000" w:rsidR="00000000" w:rsidRPr="00000000">
        <w:rPr>
          <w:shd w:fill="fff2cc" w:val="clear"/>
          <w:rtl w:val="0"/>
        </w:rPr>
        <w:t xml:space="preserve"> </w:t>
      </w:r>
      <w:hyperlink r:id="rId6">
        <w:r w:rsidDel="00000000" w:rsidR="00000000" w:rsidRPr="00000000">
          <w:rPr>
            <w:shd w:fill="fff2cc" w:val="clear"/>
            <w:rtl w:val="0"/>
          </w:rPr>
          <w:t xml:space="preserve">Encyclopedia of Applied Ethics, 2012</w:t>
        </w:r>
      </w:hyperlink>
      <w:r w:rsidDel="00000000" w:rsidR="00000000" w:rsidRPr="00000000">
        <w:rPr>
          <w:shd w:fill="fff2cc" w:val="clear"/>
          <w:rtl w:val="0"/>
        </w:rPr>
        <w:t xml:space="preserve"> describes quantitative research </w:t>
      </w:r>
      <w:r w:rsidDel="00000000" w:rsidR="00000000" w:rsidRPr="00000000">
        <w:rPr>
          <w:shd w:fill="fff2cc" w:val="clear"/>
          <w:rtl w:val="0"/>
        </w:rPr>
        <w:t xml:space="preserve">as an objective, formal, systematic process in which numerical data are used to quantify or measure social phenomena and produce findings.”</w:t>
      </w:r>
      <w:r w:rsidDel="00000000" w:rsidR="00000000" w:rsidRPr="00000000">
        <w:rPr>
          <w:rtl w:val="0"/>
        </w:rPr>
        <w:t xml:space="preserve">. Brink</w:t>
      </w:r>
      <w:r w:rsidDel="00000000" w:rsidR="00000000" w:rsidRPr="00000000">
        <w:rPr>
          <w:rtl w:val="0"/>
        </w:rPr>
        <w:t xml:space="preserve"> employed surveys to </w:t>
      </w:r>
      <w:r w:rsidDel="00000000" w:rsidR="00000000" w:rsidRPr="00000000">
        <w:rPr>
          <w:shd w:fill="fff2cc" w:val="clear"/>
          <w:rtl w:val="0"/>
        </w:rPr>
        <w:t xml:space="preserve">“227 juniors and seniors at a Catholic high school”</w:t>
      </w:r>
      <w:r w:rsidDel="00000000" w:rsidR="00000000" w:rsidRPr="00000000">
        <w:rPr>
          <w:rtl w:val="0"/>
        </w:rPr>
        <w:t xml:space="preserve"> in the US, (page 83) to explore belief inconsistencies among Roman Catholic girls, remaining impartial in the way that the information is presented and dealt with, grounding his analysis in cognitive consistency theories. Despite Brink’s underlying philosophy and hypothesis setting out that this cognitive dissonance would be </w:t>
      </w:r>
      <w:r w:rsidDel="00000000" w:rsidR="00000000" w:rsidRPr="00000000">
        <w:rPr>
          <w:shd w:fill="fff2cc" w:val="clear"/>
          <w:rtl w:val="0"/>
        </w:rPr>
        <w:t xml:space="preserve">“logically incompatible”</w:t>
      </w:r>
      <w:r w:rsidDel="00000000" w:rsidR="00000000" w:rsidRPr="00000000">
        <w:rPr>
          <w:rtl w:val="0"/>
        </w:rPr>
        <w:t xml:space="preserve"> (page 82), as </w:t>
      </w:r>
      <w:r w:rsidDel="00000000" w:rsidR="00000000" w:rsidRPr="00000000">
        <w:rPr>
          <w:shd w:fill="fff2cc" w:val="clear"/>
          <w:rtl w:val="0"/>
        </w:rPr>
        <w:t xml:space="preserve">“The body of Catholic doctrine presumes both the omnipotence of God and the free man, which is inconsistent with fate being determined by the stars”</w:t>
      </w:r>
      <w:r w:rsidDel="00000000" w:rsidR="00000000" w:rsidRPr="00000000">
        <w:rPr>
          <w:rtl w:val="0"/>
        </w:rPr>
        <w:t xml:space="preserve"> (page 82) ultimately he concludes that such beliefs can coexist without significant psychological conflict, noting that </w:t>
      </w:r>
      <w:r w:rsidDel="00000000" w:rsidR="00000000" w:rsidRPr="00000000">
        <w:rPr>
          <w:shd w:fill="fff2cc" w:val="clear"/>
          <w:rtl w:val="0"/>
        </w:rPr>
        <w:t xml:space="preserve">“Beliefs which could not fit together in the structure of the same logical system, nevertheless, may serve similar functions as different means to the same end.”</w:t>
      </w:r>
    </w:p>
    <w:p w:rsidR="00000000" w:rsidDel="00000000" w:rsidP="00000000" w:rsidRDefault="00000000" w:rsidRPr="00000000" w14:paraId="00000016">
      <w:pPr>
        <w:ind w:firstLine="720"/>
        <w:rPr>
          <w:shd w:fill="fff2cc" w:val="clear"/>
        </w:rPr>
      </w:pPr>
      <w:r w:rsidDel="00000000" w:rsidR="00000000" w:rsidRPr="00000000">
        <w:rPr>
          <w:rtl w:val="0"/>
        </w:rPr>
        <w:t xml:space="preserve">In contrast, Walter &amp; Waterhouse adopt a qualitative methodology, Alan Bryman notes this methodology is </w:t>
      </w:r>
      <w:r w:rsidDel="00000000" w:rsidR="00000000" w:rsidRPr="00000000">
        <w:rPr>
          <w:shd w:fill="fff2cc" w:val="clear"/>
          <w:rtl w:val="0"/>
        </w:rPr>
        <w:t xml:space="preserve">“...associated with participant observation and unstructured, in-depth interviewing.”</w:t>
      </w:r>
      <w:r w:rsidDel="00000000" w:rsidR="00000000" w:rsidRPr="00000000">
        <w:rPr>
          <w:rtl w:val="0"/>
        </w:rPr>
        <w:t xml:space="preserve"> page 1. Walter &amp; Waterhouse used open-ended interviews to explore reincarnation beliefs in England. </w:t>
      </w:r>
      <w:r w:rsidDel="00000000" w:rsidR="00000000" w:rsidRPr="00000000">
        <w:rPr>
          <w:shd w:fill="d9ead3" w:val="clear"/>
          <w:rtl w:val="0"/>
        </w:rPr>
        <w:t xml:space="preserve">(how many people)</w:t>
      </w:r>
      <w:r w:rsidDel="00000000" w:rsidR="00000000" w:rsidRPr="00000000">
        <w:rPr>
          <w:rtl w:val="0"/>
        </w:rPr>
        <w:t xml:space="preserve">. This methodological choice facilitates a deep, narrative-driven exploration of subjects' beliefs, emphasising the diversity and personalization of spiritual experiences outside traditional religious frameworks. Two-thirds of their respondents were female, and a third practising Christians, they noted that </w:t>
      </w:r>
      <w:r w:rsidDel="00000000" w:rsidR="00000000" w:rsidRPr="00000000">
        <w:rPr>
          <w:shd w:fill="fff2cc" w:val="clear"/>
          <w:rtl w:val="0"/>
        </w:rPr>
        <w:t xml:space="preserve">“Our sample is reasonably typical of reincarnationists (as identified by the European Values Survey) in respect to gender and conventional religiosity, but considerably over-represents the older age groups and the higher social classes.”</w:t>
      </w:r>
      <w:r w:rsidDel="00000000" w:rsidR="00000000" w:rsidRPr="00000000">
        <w:rPr>
          <w:rtl w:val="0"/>
        </w:rPr>
        <w:t xml:space="preserve">, openly pointing out what was over represented in their study and what was not. Walter &amp; Waterhouse </w:t>
      </w:r>
      <w:r w:rsidDel="00000000" w:rsidR="00000000" w:rsidRPr="00000000">
        <w:rPr>
          <w:shd w:fill="fff2cc" w:val="clear"/>
          <w:rtl w:val="0"/>
        </w:rPr>
        <w:t xml:space="preserve">“deliberately excluded Hindus, Sikhs, and Buddhists”, and “New Agers”</w:t>
      </w:r>
      <w:r w:rsidDel="00000000" w:rsidR="00000000" w:rsidRPr="00000000">
        <w:rPr>
          <w:rtl w:val="0"/>
        </w:rPr>
        <w:t xml:space="preserve"> as to not include individuals who</w:t>
      </w:r>
      <w:r w:rsidDel="00000000" w:rsidR="00000000" w:rsidRPr="00000000">
        <w:rPr>
          <w:shd w:fill="fff2cc" w:val="clear"/>
          <w:rtl w:val="0"/>
        </w:rPr>
        <w:t xml:space="preserve"> “believe it because their religion tells them to”.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pStyle w:val="Heading2"/>
        <w:rPr/>
      </w:pPr>
      <w:bookmarkStart w:colFirst="0" w:colLast="0" w:name="_lfp1l62xfb04" w:id="7"/>
      <w:bookmarkEnd w:id="7"/>
      <w:r w:rsidDel="00000000" w:rsidR="00000000" w:rsidRPr="00000000">
        <w:rPr>
          <w:rtl w:val="0"/>
        </w:rPr>
        <w:t xml:space="preserve">Researcher Positionality </w:t>
      </w:r>
    </w:p>
    <w:p w:rsidR="00000000" w:rsidDel="00000000" w:rsidP="00000000" w:rsidRDefault="00000000" w:rsidRPr="00000000" w14:paraId="0000001A">
      <w:pPr>
        <w:ind w:firstLine="720"/>
        <w:rPr/>
      </w:pPr>
      <w:r w:rsidDel="00000000" w:rsidR="00000000" w:rsidRPr="00000000">
        <w:rPr>
          <w:rtl w:val="0"/>
        </w:rPr>
        <w:t xml:space="preserve">T.L. Brink's psychology background directs the research towards measuring beliefs statistically, Brink collected the data in June 1976</w:t>
      </w:r>
      <w:r w:rsidDel="00000000" w:rsidR="00000000" w:rsidRPr="00000000">
        <w:rPr>
          <w:shd w:fill="fff2cc" w:val="clear"/>
          <w:rtl w:val="0"/>
        </w:rPr>
        <w:t xml:space="preserve"> “by administering the questionnaires during class time”</w:t>
      </w:r>
      <w:r w:rsidDel="00000000" w:rsidR="00000000" w:rsidRPr="00000000">
        <w:rPr>
          <w:rtl w:val="0"/>
        </w:rPr>
        <w:t xml:space="preserve"> and </w:t>
      </w:r>
      <w:r w:rsidDel="00000000" w:rsidR="00000000" w:rsidRPr="00000000">
        <w:rPr>
          <w:shd w:fill="fff2cc" w:val="clear"/>
          <w:rtl w:val="0"/>
        </w:rPr>
        <w:t xml:space="preserve">“Whoever was present in religion (a required course) that day got a questionnaire”.</w:t>
      </w:r>
      <w:r w:rsidDel="00000000" w:rsidR="00000000" w:rsidRPr="00000000">
        <w:rPr>
          <w:rtl w:val="0"/>
        </w:rPr>
        <w:t xml:space="preserve"> This position potentially sidelines the subjective, emotional, and cultural nuances of spirituality. For instance, his use of surveys to gauge beliefs in astrology and reincarnation among students may neglect the rich, lived experiences behind these beliefs, which although presents less bias than qualitative research, can sometimes lead to “more questions than it answers” as Brink discovered. </w:t>
      </w:r>
    </w:p>
    <w:p w:rsidR="00000000" w:rsidDel="00000000" w:rsidP="00000000" w:rsidRDefault="00000000" w:rsidRPr="00000000" w14:paraId="0000001B">
      <w:pPr>
        <w:ind w:firstLine="720"/>
        <w:rPr/>
      </w:pPr>
      <w:r w:rsidDel="00000000" w:rsidR="00000000" w:rsidRPr="00000000">
        <w:rPr>
          <w:rtl w:val="0"/>
        </w:rPr>
        <w:t xml:space="preserve">Conversely, Walter &amp; Waterhouse's engagement with their qualitative exploration of reincarnation beliefs in England illustrate their commitment to understanding spirituality as a multifaceted phenomenon. This method underscores the emotional and cultural dimensions of spiritual beliefs, although, this focus on narrative depth could introduce biases towards subjective interpretation, and the expense of broader generalisability. However, as Walter &amp; Waterhouse note, </w:t>
      </w:r>
      <w:r w:rsidDel="00000000" w:rsidR="00000000" w:rsidRPr="00000000">
        <w:rPr>
          <w:shd w:fill="fff2cc" w:val="clear"/>
          <w:rtl w:val="0"/>
        </w:rPr>
        <w:t xml:space="preserve">“The intention was not to assemble a representative sample, but to discover the range of meanings given to the idea of reincarnation; to this end, the interviews were very open-ended, care was taken to let interviewees speak in their own terms, and interviewers were careful not to ask leading questions.”</w:t>
      </w:r>
      <w:r w:rsidDel="00000000" w:rsidR="00000000" w:rsidRPr="00000000">
        <w:rPr>
          <w:rtl w:val="0"/>
        </w:rPr>
        <w:t xml:space="preserve"> p 189, showing their attempt to keep potential bias low. </w:t>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2"/>
        <w:rPr/>
      </w:pPr>
      <w:bookmarkStart w:colFirst="0" w:colLast="0" w:name="_yzqv1rxqsa6d" w:id="8"/>
      <w:bookmarkEnd w:id="8"/>
      <w:r w:rsidDel="00000000" w:rsidR="00000000" w:rsidRPr="00000000">
        <w:rPr>
          <w:rtl w:val="0"/>
        </w:rPr>
        <w:t xml:space="preserve">Sources analysis </w:t>
      </w:r>
    </w:p>
    <w:p w:rsidR="00000000" w:rsidDel="00000000" w:rsidP="00000000" w:rsidRDefault="00000000" w:rsidRPr="00000000" w14:paraId="0000001F">
      <w:pPr>
        <w:ind w:firstLine="720"/>
        <w:rPr/>
      </w:pPr>
      <w:r w:rsidDel="00000000" w:rsidR="00000000" w:rsidRPr="00000000">
        <w:rPr>
          <w:rtl w:val="0"/>
        </w:rPr>
        <w:t xml:space="preserve">Walter and Waterhouse's paper engages with a diverse array of scholarly sources. Drawing from the works of esteemed scholars such as Peter Berger, Steve Bruce, Grace Davie, Anthony Giddens, Geoffrey Gorer, and Paul Heelas, the authors provide a nuanced understanding of the sociocultural landscape surrounding spiritual beliefs. The inclusion of these authoritative voices enhances the credibility and depth of their analysis, allowing for a comprehensive exploration of the subject matter. Moreover, the choice of reputable publishers such as Routledge, Oxford University Press, University of Chicago Press, the Journal for the Scientific Study of Religion, and Blackwell further solidifies the scholarly rigour of Walter and Waterhouse's research. By integrating insights from these esteemed sources, the authors effectively situate their study within the broader academic discourse on religion, spirituality, and societal trends. This critical engagement with existing literature enriches the theoretical framework of their paper and contributes to a more nuanced understanding of reincarnation beliefs in contemporary England. In contrast, the use of sources from less reputable authors or publishers may introduce potential biases or limitations into Walter and Waterhouse's analysis. Sources from publishers such as Virgin or Valley of the Sun Publishing, or authors without established credentials, may lack the scholarly rigour needed for robust academic discourse.</w:t>
      </w:r>
    </w:p>
    <w:p w:rsidR="00000000" w:rsidDel="00000000" w:rsidP="00000000" w:rsidRDefault="00000000" w:rsidRPr="00000000" w14:paraId="00000020">
      <w:pPr>
        <w:rPr/>
      </w:pPr>
      <w:r w:rsidDel="00000000" w:rsidR="00000000" w:rsidRPr="00000000">
        <w:rPr>
          <w:rtl w:val="0"/>
        </w:rPr>
        <w:tab/>
        <w:t xml:space="preserve">Brink’s paper also draws upon a diverse range of sources. The inclusion of sources from esteemed scholars such as Robert Bellah, Erik H. Erickson, Leon Festinger, Sigmund Freud, Milton Rokeach, and others adds depth and credibility to the analysis. These scholars are renowned in their respective fields, and their research has significantly contributed to the understanding of cognitive processes, identity development, and belief systems. Moreover, Brink incorporates sources from reputable publishers such as Norton, Harper, Basic Books, and Yale University Press, further enhancing the scholarly rigour of the paper. These publishers are well-known for their academic publications and adhere to rigorous editorial standards, increasing the credibility of the sources cited. Overall, Brink's paper benefits from the inclusion of reputable sources and publishers, which enhance its scholarly credibility. However, a more diverse range of sources and perspectives could have strengthened the analysis and provided a more nuanced understanding of the topic.</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rPr/>
      </w:pPr>
      <w:bookmarkStart w:colFirst="0" w:colLast="0" w:name="_gnmsgy72oak9" w:id="9"/>
      <w:bookmarkEnd w:id="9"/>
      <w:r w:rsidDel="00000000" w:rsidR="00000000" w:rsidRPr="00000000">
        <w:rPr>
          <w:rtl w:val="0"/>
        </w:rPr>
        <w:t xml:space="preserve">Conclusion analysis </w:t>
      </w:r>
    </w:p>
    <w:p w:rsidR="00000000" w:rsidDel="00000000" w:rsidP="00000000" w:rsidRDefault="00000000" w:rsidRPr="00000000" w14:paraId="00000024">
      <w:pPr>
        <w:ind w:firstLine="720"/>
        <w:rPr/>
      </w:pPr>
      <w:r w:rsidDel="00000000" w:rsidR="00000000" w:rsidRPr="00000000">
        <w:rPr>
          <w:rtl w:val="0"/>
        </w:rPr>
        <w:t xml:space="preserve">Walter &amp; Waterhouse’s conclusion has a logical and well laid out structure, restating their thesis and noting that “Our interviews confirm that it is perfectly possible both to go to church and to believe in reincarnation” p 195, they summarise key points, and end with a strong closing statement, noting that belief in reincarnation is akin to “the folk religion of the media age” 196 and that “It is the ultimate detached belief” 196. However, this is also a bold statement for the sample size and lack of diversity within the study, although quite convincing. Brink’s, on the other hand, had a combined discussion and conclusion, which was also around half of the full paper. He starts by addressing the thesis outcome, being that the thesis was not confirmed, noting that “</w:t>
      </w:r>
      <w:r w:rsidDel="00000000" w:rsidR="00000000" w:rsidRPr="00000000">
        <w:rPr>
          <w:rtl w:val="0"/>
        </w:rPr>
        <w:t xml:space="preserve">Acceptance of one </w:t>
      </w:r>
      <w:r w:rsidDel="00000000" w:rsidR="00000000" w:rsidRPr="00000000">
        <w:rPr>
          <w:rtl w:val="0"/>
        </w:rPr>
        <w:t xml:space="preserve">system was no assurance that incompatible beliefs would be rejected.”. Brink then references relevant research, showing similarities within Thai religion, and American adolescents, bolstering his study, in fact, much of Brink’s sources are within this section, and although quite different to Walter &amp; Waterhouse’s layout, it makes sense considering this section takes up much of the paper, and previous sections mostly simply lay out the data gathered. Brink also takes note of the possible influence of the “development of the counterculture the last ten years”  (page 84), or that “...religious education itself is not striving adherence to a prescribed set of dogmas…” further bolding stating “Some teachers in parochial schools have encouraged student doubt religious dogma.”, but does not show evidence. Brink has a convincing closing statement. Overall, both conclusions take in mind the rest of their texts, and come across quite convincing, even though Brink’s hypothesis was proved null.</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rPr/>
      </w:pPr>
      <w:bookmarkStart w:colFirst="0" w:colLast="0" w:name="_446x8h7om9ls" w:id="10"/>
      <w:bookmarkEnd w:id="10"/>
      <w:r w:rsidDel="00000000" w:rsidR="00000000" w:rsidRPr="00000000">
        <w:rPr>
          <w:rtl w:val="0"/>
        </w:rPr>
        <w:t xml:space="preserve">Strengths and weaknesses</w:t>
      </w:r>
    </w:p>
    <w:p w:rsidR="00000000" w:rsidDel="00000000" w:rsidP="00000000" w:rsidRDefault="00000000" w:rsidRPr="00000000" w14:paraId="00000027">
      <w:pPr>
        <w:rPr/>
      </w:pPr>
      <w:r w:rsidDel="00000000" w:rsidR="00000000" w:rsidRPr="00000000">
        <w:rPr>
          <w:rtl w:val="0"/>
        </w:rPr>
        <w:t xml:space="preserve">Since Brink and Walter &amp; Waterhouse’s employ differing methodologies, As Yilmaz notes “Quantitative and qualitative research designs differ in terms of their epistemological, theoretical and methodological underpinnings.”, so we have to consider them differently. (Page 312). Brink’s study provides a unique perspective by quantitatively assessing conflicting Christian faith against beliefs in astrology and reincarnation. This approach, grounded in cognitive theories, offers quantifiable insights into the complex nature of religious beliefs. A strength is its empirical basis, however, a weakness is its limited context—conducted within a single Catholic school, with only female participants, potentially biassing responses towards a specific demographic, this also sets limits to its generalisability across broader populations. Additionally, the lack of a comparative analysis with other groups restricts the study's scope, potentially overlooking broader socio-cultural influences on belief inconsistencies. On the other hand, Walter &amp; Waterhouse's Study excels in its qualitative depth. Their approach provides rich, narrative data, this methodological choice emphasised the privatised nature of spirituality, offering valuable insights into individual belief systems beyond traditional religious affiliations. However, as Alan Bryman notes “The assumption that an interpretive approach to the study of social action is feasible often goes unexamined” page 72. Moreover, the absence of quantifiable data limits the study's ability to generalise its findings or fully understand the influence of societal factors on beliefs in reincarnation. Overall, a mixed methods approach with a more varied variety of respondents would benefit both studies.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rPr/>
      </w:pPr>
      <w:bookmarkStart w:colFirst="0" w:colLast="0" w:name="_8s6lmmwgfqiq" w:id="11"/>
      <w:bookmarkEnd w:id="11"/>
      <w:r w:rsidDel="00000000" w:rsidR="00000000" w:rsidRPr="00000000">
        <w:rPr>
          <w:rtl w:val="0"/>
        </w:rPr>
        <w:t xml:space="preserve">Conclusion </w:t>
      </w:r>
    </w:p>
    <w:p w:rsidR="00000000" w:rsidDel="00000000" w:rsidP="00000000" w:rsidRDefault="00000000" w:rsidRPr="00000000" w14:paraId="0000002A">
      <w:pPr>
        <w:ind w:firstLine="720"/>
        <w:rPr/>
      </w:pPr>
      <w:r w:rsidDel="00000000" w:rsidR="00000000" w:rsidRPr="00000000">
        <w:rPr>
          <w:rtl w:val="0"/>
        </w:rPr>
        <w:t xml:space="preserve">In addressing the aim of this essay, which was to compare and contrast the studies by Brink and Walter &amp; Waterhouse, it's evident that both pieces of research provide invaluable insights into the complexities of spiritual beliefs within specific societal and cultural contexts. The main difference between the two studies lies in their methodological approaches: Brink's quantitative analysis provides a structured exploration of belief inconsistencies, offering a macroscopic view of how individual beliefs align or diverge from traditional religious doctrines. In contrast, Walter &amp; Waterhouse's qualitative investigation delves into the subjective experiences of individuals, presenting a more detailed and nuanced understanding of how people reconcile traditional Christian beliefs with the concept of reincarnation. Another significant difference is the focus of each study. Brink concentrates on the cognitive and psychological aspects of holding inconsistent beliefs among Roman Catholic girls, suggesting a broader societal trend towards nuanced, individualised spirituality. Walter &amp; Waterhouse, however, explore the personal and private nature of belief in reincarnation among adults in England, highlighting a privatised and personalised form of spirituality that coexists with traditional Christian beliefs without necessarily disrupting them. Despite these differences, both studies underscore a common theme: the evolving nature of spiritual identity in the modern world, where traditional and non-traditional beliefs can coexist within individual belief systems. They reveal a shift towards more personalised and privatised forms of spirituality, where individuals navigate and incorporate a range of spiritual beliefs into their personal faith journeys. This reflects a broader societal movement towards the valorization of personal experience and autonomy in constructing spiritual identities. Conclusively, the comparison of Brink's and Walter &amp; Waterhouse's research illuminates the dynamic interplay between traditional religious affiliations and individual belief systems, enriching our understanding of contemporary spirituality. Their similarities and differences contribute to the ongoing dialogue on the sociology of religion, highlighting the need for a flexible and inclusive approach to studying belief systems in a rapidly changing world. This analysis reaffirms the essay's aim by providing a critical examination of how individual beliefs in reincarnation, situated within broader cultural and societal shifts, reflect the multifaceted nature of personal spirituality today.</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sciencedirect.com/science/article/pii/B9780123739322003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