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54EA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9078531"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8613C3">
        <w:rPr>
          <w:rFonts w:ascii="Arial" w:hAnsi="Arial" w:cs="Arial"/>
          <w:sz w:val="28"/>
          <w:szCs w:val="28"/>
          <w:lang w:val="nl-NL"/>
        </w:rPr>
        <w:t>Introduction</w:t>
      </w:r>
      <w:proofErr w:type="spellEnd"/>
      <w:r w:rsidR="008613C3">
        <w:rPr>
          <w:rFonts w:ascii="Arial" w:hAnsi="Arial" w:cs="Arial"/>
          <w:sz w:val="28"/>
          <w:szCs w:val="28"/>
          <w:lang w:val="nl-NL"/>
        </w:rPr>
        <w:t xml:space="preserve"> </w:t>
      </w:r>
      <w:proofErr w:type="spellStart"/>
      <w:r w:rsidR="008613C3">
        <w:rPr>
          <w:rFonts w:ascii="Arial" w:hAnsi="Arial" w:cs="Arial"/>
          <w:sz w:val="28"/>
          <w:szCs w:val="28"/>
          <w:lang w:val="nl-NL"/>
        </w:rPr>
        <w:t>to</w:t>
      </w:r>
      <w:proofErr w:type="spellEnd"/>
      <w:r w:rsidR="008613C3">
        <w:rPr>
          <w:rFonts w:ascii="Arial" w:hAnsi="Arial" w:cs="Arial"/>
          <w:sz w:val="28"/>
          <w:szCs w:val="28"/>
          <w:lang w:val="nl-NL"/>
        </w:rPr>
        <w:t xml:space="preserve"> Health </w:t>
      </w:r>
      <w:proofErr w:type="spellStart"/>
      <w:r w:rsidR="008613C3">
        <w:rPr>
          <w:rFonts w:ascii="Arial" w:hAnsi="Arial" w:cs="Arial"/>
          <w:sz w:val="28"/>
          <w:szCs w:val="28"/>
          <w:lang w:val="nl-NL"/>
        </w:rPr>
        <w:t>and</w:t>
      </w:r>
      <w:proofErr w:type="spellEnd"/>
      <w:r w:rsidR="008613C3">
        <w:rPr>
          <w:rFonts w:ascii="Arial" w:hAnsi="Arial" w:cs="Arial"/>
          <w:sz w:val="28"/>
          <w:szCs w:val="28"/>
          <w:lang w:val="nl-NL"/>
        </w:rPr>
        <w:t xml:space="preserve"> </w:t>
      </w:r>
      <w:proofErr w:type="spellStart"/>
      <w:r w:rsidR="008613C3">
        <w:rPr>
          <w:rFonts w:ascii="Arial" w:hAnsi="Arial" w:cs="Arial"/>
          <w:sz w:val="28"/>
          <w:szCs w:val="28"/>
          <w:lang w:val="nl-NL"/>
        </w:rPr>
        <w:t>Social</w:t>
      </w:r>
      <w:proofErr w:type="spellEnd"/>
      <w:r w:rsidR="008613C3">
        <w:rPr>
          <w:rFonts w:ascii="Arial" w:hAnsi="Arial" w:cs="Arial"/>
          <w:sz w:val="28"/>
          <w:szCs w:val="28"/>
          <w:lang w:val="nl-NL"/>
        </w:rPr>
        <w:t xml:space="preserve"> care.</w:t>
      </w:r>
    </w:p>
    <w:p w14:paraId="537571AF" w14:textId="2DB6E21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8613C3">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2B1560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613C3">
        <w:rPr>
          <w:rFonts w:ascii="Arial" w:hAnsi="Arial" w:cs="Arial"/>
          <w:sz w:val="28"/>
          <w:szCs w:val="28"/>
          <w:lang w:val="nl-NL"/>
        </w:rPr>
        <w:t xml:space="preserve"> Rabeya Payel</w:t>
      </w:r>
    </w:p>
    <w:p w14:paraId="39AA4413" w14:textId="75845F7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613C3">
        <w:rPr>
          <w:rFonts w:ascii="Arial" w:hAnsi="Arial" w:cs="Arial"/>
          <w:sz w:val="28"/>
          <w:szCs w:val="28"/>
          <w:lang w:val="nl-NL"/>
        </w:rPr>
        <w:t xml:space="preserve"> 2513891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B1DF6CF"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8613C3">
        <w:rPr>
          <w:rFonts w:ascii="Arial" w:hAnsi="Arial" w:cs="Arial"/>
          <w:sz w:val="28"/>
          <w:szCs w:val="28"/>
        </w:rPr>
        <w:t xml:space="preserve"> Shepherd Ziko</w:t>
      </w:r>
    </w:p>
    <w:p w14:paraId="339AD382" w14:textId="77777777" w:rsidR="008613C3" w:rsidRPr="00CD33A8" w:rsidRDefault="008613C3"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622225029"/>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1A2F4997" w14:textId="17522934" w:rsidR="001706A0" w:rsidRDefault="001706A0">
          <w:pPr>
            <w:pStyle w:val="TOCHeading"/>
          </w:pPr>
          <w:r>
            <w:t>Table of Contents</w:t>
          </w:r>
        </w:p>
        <w:p w14:paraId="5E062CEC" w14:textId="2F947BAA" w:rsidR="003E3CCB" w:rsidRDefault="001706A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883020" w:history="1">
            <w:r w:rsidR="003E3CCB" w:rsidRPr="00020476">
              <w:rPr>
                <w:rStyle w:val="Hyperlink"/>
                <w:noProof/>
              </w:rPr>
              <w:t>1. Introduction</w:t>
            </w:r>
            <w:r w:rsidR="003E3CCB">
              <w:rPr>
                <w:noProof/>
                <w:webHidden/>
              </w:rPr>
              <w:tab/>
            </w:r>
            <w:r w:rsidR="003E3CCB">
              <w:rPr>
                <w:noProof/>
                <w:webHidden/>
              </w:rPr>
              <w:fldChar w:fldCharType="begin"/>
            </w:r>
            <w:r w:rsidR="003E3CCB">
              <w:rPr>
                <w:noProof/>
                <w:webHidden/>
              </w:rPr>
              <w:instrText xml:space="preserve"> PAGEREF _Toc227883020 \h </w:instrText>
            </w:r>
            <w:r w:rsidR="003E3CCB">
              <w:rPr>
                <w:noProof/>
                <w:webHidden/>
              </w:rPr>
            </w:r>
            <w:r w:rsidR="003E3CCB">
              <w:rPr>
                <w:noProof/>
                <w:webHidden/>
              </w:rPr>
              <w:fldChar w:fldCharType="separate"/>
            </w:r>
            <w:r w:rsidR="003E3CCB">
              <w:rPr>
                <w:noProof/>
                <w:webHidden/>
              </w:rPr>
              <w:t>3</w:t>
            </w:r>
            <w:r w:rsidR="003E3CCB">
              <w:rPr>
                <w:noProof/>
                <w:webHidden/>
              </w:rPr>
              <w:fldChar w:fldCharType="end"/>
            </w:r>
          </w:hyperlink>
        </w:p>
        <w:p w14:paraId="2DF63346" w14:textId="65B770EB"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1" w:history="1">
            <w:r w:rsidRPr="00020476">
              <w:rPr>
                <w:rStyle w:val="Hyperlink"/>
                <w:noProof/>
              </w:rPr>
              <w:t>2. Importance of effective communication</w:t>
            </w:r>
            <w:r>
              <w:rPr>
                <w:noProof/>
                <w:webHidden/>
              </w:rPr>
              <w:tab/>
            </w:r>
            <w:r>
              <w:rPr>
                <w:noProof/>
                <w:webHidden/>
              </w:rPr>
              <w:fldChar w:fldCharType="begin"/>
            </w:r>
            <w:r>
              <w:rPr>
                <w:noProof/>
                <w:webHidden/>
              </w:rPr>
              <w:instrText xml:space="preserve"> PAGEREF _Toc227883021 \h </w:instrText>
            </w:r>
            <w:r>
              <w:rPr>
                <w:noProof/>
                <w:webHidden/>
              </w:rPr>
            </w:r>
            <w:r>
              <w:rPr>
                <w:noProof/>
                <w:webHidden/>
              </w:rPr>
              <w:fldChar w:fldCharType="separate"/>
            </w:r>
            <w:r>
              <w:rPr>
                <w:noProof/>
                <w:webHidden/>
              </w:rPr>
              <w:t>3</w:t>
            </w:r>
            <w:r>
              <w:rPr>
                <w:noProof/>
                <w:webHidden/>
              </w:rPr>
              <w:fldChar w:fldCharType="end"/>
            </w:r>
          </w:hyperlink>
        </w:p>
        <w:p w14:paraId="5919E097" w14:textId="7C825B59"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2" w:history="1">
            <w:r w:rsidRPr="00020476">
              <w:rPr>
                <w:rStyle w:val="Hyperlink"/>
                <w:noProof/>
              </w:rPr>
              <w:t>3. Importance of good administrative skills</w:t>
            </w:r>
            <w:r>
              <w:rPr>
                <w:noProof/>
                <w:webHidden/>
              </w:rPr>
              <w:tab/>
            </w:r>
            <w:r>
              <w:rPr>
                <w:noProof/>
                <w:webHidden/>
              </w:rPr>
              <w:fldChar w:fldCharType="begin"/>
            </w:r>
            <w:r>
              <w:rPr>
                <w:noProof/>
                <w:webHidden/>
              </w:rPr>
              <w:instrText xml:space="preserve"> PAGEREF _Toc227883022 \h </w:instrText>
            </w:r>
            <w:r>
              <w:rPr>
                <w:noProof/>
                <w:webHidden/>
              </w:rPr>
            </w:r>
            <w:r>
              <w:rPr>
                <w:noProof/>
                <w:webHidden/>
              </w:rPr>
              <w:fldChar w:fldCharType="separate"/>
            </w:r>
            <w:r>
              <w:rPr>
                <w:noProof/>
                <w:webHidden/>
              </w:rPr>
              <w:t>5</w:t>
            </w:r>
            <w:r>
              <w:rPr>
                <w:noProof/>
                <w:webHidden/>
              </w:rPr>
              <w:fldChar w:fldCharType="end"/>
            </w:r>
          </w:hyperlink>
        </w:p>
        <w:p w14:paraId="50C9EABA" w14:textId="42DC350C"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3" w:history="1">
            <w:r w:rsidRPr="00020476">
              <w:rPr>
                <w:rStyle w:val="Hyperlink"/>
                <w:noProof/>
              </w:rPr>
              <w:t>4. Importance of working collaboratively</w:t>
            </w:r>
            <w:r>
              <w:rPr>
                <w:noProof/>
                <w:webHidden/>
              </w:rPr>
              <w:tab/>
            </w:r>
            <w:r>
              <w:rPr>
                <w:noProof/>
                <w:webHidden/>
              </w:rPr>
              <w:fldChar w:fldCharType="begin"/>
            </w:r>
            <w:r>
              <w:rPr>
                <w:noProof/>
                <w:webHidden/>
              </w:rPr>
              <w:instrText xml:space="preserve"> PAGEREF _Toc227883023 \h </w:instrText>
            </w:r>
            <w:r>
              <w:rPr>
                <w:noProof/>
                <w:webHidden/>
              </w:rPr>
            </w:r>
            <w:r>
              <w:rPr>
                <w:noProof/>
                <w:webHidden/>
              </w:rPr>
              <w:fldChar w:fldCharType="separate"/>
            </w:r>
            <w:r>
              <w:rPr>
                <w:noProof/>
                <w:webHidden/>
              </w:rPr>
              <w:t>6</w:t>
            </w:r>
            <w:r>
              <w:rPr>
                <w:noProof/>
                <w:webHidden/>
              </w:rPr>
              <w:fldChar w:fldCharType="end"/>
            </w:r>
          </w:hyperlink>
        </w:p>
        <w:p w14:paraId="6D3ED4A8" w14:textId="3B02AAD4"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4" w:history="1">
            <w:r w:rsidRPr="00020476">
              <w:rPr>
                <w:rStyle w:val="Hyperlink"/>
                <w:noProof/>
              </w:rPr>
              <w:t>5. Conclusion</w:t>
            </w:r>
            <w:r>
              <w:rPr>
                <w:noProof/>
                <w:webHidden/>
              </w:rPr>
              <w:tab/>
            </w:r>
            <w:r>
              <w:rPr>
                <w:noProof/>
                <w:webHidden/>
              </w:rPr>
              <w:fldChar w:fldCharType="begin"/>
            </w:r>
            <w:r>
              <w:rPr>
                <w:noProof/>
                <w:webHidden/>
              </w:rPr>
              <w:instrText xml:space="preserve"> PAGEREF _Toc227883024 \h </w:instrText>
            </w:r>
            <w:r>
              <w:rPr>
                <w:noProof/>
                <w:webHidden/>
              </w:rPr>
            </w:r>
            <w:r>
              <w:rPr>
                <w:noProof/>
                <w:webHidden/>
              </w:rPr>
              <w:fldChar w:fldCharType="separate"/>
            </w:r>
            <w:r>
              <w:rPr>
                <w:noProof/>
                <w:webHidden/>
              </w:rPr>
              <w:t>7</w:t>
            </w:r>
            <w:r>
              <w:rPr>
                <w:noProof/>
                <w:webHidden/>
              </w:rPr>
              <w:fldChar w:fldCharType="end"/>
            </w:r>
          </w:hyperlink>
        </w:p>
        <w:p w14:paraId="1E71313C" w14:textId="3903CAAD"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5" w:history="1">
            <w:r w:rsidRPr="00020476">
              <w:rPr>
                <w:rStyle w:val="Hyperlink"/>
                <w:noProof/>
              </w:rPr>
              <w:t>References</w:t>
            </w:r>
            <w:r>
              <w:rPr>
                <w:noProof/>
                <w:webHidden/>
              </w:rPr>
              <w:tab/>
            </w:r>
            <w:r>
              <w:rPr>
                <w:noProof/>
                <w:webHidden/>
              </w:rPr>
              <w:fldChar w:fldCharType="begin"/>
            </w:r>
            <w:r>
              <w:rPr>
                <w:noProof/>
                <w:webHidden/>
              </w:rPr>
              <w:instrText xml:space="preserve"> PAGEREF _Toc227883025 \h </w:instrText>
            </w:r>
            <w:r>
              <w:rPr>
                <w:noProof/>
                <w:webHidden/>
              </w:rPr>
            </w:r>
            <w:r>
              <w:rPr>
                <w:noProof/>
                <w:webHidden/>
              </w:rPr>
              <w:fldChar w:fldCharType="separate"/>
            </w:r>
            <w:r>
              <w:rPr>
                <w:noProof/>
                <w:webHidden/>
              </w:rPr>
              <w:t>8</w:t>
            </w:r>
            <w:r>
              <w:rPr>
                <w:noProof/>
                <w:webHidden/>
              </w:rPr>
              <w:fldChar w:fldCharType="end"/>
            </w:r>
          </w:hyperlink>
        </w:p>
        <w:p w14:paraId="2326F788" w14:textId="777A9C8A" w:rsidR="001706A0" w:rsidRDefault="001706A0">
          <w:r>
            <w:rPr>
              <w:b/>
              <w:bCs/>
              <w:noProof/>
            </w:rPr>
            <w:fldChar w:fldCharType="end"/>
          </w:r>
        </w:p>
      </w:sdtContent>
    </w:sdt>
    <w:p w14:paraId="340ED596" w14:textId="77777777" w:rsidR="001706A0" w:rsidRPr="001706A0" w:rsidRDefault="001706A0" w:rsidP="001706A0"/>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306C3A">
      <w:pPr>
        <w:pStyle w:val="Heading1"/>
      </w:pPr>
      <w:bookmarkStart w:id="0" w:name="_Toc227883020"/>
      <w:r w:rsidRPr="00CD33A8">
        <w:lastRenderedPageBreak/>
        <w:t>1. Introduction</w:t>
      </w:r>
      <w:bookmarkEnd w:id="0"/>
    </w:p>
    <w:p w14:paraId="14BF3272" w14:textId="29E960DD" w:rsidR="0026393A" w:rsidRPr="00222D3E" w:rsidRDefault="008E3943" w:rsidP="001706A0">
      <w:pPr>
        <w:tabs>
          <w:tab w:val="left" w:pos="6540"/>
        </w:tabs>
        <w:spacing w:line="360" w:lineRule="auto"/>
        <w:rPr>
          <w:rFonts w:ascii="Arial" w:hAnsi="Arial" w:cs="Arial"/>
          <w:sz w:val="22"/>
        </w:rPr>
      </w:pPr>
      <w:r w:rsidRPr="00222D3E">
        <w:rPr>
          <w:rFonts w:ascii="Arial" w:hAnsi="Arial" w:cs="Arial"/>
          <w:sz w:val="22"/>
        </w:rPr>
        <w:t>.</w:t>
      </w:r>
      <w:r w:rsidR="00222D3E" w:rsidRPr="00222D3E">
        <w:rPr>
          <w:rFonts w:ascii="Arial" w:hAnsi="Arial" w:cs="Arial"/>
          <w:sz w:val="22"/>
        </w:rPr>
        <w:t xml:space="preserve"> The report is about Mr Ahmed who suffered a stroke and was recently discharged from the hospital and has started domiciliary care provided to him at home. The patient’s care has multidisciplinary care from a GP, district nurse, care workers and speech and language therapy services. Considering that the patient has poor knowledge of English and communicates with his wife. Therefore, good communication is crucial to guarantee safe and patient cantered care provision. In Mr Ahmed case there was a situation when one of the appointments was missed and medicine administration was postponed which could suggest the failure in communication, administration and coordination of services. In the following report the issues relating to the patient’s care will be examined: effective communication, administrative skills and record keeping as well as collaboration. These three aspects will be discussed regarding the current legislation such as the Equality Act 2010 and Data Protection Act 2018. In addition, research findings will be analysed</w:t>
      </w:r>
    </w:p>
    <w:p w14:paraId="73B07562" w14:textId="0E99FAFE" w:rsidR="008E3943" w:rsidRDefault="0026393A" w:rsidP="001706A0">
      <w:pPr>
        <w:pStyle w:val="Heading1"/>
      </w:pPr>
      <w:bookmarkStart w:id="1" w:name="_Toc227883021"/>
      <w:r w:rsidRPr="00CD33A8">
        <w:t xml:space="preserve">2. </w:t>
      </w:r>
      <w:r w:rsidR="008E3943">
        <w:t>I</w:t>
      </w:r>
      <w:r w:rsidR="008E3943" w:rsidRPr="008E3943">
        <w:t>mportance of effective communication</w:t>
      </w:r>
      <w:bookmarkEnd w:id="1"/>
    </w:p>
    <w:p w14:paraId="19DC885D" w14:textId="77777777" w:rsidR="00B22A68" w:rsidRDefault="00B22A68" w:rsidP="001706A0">
      <w:pPr>
        <w:spacing w:line="360" w:lineRule="auto"/>
      </w:pPr>
      <w:r>
        <w:t>Effective communication plays a vital role in health and social care, especially when supporting individuals with additional communication need such as Mr Ahmed.</w:t>
      </w:r>
    </w:p>
    <w:p w14:paraId="3C68226A" w14:textId="77777777" w:rsidR="00B22A68" w:rsidRDefault="00B22A68" w:rsidP="001706A0">
      <w:pPr>
        <w:spacing w:line="360" w:lineRule="auto"/>
      </w:pPr>
      <w:r>
        <w:t>According to University of Greater Manchester (2023), A key responsibility of health and social care workers is supporting people with wide range of care needs, and to provide high-quality care, staff are often expected to communicate in a certain way including using various forms of communication such as verbal, non-verbal, written, and formal methods. The study also highlights, patients rely on healthcare workers to guide and support them through complex situation, making effective communication is essential in today’s health and social care settings as it ensures that clear and accurate information is shared according to the patients specific care needs, it enables necessary emotional support provided either to the patients or their family and friends, and it strengthen positive relationship between patients and health and social care professional. In Mr. Ahmed case, due to his limited English skills and depending on his wife for communication, effective communication from health and social care professionals is important to ensure safe and person-centred care.</w:t>
      </w:r>
    </w:p>
    <w:p w14:paraId="01FD130E" w14:textId="77777777" w:rsidR="00B22A68" w:rsidRDefault="00B22A68" w:rsidP="001706A0">
      <w:pPr>
        <w:spacing w:line="360" w:lineRule="auto"/>
      </w:pPr>
      <w:r>
        <w:t xml:space="preserve">Tear (2024) states that The Equality Act 2010 is a comprehensive law aimed at eliminating discrimination and encouraging equal treatments across various aspect of life, especially within healthcare sector, it plays a vital role by requiring provider to treat every patient fairly, regardless of whether they have disability. Additionally, under the act it is the duty of healthcare professional to prevent disadvantage for disabled people. The study also </w:t>
      </w:r>
      <w:r>
        <w:lastRenderedPageBreak/>
        <w:t>demonstrates that; an important aspect of how the Act applies in healthcare is to make reasonable requirements such as healthcare providers are expected to take protective measures to eradicate barriers that could avoid disabled individuals from accessing services equally. In addition, these adjustments may include changes to the physical environments as well as offering extra support with communication, such as for individual with hearing impairments or learning disabilities, reasonable adjustments may include providing sign language interpreters, offering information in easy read formats or using other alternative communication methods and the concept of this reasonable adjustment is not only about treating everyone fairly, in reality it is about ensuring that every healthcare service user has the same opportunity to access healthcare. For example, in Mr Ahmed case to ensure he can fully understand the care he is receiving and to participate in decision making the healthcare professional need to make reasonable adjustments, such as providing interpreters or translated materials.</w:t>
      </w:r>
    </w:p>
    <w:p w14:paraId="64D0ABB1" w14:textId="77777777" w:rsidR="00B22A68" w:rsidRDefault="00B22A68" w:rsidP="001706A0">
      <w:pPr>
        <w:spacing w:line="360" w:lineRule="auto"/>
      </w:pPr>
      <w:r>
        <w:t xml:space="preserve">Language and cultural barrier can have a crucial impact on healthcare users if not taking necessary approach. Schouten et al. (2020) highlight that healthcare professionals are increasingly serving patients from a wide range of culture and ethnic minority backgrounds, and communicating effectively with minority and ethnic minorities is often more challenging compared to majority population, due to a combination of language and cultural barriers. The study also demonstrates language differences between patients and healthcare professional create a major obstacle to effective communication and can negatively impact on patients’ health outcome. In addition, patients who do not share a common language with the healthcare professional tend to ask less questions, have weaker understanding about their conditions, care plan and treatments and are more likely to miss their medical appointments compared to those who communicate with same language. Additionally, to address this issue, several approaches can be used, including professional interpreters, digital translation tool and multilingual e-health applications and each method can improve certain aspects of communication. Therefore, depending on Mr. Ahmed’s wife for communication regarding his health is not appropriate as he is having less understanding about his conditions and treatments and it is affecting his independence at the same time. This is the reason professional interpreters should be used to ensure accurate information and in keeping patient’s confidentiality. </w:t>
      </w:r>
    </w:p>
    <w:p w14:paraId="34579A91" w14:textId="77777777" w:rsidR="00B22A68" w:rsidRDefault="00B22A68" w:rsidP="001706A0">
      <w:pPr>
        <w:spacing w:line="360" w:lineRule="auto"/>
      </w:pPr>
      <w:r>
        <w:t xml:space="preserve">A useful communication model in this context is the idea of communication as a two-way process involving feedback. Two-way communication involves where the sender shares a </w:t>
      </w:r>
      <w:r>
        <w:lastRenderedPageBreak/>
        <w:t>message and the receiver responds with feedback. This method includes that communication is not just delivered but also understood, which is especially essential in terms of medication instruction and care plan. Overall, effective communication from the healthcare professionals plays a vital role in ensuring Mr Ahmed receives and understand about this medication, safe care plan, and his conditions.</w:t>
      </w:r>
    </w:p>
    <w:p w14:paraId="60B2CDC3" w14:textId="12EE5464" w:rsidR="00B87E75" w:rsidRPr="00974616" w:rsidRDefault="0026393A" w:rsidP="001706A0">
      <w:pPr>
        <w:pStyle w:val="Heading1"/>
        <w:rPr>
          <w:sz w:val="28"/>
          <w:szCs w:val="28"/>
        </w:rPr>
      </w:pPr>
      <w:bookmarkStart w:id="2" w:name="_Toc227883022"/>
      <w:r w:rsidRPr="00974616">
        <w:rPr>
          <w:sz w:val="28"/>
          <w:szCs w:val="28"/>
        </w:rPr>
        <w:t>3</w:t>
      </w:r>
      <w:r w:rsidR="00B87E75" w:rsidRPr="00974616">
        <w:rPr>
          <w:sz w:val="28"/>
          <w:szCs w:val="28"/>
        </w:rPr>
        <w:t>.</w:t>
      </w:r>
      <w:r w:rsidR="008E3943" w:rsidRPr="00974616">
        <w:rPr>
          <w:sz w:val="28"/>
          <w:szCs w:val="28"/>
        </w:rPr>
        <w:t xml:space="preserve"> Importance of good administrative skills</w:t>
      </w:r>
      <w:bookmarkEnd w:id="2"/>
      <w:r w:rsidR="008E3943" w:rsidRPr="00974616">
        <w:rPr>
          <w:sz w:val="28"/>
          <w:szCs w:val="28"/>
        </w:rPr>
        <w:t xml:space="preserve"> </w:t>
      </w:r>
    </w:p>
    <w:p w14:paraId="18CBD53E" w14:textId="77777777" w:rsidR="00894585" w:rsidRDefault="00894585" w:rsidP="001706A0">
      <w:pPr>
        <w:spacing w:line="360" w:lineRule="auto"/>
      </w:pPr>
      <w:r>
        <w:t>The King’s Fund (2021) states that effective administrative skills in healthcare plays a crucial role in patient care by ensuring that patients, staff, resources and information are in the right place at the right time, high-quality administrative skills can enhance patients experience, reduce inequalities and promote better care.  According to NHS (2022), accurate and high-quality patient records are the fundamental basis of effective clinical care delivery. The study demonstrates high-quality patient records involve all the necessary information about a patient’s health to deliver efficient care, and this information can be confidently used for clinical decision-making when it is accurate, properly coded, relevant and are in correct format which makes it easy to access. As highlighted by the report, patient record systems contain a wide range of clinical and non-clinical data, demographics data, administrative data, correspondence and records of clinical interactions and if the data is missing, incorrect, or not in correct format, it can result in ineffective care and may compromise the patient’s quality and safety of treatment. In Mr. Ahmed’s case, the missed home care visit and delayed to his medication highlight the potential failure in correct documentation, record-keeping and communication system.</w:t>
      </w:r>
    </w:p>
    <w:p w14:paraId="5EC06478" w14:textId="77777777" w:rsidR="00894585" w:rsidRDefault="00894585" w:rsidP="001706A0">
      <w:pPr>
        <w:spacing w:line="360" w:lineRule="auto"/>
      </w:pPr>
      <w:r>
        <w:t>Rotherham, Doncaster &amp; South Humber NHS Foundation Trust (2024) highlight that under the Data Protection Act 2018, data should be collected and used appropriately, stored securely, and not shared with any unauthorised individual, whether the data is stored in manual records and electronic records. In addition, the Act has few key principles including lawful, fair processing, purpose limitation, data minimisation, accuracy, confidentiality and security and these principles are important to make sure patient feel confident that the organisation is following the law and acting responsibly with their personal information. Therefore, in Mr. Ahmed’s case his personal and medical information must be stored securely and only the authorised healthcare professional should have the right to access this information for legitimate care purposes and failure to comply with these principles can cause data breaches, legal consequences and negative impact on patient’s safety.</w:t>
      </w:r>
    </w:p>
    <w:p w14:paraId="15DB2B3C" w14:textId="77777777" w:rsidR="00894585" w:rsidRDefault="00894585" w:rsidP="001706A0">
      <w:pPr>
        <w:spacing w:line="360" w:lineRule="auto"/>
      </w:pPr>
      <w:r>
        <w:lastRenderedPageBreak/>
        <w:t xml:space="preserve">In addition, healthcare administration must ensure effective scheduling in terms of home care visit. Caring Data (2026) demonstrates that scheduling is the backbone of home care agency and when it runs smoothly, caregivers show up on time, patients receive relevant support and administrative team can concentrate on enhancing care rather than constantly fixing problem. The report also highlights that when scheduling falls apart, everything gets disorganised, missed visits rise, patient and families get frustrated and compliance risks begin to increase. The study argues that digital tool like scheduling software helps reduce these issues by sending automated reminders and real time notification and by using this tool caregivers get reminded before their shift, while patients and families get notified when caregiver is </w:t>
      </w:r>
      <w:proofErr w:type="spellStart"/>
      <w:r>
        <w:t>en</w:t>
      </w:r>
      <w:proofErr w:type="spellEnd"/>
      <w:r>
        <w:t>-route as well as administrators receive alerts if a visit fails to begin their shift on time. This approach helps minimise missed appointments and strengthens overall reliability. The incident involving Mr. Ahmed’s missed appointment by care agency suggests that there may have been lack of effective scheduling and communication.</w:t>
      </w:r>
    </w:p>
    <w:p w14:paraId="141655E5" w14:textId="77777777" w:rsidR="00894585" w:rsidRDefault="00894585" w:rsidP="001706A0">
      <w:pPr>
        <w:spacing w:line="360" w:lineRule="auto"/>
      </w:pPr>
      <w:r>
        <w:t>Furthermore, incident reporting is a necessary administrative process. The missed visit and delayed in prescribed medication should be documented and investigated to identify the cause and prevention from happening in future.</w:t>
      </w:r>
    </w:p>
    <w:p w14:paraId="37E9F567" w14:textId="77777777" w:rsidR="00894585" w:rsidRDefault="00894585" w:rsidP="001706A0">
      <w:pPr>
        <w:spacing w:line="360" w:lineRule="auto"/>
      </w:pPr>
      <w:r>
        <w:t>Therefore, strong administrative skills are essential for ensuring safe, efficient and high-quality care for Mr. Ahmed</w:t>
      </w:r>
    </w:p>
    <w:p w14:paraId="581C99BF" w14:textId="264B49DF" w:rsidR="00B87E75" w:rsidRPr="00A514DD" w:rsidRDefault="004A736E" w:rsidP="001706A0">
      <w:pPr>
        <w:pStyle w:val="Heading1"/>
        <w:rPr>
          <w:sz w:val="28"/>
          <w:szCs w:val="28"/>
        </w:rPr>
      </w:pPr>
      <w:bookmarkStart w:id="3" w:name="_Toc227883023"/>
      <w:r w:rsidRPr="00A514DD">
        <w:rPr>
          <w:sz w:val="28"/>
          <w:szCs w:val="28"/>
        </w:rPr>
        <w:t>4</w:t>
      </w:r>
      <w:r w:rsidR="00B87E75" w:rsidRPr="00A514DD">
        <w:rPr>
          <w:sz w:val="28"/>
          <w:szCs w:val="28"/>
        </w:rPr>
        <w:t xml:space="preserve">. </w:t>
      </w:r>
      <w:r w:rsidR="008E3943" w:rsidRPr="00A514DD">
        <w:rPr>
          <w:sz w:val="28"/>
          <w:szCs w:val="28"/>
        </w:rPr>
        <w:t>Importance of working collaboratively</w:t>
      </w:r>
      <w:bookmarkEnd w:id="3"/>
    </w:p>
    <w:p w14:paraId="3315F79B" w14:textId="77777777" w:rsidR="00974616" w:rsidRDefault="00974616" w:rsidP="001706A0">
      <w:pPr>
        <w:spacing w:line="360" w:lineRule="auto"/>
      </w:pPr>
      <w:r>
        <w:t>According to JP Medicals (2025), interprofessional collaboration brings together a range of healthcare professional to provide comprehensive care and this team-based approach brings out each member’s skills and encourages clear communication, which is vital while treating for patients with complex cases. In addition, such collaboration can enhance patient experience, increase satisfaction, and lead to better health outcomes. In Mr. Ahmed’s care involves multiple healthcare professional such as GP, a district nurse, care workers, and a speech and language therapist. Each professional contributes specific expertise to ensure in delivering essential care.</w:t>
      </w:r>
    </w:p>
    <w:p w14:paraId="6CC8C1A8" w14:textId="77777777" w:rsidR="00974616" w:rsidRDefault="00974616" w:rsidP="001706A0">
      <w:pPr>
        <w:spacing w:line="360" w:lineRule="auto"/>
      </w:pPr>
      <w:r>
        <w:t xml:space="preserve">According to NICE (2023), NICE guidelines on stroke rehabilitation designed to make sure individual are assessed for common stroke-related issues and receive the appropriate treatment and rehabilitation they require. In addition, a core multidisciplinary team for stroke rehabilitation should include professionals with specialist expertise in this area and this team consists of consultant physicians in stroke or rehabilitation medicine, nurses, </w:t>
      </w:r>
      <w:r>
        <w:lastRenderedPageBreak/>
        <w:t>physiotherapists, occupational therapist, language and speech therapists, rehabilitation assistants and social worker. By working together, it allows the team to create person-cantered care and that improve patients’ better health outcome.</w:t>
      </w:r>
    </w:p>
    <w:p w14:paraId="6CBA4DC1" w14:textId="0249A8B7" w:rsidR="00974616" w:rsidRDefault="00974616" w:rsidP="001706A0">
      <w:pPr>
        <w:spacing w:line="360" w:lineRule="auto"/>
      </w:pPr>
      <w:r>
        <w:t xml:space="preserve">Nordmann et al. (2023) states that clear communication and teamwork between healthcare professionals are vital for delivering person-centred care. The study also argues that the interprofessional teams need appropriate systems and resources to efficiently use their professional skills and to provide high-quality care to the patients. As highlighted by the report digital tools can support better communication and collaboration across </w:t>
      </w:r>
      <w:r w:rsidR="00A514DD">
        <w:t xml:space="preserve">healthcare </w:t>
      </w:r>
      <w:r>
        <w:t>professions. In terms of Mr. Ahmed’s care, by using digital technology to communicate will allow all team members to get regularly updated on his condition and can make necessary care plan to ensure his better health outcome.</w:t>
      </w:r>
    </w:p>
    <w:p w14:paraId="4245CB64" w14:textId="77777777" w:rsidR="00974616" w:rsidRDefault="00974616" w:rsidP="001706A0">
      <w:pPr>
        <w:spacing w:line="360" w:lineRule="auto"/>
      </w:pPr>
      <w:r>
        <w:t>In conclusion, by working effectively together, professional can ensure that Mr. Ahmed receives safe, coordinated and high-quality care.</w:t>
      </w:r>
    </w:p>
    <w:p w14:paraId="16FAF0EA" w14:textId="2F93A55A" w:rsidR="00B87E75" w:rsidRPr="00A514DD" w:rsidRDefault="008E3943" w:rsidP="001706A0">
      <w:pPr>
        <w:pStyle w:val="Heading1"/>
        <w:rPr>
          <w:sz w:val="28"/>
          <w:szCs w:val="28"/>
        </w:rPr>
      </w:pPr>
      <w:bookmarkStart w:id="4" w:name="_Toc227883024"/>
      <w:r w:rsidRPr="00A514DD">
        <w:rPr>
          <w:sz w:val="28"/>
          <w:szCs w:val="28"/>
        </w:rPr>
        <w:t>5</w:t>
      </w:r>
      <w:r w:rsidR="00B87E75" w:rsidRPr="00A514DD">
        <w:rPr>
          <w:sz w:val="28"/>
          <w:szCs w:val="28"/>
        </w:rPr>
        <w:t>. Conclusion</w:t>
      </w:r>
      <w:bookmarkEnd w:id="4"/>
      <w:r w:rsidR="00CD33A8" w:rsidRPr="00A514DD">
        <w:rPr>
          <w:sz w:val="28"/>
          <w:szCs w:val="28"/>
        </w:rPr>
        <w:t xml:space="preserve"> </w:t>
      </w:r>
    </w:p>
    <w:p w14:paraId="03CF9B84" w14:textId="3F27ECB5" w:rsidR="001706A0" w:rsidRPr="001706A0" w:rsidRDefault="001706A0" w:rsidP="001706A0">
      <w:pPr>
        <w:spacing w:line="360" w:lineRule="auto"/>
        <w:rPr>
          <w:rFonts w:ascii="Arial" w:hAnsi="Arial" w:cs="Arial"/>
          <w:sz w:val="22"/>
        </w:rPr>
      </w:pPr>
      <w:r>
        <w:rPr>
          <w:rFonts w:ascii="Arial" w:hAnsi="Arial" w:cs="Arial"/>
          <w:sz w:val="22"/>
        </w:rPr>
        <w:t xml:space="preserve">In conclusion, </w:t>
      </w:r>
      <w:r w:rsidRPr="001706A0">
        <w:rPr>
          <w:rFonts w:ascii="Arial" w:hAnsi="Arial" w:cs="Arial"/>
          <w:sz w:val="22"/>
        </w:rPr>
        <w:t xml:space="preserve">this report has looked at three important areas in relation to Mr Ahmed's care: effective communication, administrative skills and record keeping and collaborative working. Each of these areas has a direct impact on the quality and safety of the care he receives at home. The missed appointment and the delay to his medication are examples of what can go wrong within these areas. Given that Mr Ahmed has limited English and relies on his wife to communicate. </w:t>
      </w:r>
      <w:r>
        <w:rPr>
          <w:rFonts w:ascii="Arial" w:hAnsi="Arial" w:cs="Arial"/>
          <w:sz w:val="22"/>
        </w:rPr>
        <w:t>I</w:t>
      </w:r>
      <w:r w:rsidRPr="001706A0">
        <w:rPr>
          <w:rFonts w:ascii="Arial" w:hAnsi="Arial" w:cs="Arial"/>
          <w:sz w:val="22"/>
        </w:rPr>
        <w:t>t is important that reasonable adjustments such as using professional interpreters are put in place in line with the Equality Act 2010</w:t>
      </w:r>
      <w:r>
        <w:rPr>
          <w:rFonts w:ascii="Arial" w:hAnsi="Arial" w:cs="Arial"/>
          <w:sz w:val="22"/>
        </w:rPr>
        <w:t xml:space="preserve"> </w:t>
      </w:r>
      <w:proofErr w:type="gramStart"/>
      <w:r>
        <w:rPr>
          <w:rFonts w:ascii="Arial" w:hAnsi="Arial" w:cs="Arial"/>
          <w:sz w:val="22"/>
        </w:rPr>
        <w:t>and also</w:t>
      </w:r>
      <w:proofErr w:type="gramEnd"/>
      <w:r>
        <w:rPr>
          <w:rFonts w:ascii="Arial" w:hAnsi="Arial" w:cs="Arial"/>
          <w:sz w:val="22"/>
        </w:rPr>
        <w:t xml:space="preserve"> effective administrative skills in keeping </w:t>
      </w:r>
      <w:r w:rsidRPr="001706A0">
        <w:rPr>
          <w:rFonts w:ascii="Arial" w:hAnsi="Arial" w:cs="Arial"/>
          <w:sz w:val="22"/>
        </w:rPr>
        <w:t>patient records must be</w:t>
      </w:r>
      <w:r>
        <w:rPr>
          <w:rFonts w:ascii="Arial" w:hAnsi="Arial" w:cs="Arial"/>
          <w:sz w:val="22"/>
        </w:rPr>
        <w:t xml:space="preserve"> </w:t>
      </w:r>
      <w:r w:rsidRPr="001706A0">
        <w:rPr>
          <w:rFonts w:ascii="Arial" w:hAnsi="Arial" w:cs="Arial"/>
          <w:sz w:val="22"/>
        </w:rPr>
        <w:t>accurate and securely in accordance with the Data Protection Act 2018 to protect his personal information. Ultimately when communication, administration and collaboration work together effectively this is when the multidisciplinary team can ensure that Mr Ahmed receives the coordinated, safe and compassionate care he requires.</w:t>
      </w:r>
    </w:p>
    <w:p w14:paraId="6DBC958B" w14:textId="1B87BC7D" w:rsidR="00CD33A8" w:rsidRPr="001706A0" w:rsidRDefault="008E3943" w:rsidP="001706A0">
      <w:pPr>
        <w:tabs>
          <w:tab w:val="left" w:pos="6540"/>
        </w:tabs>
        <w:spacing w:line="360" w:lineRule="auto"/>
        <w:rPr>
          <w:rFonts w:ascii="Arial" w:hAnsi="Arial" w:cs="Arial"/>
          <w:sz w:val="22"/>
        </w:rPr>
      </w:pPr>
      <w:r w:rsidRPr="001706A0">
        <w:rPr>
          <w:rFonts w:ascii="Arial" w:hAnsi="Arial" w:cs="Arial"/>
          <w:sz w:val="22"/>
        </w:rPr>
        <w:t>.</w:t>
      </w:r>
    </w:p>
    <w:p w14:paraId="6812580D" w14:textId="47452A39" w:rsidR="0090040D" w:rsidRPr="001706A0" w:rsidRDefault="0090040D" w:rsidP="001706A0">
      <w:pPr>
        <w:tabs>
          <w:tab w:val="left" w:pos="6540"/>
        </w:tabs>
        <w:spacing w:line="360" w:lineRule="auto"/>
        <w:rPr>
          <w:rFonts w:ascii="Arial" w:hAnsi="Arial" w:cs="Arial"/>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41A6C0E9" w:rsidR="00F66E1B" w:rsidRPr="00A514DD" w:rsidRDefault="00F66E1B" w:rsidP="00CD33A8">
      <w:pPr>
        <w:tabs>
          <w:tab w:val="left" w:pos="6540"/>
        </w:tabs>
        <w:spacing w:line="360" w:lineRule="auto"/>
        <w:rPr>
          <w:rFonts w:asciiTheme="minorBidi" w:hAnsiTheme="minorBidi"/>
          <w:b/>
          <w:bCs/>
          <w:sz w:val="28"/>
          <w:szCs w:val="28"/>
        </w:rPr>
      </w:pPr>
    </w:p>
    <w:p w14:paraId="5C76528F" w14:textId="549A41AC" w:rsidR="00F66E1B" w:rsidRDefault="00A514DD" w:rsidP="003E3CCB">
      <w:pPr>
        <w:pStyle w:val="Heading1"/>
      </w:pPr>
      <w:bookmarkStart w:id="5" w:name="_Toc227883025"/>
      <w:r w:rsidRPr="00A514DD">
        <w:lastRenderedPageBreak/>
        <w:t>References</w:t>
      </w:r>
      <w:bookmarkEnd w:id="5"/>
    </w:p>
    <w:p w14:paraId="053C37CF" w14:textId="72BE9CB2" w:rsidR="00A514DD" w:rsidRPr="00A514DD" w:rsidRDefault="003E3CCB" w:rsidP="00A514DD">
      <w:pPr>
        <w:tabs>
          <w:tab w:val="left" w:pos="6540"/>
        </w:tabs>
        <w:spacing w:line="360" w:lineRule="auto"/>
        <w:rPr>
          <w:rFonts w:asciiTheme="minorBidi" w:hAnsiTheme="minorBidi"/>
          <w:sz w:val="22"/>
        </w:rPr>
      </w:pPr>
      <w:r w:rsidRPr="00A514DD">
        <w:rPr>
          <w:rFonts w:asciiTheme="minorBidi" w:hAnsiTheme="minorBidi"/>
          <w:sz w:val="22"/>
        </w:rPr>
        <w:t>Caring Data</w:t>
      </w:r>
      <w:r w:rsidR="00A514DD" w:rsidRPr="00A514DD">
        <w:rPr>
          <w:rFonts w:asciiTheme="minorBidi" w:hAnsiTheme="minorBidi"/>
          <w:sz w:val="22"/>
        </w:rPr>
        <w:t xml:space="preserve"> (2026) 'Challenges for healthcare agencies: homecare scheduling'. Available at:</w:t>
      </w:r>
      <w:r w:rsidR="00A514DD">
        <w:rPr>
          <w:rFonts w:asciiTheme="minorBidi" w:hAnsiTheme="minorBidi"/>
          <w:sz w:val="22"/>
        </w:rPr>
        <w:t xml:space="preserve"> </w:t>
      </w:r>
      <w:r w:rsidR="00A514DD" w:rsidRPr="00A514DD">
        <w:rPr>
          <w:rFonts w:asciiTheme="minorBidi" w:hAnsiTheme="minorBidi"/>
          <w:sz w:val="22"/>
        </w:rPr>
        <w:t xml:space="preserve"> </w:t>
      </w:r>
      <w:r w:rsidR="00A514DD">
        <w:rPr>
          <w:rFonts w:asciiTheme="minorBidi" w:hAnsiTheme="minorBidi"/>
          <w:sz w:val="22"/>
        </w:rPr>
        <w:t xml:space="preserve">  </w:t>
      </w:r>
      <w:hyperlink r:id="rId8" w:history="1">
        <w:r w:rsidRPr="005F61E9">
          <w:rPr>
            <w:rStyle w:val="Hyperlink"/>
            <w:rFonts w:asciiTheme="minorBidi" w:hAnsiTheme="minorBidi"/>
            <w:sz w:val="22"/>
          </w:rPr>
          <w:t>https://caringdata.com/uncategorized/challenges-for-healthcare-agencies-homecare-scheduling/</w:t>
        </w:r>
      </w:hyperlink>
      <w:r>
        <w:rPr>
          <w:rFonts w:asciiTheme="minorBidi" w:hAnsiTheme="minorBidi"/>
          <w:sz w:val="22"/>
        </w:rPr>
        <w:t xml:space="preserve">. </w:t>
      </w:r>
      <w:r w:rsidR="00A514DD" w:rsidRPr="00A514DD">
        <w:rPr>
          <w:rFonts w:asciiTheme="minorBidi" w:hAnsiTheme="minorBidi"/>
          <w:sz w:val="22"/>
        </w:rPr>
        <w:t xml:space="preserve">Accessed: </w:t>
      </w:r>
      <w:r>
        <w:rPr>
          <w:rFonts w:asciiTheme="minorBidi" w:hAnsiTheme="minorBidi"/>
          <w:sz w:val="22"/>
        </w:rPr>
        <w:t>14</w:t>
      </w:r>
      <w:r w:rsidR="00A514DD" w:rsidRPr="00A514DD">
        <w:rPr>
          <w:rFonts w:asciiTheme="minorBidi" w:hAnsiTheme="minorBidi"/>
          <w:sz w:val="22"/>
        </w:rPr>
        <w:t xml:space="preserve"> April 2026).</w:t>
      </w:r>
    </w:p>
    <w:p w14:paraId="799F1326" w14:textId="56B461F0" w:rsidR="003E3CCB"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Greater Manchester (2023) 'Why is communication important in health and social care?' Available at: </w:t>
      </w:r>
      <w:hyperlink r:id="rId9" w:history="1">
        <w:r w:rsidRPr="005F61E9">
          <w:rPr>
            <w:rStyle w:val="Hyperlink"/>
            <w:rFonts w:asciiTheme="minorBidi" w:hAnsiTheme="minorBidi"/>
            <w:sz w:val="22"/>
          </w:rPr>
          <w:t>https://greatermanchester.ac.uk/blogs/why-is-communication-important-in-health-and-social-care</w:t>
        </w:r>
      </w:hyperlink>
      <w:r>
        <w:rPr>
          <w:rFonts w:asciiTheme="minorBidi" w:hAnsiTheme="minorBidi"/>
          <w:sz w:val="22"/>
        </w:rPr>
        <w:t xml:space="preserve"> </w:t>
      </w:r>
      <w:r w:rsidRPr="00A514DD">
        <w:rPr>
          <w:rFonts w:asciiTheme="minorBidi" w:hAnsiTheme="minorBidi"/>
          <w:sz w:val="22"/>
        </w:rPr>
        <w:t xml:space="preserve"> (Accessed: </w:t>
      </w:r>
      <w:r w:rsidR="003E3CCB">
        <w:rPr>
          <w:rFonts w:asciiTheme="minorBidi" w:hAnsiTheme="minorBidi"/>
          <w:sz w:val="22"/>
        </w:rPr>
        <w:t xml:space="preserve">10 </w:t>
      </w:r>
      <w:r w:rsidRPr="00A514DD">
        <w:rPr>
          <w:rFonts w:asciiTheme="minorBidi" w:hAnsiTheme="minorBidi"/>
          <w:sz w:val="22"/>
        </w:rPr>
        <w:t>April 2026).</w:t>
      </w:r>
    </w:p>
    <w:p w14:paraId="13824B45" w14:textId="74FC62ED" w:rsid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JP Medicals (2025) 'Why interprofessional collaboration is vital for 70% of healthcare teams'. Available at: </w:t>
      </w:r>
      <w:hyperlink r:id="rId10" w:history="1">
        <w:r w:rsidRPr="005F61E9">
          <w:rPr>
            <w:rStyle w:val="Hyperlink"/>
            <w:rFonts w:asciiTheme="minorBidi" w:hAnsiTheme="minorBidi"/>
            <w:sz w:val="22"/>
          </w:rPr>
          <w:t>https://www.jpmedicals.co.uk/why-interprofessional-collaboration-is-vital-for-70-</w:t>
        </w:r>
        <w:r w:rsidRPr="005F61E9">
          <w:rPr>
            <w:rStyle w:val="Hyperlink"/>
            <w:rFonts w:asciiTheme="minorBidi" w:hAnsiTheme="minorBidi"/>
            <w:sz w:val="22"/>
          </w:rPr>
          <w:t>o</w:t>
        </w:r>
        <w:r w:rsidRPr="005F61E9">
          <w:rPr>
            <w:rStyle w:val="Hyperlink"/>
            <w:rFonts w:asciiTheme="minorBidi" w:hAnsiTheme="minorBidi"/>
            <w:sz w:val="22"/>
          </w:rPr>
          <w:t>f-healthcare-teams/</w:t>
        </w:r>
      </w:hyperlink>
      <w:r>
        <w:rPr>
          <w:rFonts w:asciiTheme="minorBidi" w:hAnsiTheme="minorBidi"/>
          <w:sz w:val="22"/>
        </w:rPr>
        <w:t xml:space="preserve"> </w:t>
      </w:r>
      <w:r w:rsidRPr="00A514DD">
        <w:rPr>
          <w:rFonts w:asciiTheme="minorBidi" w:hAnsiTheme="minorBidi"/>
          <w:sz w:val="22"/>
        </w:rPr>
        <w:t xml:space="preserve"> (Accessed: </w:t>
      </w:r>
      <w:r w:rsidR="003E3CCB">
        <w:rPr>
          <w:rFonts w:asciiTheme="minorBidi" w:hAnsiTheme="minorBidi"/>
          <w:sz w:val="22"/>
        </w:rPr>
        <w:t xml:space="preserve">14 </w:t>
      </w:r>
      <w:r w:rsidRPr="00A514DD">
        <w:rPr>
          <w:rFonts w:asciiTheme="minorBidi" w:hAnsiTheme="minorBidi"/>
          <w:sz w:val="22"/>
        </w:rPr>
        <w:t>April 2026).</w:t>
      </w:r>
    </w:p>
    <w:p w14:paraId="00B1C54F" w14:textId="5DB484AA" w:rsidR="003E3CCB" w:rsidRDefault="003E3CCB" w:rsidP="00A514DD">
      <w:pPr>
        <w:tabs>
          <w:tab w:val="left" w:pos="6540"/>
        </w:tabs>
        <w:spacing w:line="360" w:lineRule="auto"/>
        <w:rPr>
          <w:rFonts w:asciiTheme="minorBidi" w:hAnsiTheme="minorBidi"/>
          <w:sz w:val="22"/>
        </w:rPr>
      </w:pPr>
      <w:r w:rsidRPr="003E3CCB">
        <w:rPr>
          <w:rFonts w:asciiTheme="minorBidi" w:hAnsiTheme="minorBidi"/>
          <w:sz w:val="22"/>
        </w:rPr>
        <w:t xml:space="preserve">National Institute for Health and Care Excellence (NICE) (2023) Stroke rehabilitation in adults: NICE guideline NG236. Available at: </w:t>
      </w:r>
      <w:hyperlink r:id="rId11" w:history="1">
        <w:r w:rsidRPr="005F61E9">
          <w:rPr>
            <w:rStyle w:val="Hyperlink"/>
            <w:rFonts w:asciiTheme="minorBidi" w:hAnsiTheme="minorBidi"/>
            <w:sz w:val="22"/>
          </w:rPr>
          <w:t>https://www.nice.org.uk/guidance/ng236</w:t>
        </w:r>
      </w:hyperlink>
      <w:r>
        <w:rPr>
          <w:rFonts w:asciiTheme="minorBidi" w:hAnsiTheme="minorBidi"/>
          <w:sz w:val="22"/>
        </w:rPr>
        <w:t xml:space="preserve">  (Accessed: 10 April 2026). </w:t>
      </w:r>
    </w:p>
    <w:p w14:paraId="56B65F03" w14:textId="36FB16E6"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NHS England (2025) 'High quality patient records'. Available at: </w:t>
      </w:r>
      <w:hyperlink r:id="rId12" w:history="1">
        <w:r w:rsidR="003E3CCB" w:rsidRPr="005F61E9">
          <w:rPr>
            <w:rStyle w:val="Hyperlink"/>
            <w:rFonts w:asciiTheme="minorBidi" w:hAnsiTheme="minorBidi"/>
            <w:sz w:val="22"/>
          </w:rPr>
          <w:t>https://www.england.nhs.uk/long-read/high-quality-patient-records/</w:t>
        </w:r>
      </w:hyperlink>
      <w:r w:rsidR="003E3CCB">
        <w:rPr>
          <w:rFonts w:asciiTheme="minorBidi" w:hAnsiTheme="minorBidi"/>
          <w:sz w:val="22"/>
        </w:rPr>
        <w:t xml:space="preserve"> </w:t>
      </w:r>
      <w:r w:rsidRPr="00A514DD">
        <w:rPr>
          <w:rFonts w:asciiTheme="minorBidi" w:hAnsiTheme="minorBidi"/>
          <w:sz w:val="22"/>
        </w:rPr>
        <w:t xml:space="preserve">(Accessed: </w:t>
      </w:r>
      <w:r w:rsidR="003E3CCB">
        <w:rPr>
          <w:rFonts w:asciiTheme="minorBidi" w:hAnsiTheme="minorBidi"/>
          <w:sz w:val="22"/>
        </w:rPr>
        <w:t>12</w:t>
      </w:r>
      <w:r w:rsidRPr="00A514DD">
        <w:rPr>
          <w:rFonts w:asciiTheme="minorBidi" w:hAnsiTheme="minorBidi"/>
          <w:sz w:val="22"/>
        </w:rPr>
        <w:t xml:space="preserve"> April 2026).</w:t>
      </w:r>
    </w:p>
    <w:p w14:paraId="2D67CBBC" w14:textId="11C00762"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Nordmann, K., Sauter, S., Möbius-Lerch, P., Redlich, M.-C., Schaller, M. and Fischer, F. (2023) 'Conceptualising interprofessional digital communication and collaboration in health care: protocol for a scoping review', JMIR Research Protocols, 12, e45179. Available at: </w:t>
      </w:r>
      <w:hyperlink r:id="rId13" w:history="1">
        <w:r w:rsidR="003E3CCB" w:rsidRPr="005F61E9">
          <w:rPr>
            <w:rStyle w:val="Hyperlink"/>
            <w:rFonts w:asciiTheme="minorBidi" w:hAnsiTheme="minorBidi"/>
            <w:sz w:val="22"/>
          </w:rPr>
          <w:t>https://www.researchprotocols.org/2023/1/e45179</w:t>
        </w:r>
      </w:hyperlink>
      <w:r w:rsidRPr="00A514DD">
        <w:rPr>
          <w:rFonts w:asciiTheme="minorBidi" w:hAnsiTheme="minorBidi"/>
          <w:sz w:val="22"/>
        </w:rPr>
        <w:t>).</w:t>
      </w:r>
      <w:r w:rsidR="003E3CCB">
        <w:rPr>
          <w:rFonts w:asciiTheme="minorBidi" w:hAnsiTheme="minorBidi"/>
          <w:sz w:val="22"/>
        </w:rPr>
        <w:t xml:space="preserve"> </w:t>
      </w:r>
    </w:p>
    <w:p w14:paraId="5C85C71A" w14:textId="7F6C6C79" w:rsidR="003E3CCB" w:rsidRDefault="00A514DD" w:rsidP="00A514DD">
      <w:pPr>
        <w:tabs>
          <w:tab w:val="left" w:pos="6540"/>
        </w:tabs>
        <w:spacing w:line="360" w:lineRule="auto"/>
        <w:rPr>
          <w:rFonts w:asciiTheme="minorBidi" w:hAnsiTheme="minorBidi"/>
          <w:sz w:val="22"/>
        </w:rPr>
      </w:pPr>
      <w:r w:rsidRPr="00A514DD">
        <w:rPr>
          <w:rFonts w:asciiTheme="minorBidi" w:hAnsiTheme="minorBidi"/>
          <w:sz w:val="22"/>
        </w:rPr>
        <w:t>Rotherham Doncaster and South Humber NHS Foundation Trust (</w:t>
      </w:r>
      <w:proofErr w:type="spellStart"/>
      <w:r w:rsidRPr="00A514DD">
        <w:rPr>
          <w:rFonts w:asciiTheme="minorBidi" w:hAnsiTheme="minorBidi"/>
          <w:sz w:val="22"/>
        </w:rPr>
        <w:t>RDaSH</w:t>
      </w:r>
      <w:proofErr w:type="spellEnd"/>
      <w:r w:rsidRPr="00A514DD">
        <w:rPr>
          <w:rFonts w:asciiTheme="minorBidi" w:hAnsiTheme="minorBidi"/>
          <w:sz w:val="22"/>
        </w:rPr>
        <w:t xml:space="preserve">) (2026) 'Data Protection Act 2018 and research procedure'. Available at: </w:t>
      </w:r>
      <w:hyperlink r:id="rId14" w:history="1">
        <w:r w:rsidR="003E3CCB" w:rsidRPr="005F61E9">
          <w:rPr>
            <w:rStyle w:val="Hyperlink"/>
            <w:rFonts w:asciiTheme="minorBidi" w:hAnsiTheme="minorBidi"/>
            <w:sz w:val="22"/>
          </w:rPr>
          <w:t>https://www.rdash.nhs.uk/policies/data-protection-act-2018-and-research-procedure/</w:t>
        </w:r>
      </w:hyperlink>
      <w:r w:rsidRPr="00A514DD">
        <w:rPr>
          <w:rFonts w:asciiTheme="minorBidi" w:hAnsiTheme="minorBidi"/>
          <w:sz w:val="22"/>
        </w:rPr>
        <w:t xml:space="preserve"> </w:t>
      </w:r>
    </w:p>
    <w:p w14:paraId="01FFB661" w14:textId="669C722D"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(Accessed: </w:t>
      </w:r>
      <w:r w:rsidR="003E3CCB">
        <w:rPr>
          <w:rFonts w:asciiTheme="minorBidi" w:hAnsiTheme="minorBidi"/>
          <w:sz w:val="22"/>
        </w:rPr>
        <w:t>12</w:t>
      </w:r>
      <w:r w:rsidRPr="00A514DD">
        <w:rPr>
          <w:rFonts w:asciiTheme="minorBidi" w:hAnsiTheme="minorBidi"/>
          <w:sz w:val="22"/>
        </w:rPr>
        <w:t xml:space="preserve"> April 2026).</w:t>
      </w:r>
    </w:p>
    <w:p w14:paraId="19B15240" w14:textId="6467B3E4" w:rsidR="003E3CCB"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Schouten, B.C. et al. (2020) 'Mitigating language and cultural barriers in healthcare communication', Patient Education and </w:t>
      </w:r>
      <w:r w:rsidR="003E3CCB" w:rsidRPr="00A514DD">
        <w:rPr>
          <w:rFonts w:asciiTheme="minorBidi" w:hAnsiTheme="minorBidi"/>
          <w:sz w:val="22"/>
        </w:rPr>
        <w:t>Counselling</w:t>
      </w:r>
      <w:r w:rsidRPr="00A514DD">
        <w:rPr>
          <w:rFonts w:asciiTheme="minorBidi" w:hAnsiTheme="minorBidi"/>
          <w:sz w:val="22"/>
        </w:rPr>
        <w:t xml:space="preserve">, 103(12), pp. 2604–2608. Available at: </w:t>
      </w:r>
      <w:hyperlink r:id="rId15" w:history="1">
        <w:r w:rsidR="003E3CCB" w:rsidRPr="005F61E9">
          <w:rPr>
            <w:rStyle w:val="Hyperlink"/>
            <w:rFonts w:asciiTheme="minorBidi" w:hAnsiTheme="minorBidi"/>
            <w:sz w:val="22"/>
          </w:rPr>
          <w:t>https://pubmed.ncbi.nlm.nih.gov/32423835/</w:t>
        </w:r>
      </w:hyperlink>
      <w:r w:rsidR="003E3CCB">
        <w:rPr>
          <w:rFonts w:asciiTheme="minorBidi" w:hAnsiTheme="minorBidi"/>
          <w:sz w:val="22"/>
        </w:rPr>
        <w:t xml:space="preserve">. </w:t>
      </w:r>
    </w:p>
    <w:p w14:paraId="241EAFE6" w14:textId="15750071"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Tear, C. (2024) 'How the Equality Act protects disabled people in healthcare settings'. Available at: </w:t>
      </w:r>
      <w:hyperlink r:id="rId16" w:history="1">
        <w:r w:rsidR="003E3CCB" w:rsidRPr="005F61E9">
          <w:rPr>
            <w:rStyle w:val="Hyperlink"/>
            <w:rFonts w:asciiTheme="minorBidi" w:hAnsiTheme="minorBidi"/>
            <w:sz w:val="22"/>
          </w:rPr>
          <w:t>https://chloetear.co.uk/2024/08/how-the-equality-act-protects-disabled-people-in-healthcare-settings/</w:t>
        </w:r>
      </w:hyperlink>
      <w:r w:rsidR="003E3CCB">
        <w:rPr>
          <w:rFonts w:asciiTheme="minorBidi" w:hAnsiTheme="minorBidi"/>
          <w:sz w:val="22"/>
        </w:rPr>
        <w:t xml:space="preserve">. </w:t>
      </w:r>
    </w:p>
    <w:p w14:paraId="33F8F0BD" w14:textId="10294AC8" w:rsidR="00B87E75" w:rsidRPr="003E3CCB" w:rsidRDefault="00A514DD" w:rsidP="003E3CCB">
      <w:pPr>
        <w:tabs>
          <w:tab w:val="left" w:pos="6540"/>
        </w:tabs>
        <w:spacing w:line="360" w:lineRule="auto"/>
        <w:rPr>
          <w:rFonts w:asciiTheme="minorBidi" w:hAnsiTheme="minorBidi"/>
          <w:sz w:val="22"/>
        </w:rPr>
      </w:pPr>
      <w:r w:rsidRPr="00A514DD">
        <w:rPr>
          <w:rFonts w:asciiTheme="minorBidi" w:hAnsiTheme="minorBidi"/>
          <w:sz w:val="22"/>
        </w:rPr>
        <w:lastRenderedPageBreak/>
        <w:t xml:space="preserve">The King's Fund (2021) 'Admin matters: the impact of NHS administration on patient care'. Available at: </w:t>
      </w:r>
      <w:hyperlink r:id="rId17" w:history="1">
        <w:r w:rsidR="003E3CCB" w:rsidRPr="005F61E9">
          <w:rPr>
            <w:rStyle w:val="Hyperlink"/>
            <w:rFonts w:asciiTheme="minorBidi" w:hAnsiTheme="minorBidi"/>
            <w:sz w:val="22"/>
          </w:rPr>
          <w:t>https://www.kingsfund.org.uk/insight-and-analysis/long-reads/admin-matters-nhs-patient-care</w:t>
        </w:r>
      </w:hyperlink>
      <w:r w:rsidR="003E3CCB">
        <w:rPr>
          <w:rFonts w:asciiTheme="minorBidi" w:hAnsiTheme="minorBidi"/>
          <w:sz w:val="22"/>
        </w:rPr>
        <w:t xml:space="preserve">. </w:t>
      </w:r>
      <w:r w:rsidRPr="00A514DD">
        <w:rPr>
          <w:rFonts w:asciiTheme="minorBidi" w:hAnsiTheme="minorBidi"/>
          <w:sz w:val="22"/>
        </w:rPr>
        <w:t xml:space="preserve">(Accessed: </w:t>
      </w:r>
      <w:r w:rsidR="003E3CCB">
        <w:rPr>
          <w:rFonts w:asciiTheme="minorBidi" w:hAnsiTheme="minorBidi"/>
          <w:sz w:val="22"/>
        </w:rPr>
        <w:t xml:space="preserve">12 </w:t>
      </w:r>
      <w:r w:rsidRPr="00A514DD">
        <w:rPr>
          <w:rFonts w:asciiTheme="minorBidi" w:hAnsiTheme="minorBidi"/>
          <w:sz w:val="22"/>
        </w:rPr>
        <w:t>April 2026).</w:t>
      </w:r>
    </w:p>
    <w:p w14:paraId="1425F4AC" w14:textId="6695D929" w:rsidR="001D7C03" w:rsidRPr="00A514DD" w:rsidRDefault="001D7C03" w:rsidP="00CD33A8">
      <w:pPr>
        <w:tabs>
          <w:tab w:val="left" w:pos="6540"/>
        </w:tabs>
        <w:spacing w:line="360" w:lineRule="auto"/>
        <w:rPr>
          <w:rFonts w:asciiTheme="minorBidi" w:hAnsiTheme="minorBidi"/>
          <w:sz w:val="22"/>
        </w:rPr>
      </w:pPr>
    </w:p>
    <w:sectPr w:rsidR="001D7C03" w:rsidRPr="00A514DD"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9C09C" w14:textId="77777777" w:rsidR="00FA0D08" w:rsidRDefault="00FA0D08" w:rsidP="003E4ECF">
      <w:pPr>
        <w:spacing w:after="0" w:line="240" w:lineRule="auto"/>
      </w:pPr>
      <w:r>
        <w:separator/>
      </w:r>
    </w:p>
  </w:endnote>
  <w:endnote w:type="continuationSeparator" w:id="0">
    <w:p w14:paraId="78325805" w14:textId="77777777" w:rsidR="00FA0D08" w:rsidRDefault="00FA0D0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EF63A" w14:textId="77777777" w:rsidR="00FA0D08" w:rsidRDefault="00FA0D08" w:rsidP="003E4ECF">
      <w:pPr>
        <w:spacing w:after="0" w:line="240" w:lineRule="auto"/>
      </w:pPr>
      <w:r>
        <w:separator/>
      </w:r>
    </w:p>
  </w:footnote>
  <w:footnote w:type="continuationSeparator" w:id="0">
    <w:p w14:paraId="723BF5A9" w14:textId="77777777" w:rsidR="00FA0D08" w:rsidRDefault="00FA0D08"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706A0"/>
    <w:rsid w:val="001D7C03"/>
    <w:rsid w:val="00216C85"/>
    <w:rsid w:val="00222D3E"/>
    <w:rsid w:val="0026393A"/>
    <w:rsid w:val="00273EDD"/>
    <w:rsid w:val="002C3965"/>
    <w:rsid w:val="00306C3A"/>
    <w:rsid w:val="00321C4C"/>
    <w:rsid w:val="00392BBC"/>
    <w:rsid w:val="003E3CCB"/>
    <w:rsid w:val="003E4ECF"/>
    <w:rsid w:val="004A736E"/>
    <w:rsid w:val="006925AA"/>
    <w:rsid w:val="00725177"/>
    <w:rsid w:val="00734243"/>
    <w:rsid w:val="007A1B8D"/>
    <w:rsid w:val="007C4786"/>
    <w:rsid w:val="0080344C"/>
    <w:rsid w:val="00814A9E"/>
    <w:rsid w:val="008613C3"/>
    <w:rsid w:val="00894585"/>
    <w:rsid w:val="008E3943"/>
    <w:rsid w:val="0090040D"/>
    <w:rsid w:val="00954EAB"/>
    <w:rsid w:val="00974616"/>
    <w:rsid w:val="009D052C"/>
    <w:rsid w:val="009D1D1E"/>
    <w:rsid w:val="009E6A39"/>
    <w:rsid w:val="00A00E58"/>
    <w:rsid w:val="00A035FD"/>
    <w:rsid w:val="00A514DD"/>
    <w:rsid w:val="00AD23A0"/>
    <w:rsid w:val="00B22A68"/>
    <w:rsid w:val="00B61947"/>
    <w:rsid w:val="00B87E75"/>
    <w:rsid w:val="00CD33A8"/>
    <w:rsid w:val="00D50C7C"/>
    <w:rsid w:val="00E569FD"/>
    <w:rsid w:val="00E620E7"/>
    <w:rsid w:val="00F66E1B"/>
    <w:rsid w:val="00FA0D08"/>
    <w:rsid w:val="00FE02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6C3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C3A"/>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1706A0"/>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1706A0"/>
    <w:pPr>
      <w:spacing w:before="360" w:after="360"/>
    </w:pPr>
    <w:rPr>
      <w:rFonts w:asciiTheme="minorHAnsi" w:hAnsiTheme="minorHAnsi" w:cstheme="minorHAnsi"/>
      <w:b/>
      <w:bCs/>
      <w:caps/>
      <w:sz w:val="22"/>
      <w:u w:val="single"/>
    </w:rPr>
  </w:style>
  <w:style w:type="character" w:styleId="Hyperlink">
    <w:name w:val="Hyperlink"/>
    <w:basedOn w:val="DefaultParagraphFont"/>
    <w:uiPriority w:val="99"/>
    <w:unhideWhenUsed/>
    <w:rsid w:val="001706A0"/>
    <w:rPr>
      <w:color w:val="0563C1" w:themeColor="hyperlink"/>
      <w:u w:val="single"/>
    </w:rPr>
  </w:style>
  <w:style w:type="paragraph" w:styleId="TOC2">
    <w:name w:val="toc 2"/>
    <w:basedOn w:val="Normal"/>
    <w:next w:val="Normal"/>
    <w:autoRedefine/>
    <w:uiPriority w:val="39"/>
    <w:semiHidden/>
    <w:unhideWhenUsed/>
    <w:rsid w:val="001706A0"/>
    <w:pPr>
      <w:spacing w:after="0"/>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1706A0"/>
    <w:pPr>
      <w:spacing w:after="0"/>
    </w:pPr>
    <w:rPr>
      <w:rFonts w:asciiTheme="minorHAnsi" w:hAnsiTheme="minorHAnsi" w:cstheme="minorHAnsi"/>
      <w:smallCaps/>
      <w:sz w:val="22"/>
    </w:rPr>
  </w:style>
  <w:style w:type="paragraph" w:styleId="TOC4">
    <w:name w:val="toc 4"/>
    <w:basedOn w:val="Normal"/>
    <w:next w:val="Normal"/>
    <w:autoRedefine/>
    <w:uiPriority w:val="39"/>
    <w:semiHidden/>
    <w:unhideWhenUsed/>
    <w:rsid w:val="001706A0"/>
    <w:pPr>
      <w:spacing w:after="0"/>
    </w:pPr>
    <w:rPr>
      <w:rFonts w:asciiTheme="minorHAnsi" w:hAnsiTheme="minorHAnsi" w:cstheme="minorHAnsi"/>
      <w:sz w:val="22"/>
    </w:rPr>
  </w:style>
  <w:style w:type="paragraph" w:styleId="TOC5">
    <w:name w:val="toc 5"/>
    <w:basedOn w:val="Normal"/>
    <w:next w:val="Normal"/>
    <w:autoRedefine/>
    <w:uiPriority w:val="39"/>
    <w:semiHidden/>
    <w:unhideWhenUsed/>
    <w:rsid w:val="001706A0"/>
    <w:pPr>
      <w:spacing w:after="0"/>
    </w:pPr>
    <w:rPr>
      <w:rFonts w:asciiTheme="minorHAnsi" w:hAnsiTheme="minorHAnsi" w:cstheme="minorHAnsi"/>
      <w:sz w:val="22"/>
    </w:rPr>
  </w:style>
  <w:style w:type="paragraph" w:styleId="TOC6">
    <w:name w:val="toc 6"/>
    <w:basedOn w:val="Normal"/>
    <w:next w:val="Normal"/>
    <w:autoRedefine/>
    <w:uiPriority w:val="39"/>
    <w:semiHidden/>
    <w:unhideWhenUsed/>
    <w:rsid w:val="001706A0"/>
    <w:pPr>
      <w:spacing w:after="0"/>
    </w:pPr>
    <w:rPr>
      <w:rFonts w:asciiTheme="minorHAnsi" w:hAnsiTheme="minorHAnsi" w:cstheme="minorHAnsi"/>
      <w:sz w:val="22"/>
    </w:rPr>
  </w:style>
  <w:style w:type="paragraph" w:styleId="TOC7">
    <w:name w:val="toc 7"/>
    <w:basedOn w:val="Normal"/>
    <w:next w:val="Normal"/>
    <w:autoRedefine/>
    <w:uiPriority w:val="39"/>
    <w:semiHidden/>
    <w:unhideWhenUsed/>
    <w:rsid w:val="001706A0"/>
    <w:pPr>
      <w:spacing w:after="0"/>
    </w:pPr>
    <w:rPr>
      <w:rFonts w:asciiTheme="minorHAnsi" w:hAnsiTheme="minorHAnsi" w:cstheme="minorHAnsi"/>
      <w:sz w:val="22"/>
    </w:rPr>
  </w:style>
  <w:style w:type="paragraph" w:styleId="TOC8">
    <w:name w:val="toc 8"/>
    <w:basedOn w:val="Normal"/>
    <w:next w:val="Normal"/>
    <w:autoRedefine/>
    <w:uiPriority w:val="39"/>
    <w:semiHidden/>
    <w:unhideWhenUsed/>
    <w:rsid w:val="001706A0"/>
    <w:pPr>
      <w:spacing w:after="0"/>
    </w:pPr>
    <w:rPr>
      <w:rFonts w:asciiTheme="minorHAnsi" w:hAnsiTheme="minorHAnsi" w:cstheme="minorHAnsi"/>
      <w:sz w:val="22"/>
    </w:rPr>
  </w:style>
  <w:style w:type="paragraph" w:styleId="TOC9">
    <w:name w:val="toc 9"/>
    <w:basedOn w:val="Normal"/>
    <w:next w:val="Normal"/>
    <w:autoRedefine/>
    <w:uiPriority w:val="39"/>
    <w:semiHidden/>
    <w:unhideWhenUsed/>
    <w:rsid w:val="001706A0"/>
    <w:pPr>
      <w:spacing w:after="0"/>
    </w:pPr>
    <w:rPr>
      <w:rFonts w:asciiTheme="minorHAnsi" w:hAnsiTheme="minorHAnsi" w:cstheme="minorHAnsi"/>
      <w:sz w:val="22"/>
    </w:rPr>
  </w:style>
  <w:style w:type="character" w:styleId="UnresolvedMention">
    <w:name w:val="Unresolved Mention"/>
    <w:basedOn w:val="DefaultParagraphFont"/>
    <w:uiPriority w:val="99"/>
    <w:semiHidden/>
    <w:unhideWhenUsed/>
    <w:rsid w:val="00A514DD"/>
    <w:rPr>
      <w:color w:val="605E5C"/>
      <w:shd w:val="clear" w:color="auto" w:fill="E1DFDD"/>
    </w:rPr>
  </w:style>
  <w:style w:type="character" w:styleId="FollowedHyperlink">
    <w:name w:val="FollowedHyperlink"/>
    <w:basedOn w:val="DefaultParagraphFont"/>
    <w:uiPriority w:val="99"/>
    <w:semiHidden/>
    <w:unhideWhenUsed/>
    <w:rsid w:val="003E3C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ingdata.com/uncategorized/challenges-for-healthcare-agencies-homecare-scheduling/" TargetMode="External"/><Relationship Id="rId13" Type="http://schemas.openxmlformats.org/officeDocument/2006/relationships/hyperlink" Target="https://www.researchprotocols.org/2023/1/e45179"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england.nhs.uk/long-read/high-quality-patient-records/" TargetMode="External"/><Relationship Id="rId17" Type="http://schemas.openxmlformats.org/officeDocument/2006/relationships/hyperlink" Target="https://www.kingsfund.org.uk/insight-and-analysis/long-reads/admin-matters-nhs-patient-care" TargetMode="External"/><Relationship Id="rId2" Type="http://schemas.openxmlformats.org/officeDocument/2006/relationships/settings" Target="settings.xml"/><Relationship Id="rId16" Type="http://schemas.openxmlformats.org/officeDocument/2006/relationships/hyperlink" Target="https://chloetear.co.uk/2024/08/how-the-equality-act-protects-disabled-people-in-healthcare-setting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ice.org.uk/guidance/ng236" TargetMode="External"/><Relationship Id="rId5" Type="http://schemas.openxmlformats.org/officeDocument/2006/relationships/endnotes" Target="endnotes.xml"/><Relationship Id="rId15" Type="http://schemas.openxmlformats.org/officeDocument/2006/relationships/hyperlink" Target="https://pubmed.ncbi.nlm.nih.gov/32423835/" TargetMode="External"/><Relationship Id="rId10" Type="http://schemas.openxmlformats.org/officeDocument/2006/relationships/hyperlink" Target="https://www.jpmedicals.co.uk/why-interprofessional-collaboration-is-vital-for-70-of-healthcare-team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reatermanchester.ac.uk/blogs/why-is-communication-important-in-health-and-social-care" TargetMode="External"/><Relationship Id="rId14" Type="http://schemas.openxmlformats.org/officeDocument/2006/relationships/hyperlink" Target="https://www.rdash.nhs.uk/policies/data-protection-act-2018-and-research-proced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Rabeya Payel (2513891)</cp:lastModifiedBy>
  <cp:revision>2</cp:revision>
  <dcterms:created xsi:type="dcterms:W3CDTF">2026-04-23T23:31:00Z</dcterms:created>
  <dcterms:modified xsi:type="dcterms:W3CDTF">2026-04-23T23:31:00Z</dcterms:modified>
</cp:coreProperties>
</file>