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mirrorIndents/>
        <w:jc w:val="center"/>
        <w:rPr>
          <w:rFonts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mirrorIndents/>
        <w:rPr>
          <w:rFonts w:cs="Arial"/>
          <w:sz w:val="20"/>
        </w:rPr>
      </w:pPr>
    </w:p>
    <w:p w14:paraId="1D46ECAF" w14:textId="77777777" w:rsidR="00141A69" w:rsidRPr="00812591" w:rsidRDefault="00141A69" w:rsidP="00DA52F0">
      <w:pPr>
        <w:pStyle w:val="BodyText"/>
        <w:mirrorIndents/>
        <w:rPr>
          <w:rFonts w:cs="Arial"/>
          <w:sz w:val="20"/>
        </w:rPr>
      </w:pPr>
    </w:p>
    <w:p w14:paraId="0DA60FB4" w14:textId="26C2ED27" w:rsidR="00141A69" w:rsidRPr="00141A69" w:rsidRDefault="002C2B51"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b/>
          <w:color w:val="0070C0"/>
          <w:sz w:val="80"/>
          <w:szCs w:val="80"/>
        </w:rPr>
      </w:pPr>
      <w:r>
        <w:rPr>
          <w:rFonts w:eastAsia="Arial Unicode MS" w:cs="Arial"/>
          <w:b/>
          <w:color w:val="0070C0"/>
          <w:sz w:val="80"/>
          <w:szCs w:val="80"/>
        </w:rPr>
        <w:t xml:space="preserve">A Study on exploring </w:t>
      </w:r>
      <w:r w:rsidR="00F5656E">
        <w:rPr>
          <w:rFonts w:eastAsia="Arial Unicode MS" w:cs="Arial"/>
          <w:b/>
          <w:color w:val="0070C0"/>
          <w:sz w:val="80"/>
          <w:szCs w:val="80"/>
        </w:rPr>
        <w:t>issues in Health access and I</w:t>
      </w:r>
      <w:r w:rsidR="0073177A">
        <w:rPr>
          <w:rFonts w:eastAsia="Arial Unicode MS" w:cs="Arial"/>
          <w:b/>
          <w:color w:val="0070C0"/>
          <w:sz w:val="80"/>
          <w:szCs w:val="80"/>
        </w:rPr>
        <w:t xml:space="preserve">nequalities in adults in the UK </w:t>
      </w:r>
    </w:p>
    <w:p w14:paraId="36B51F0B" w14:textId="77777777" w:rsidR="00141A69" w:rsidRPr="00141A69"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b/>
          <w:color w:val="0070C0"/>
          <w:sz w:val="80"/>
          <w:szCs w:val="80"/>
        </w:rPr>
      </w:pPr>
    </w:p>
    <w:p w14:paraId="5D74BABE" w14:textId="5A886ACF" w:rsidR="00141A69" w:rsidRPr="00141A69" w:rsidRDefault="0073177A"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color w:val="0070C0"/>
          <w:sz w:val="80"/>
          <w:szCs w:val="80"/>
        </w:rPr>
      </w:pPr>
      <w:r>
        <w:rPr>
          <w:rFonts w:eastAsia="Arial Unicode MS" w:cs="Arial"/>
          <w:b/>
          <w:color w:val="0070C0"/>
          <w:sz w:val="80"/>
          <w:szCs w:val="80"/>
        </w:rPr>
        <w:t>Paula Andrea Latorre Restrepo</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sz w:val="40"/>
          <w:szCs w:val="40"/>
        </w:rPr>
      </w:pPr>
    </w:p>
    <w:p w14:paraId="70F09D8E" w14:textId="73D12F90"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sz w:val="36"/>
          <w:szCs w:val="36"/>
        </w:rPr>
      </w:pPr>
      <w:r w:rsidRPr="008825E0">
        <w:rPr>
          <w:rFonts w:eastAsia="Arial Unicode MS" w:cs="Arial"/>
          <w:b/>
          <w:bCs/>
          <w:sz w:val="36"/>
          <w:szCs w:val="36"/>
        </w:rPr>
        <w:t>Supervisor’s name</w:t>
      </w:r>
      <w:r w:rsidRPr="008825E0">
        <w:rPr>
          <w:rFonts w:eastAsia="Arial Unicode MS" w:cs="Arial"/>
          <w:sz w:val="36"/>
          <w:szCs w:val="36"/>
        </w:rPr>
        <w:t>:</w:t>
      </w:r>
      <w:r w:rsidR="00B3314D">
        <w:rPr>
          <w:rFonts w:eastAsia="Arial Unicode MS" w:cs="Arial"/>
          <w:sz w:val="36"/>
          <w:szCs w:val="36"/>
        </w:rPr>
        <w:t xml:space="preserve"> </w:t>
      </w:r>
      <w:r w:rsidR="00B3314D" w:rsidRPr="00B3314D">
        <w:rPr>
          <w:rFonts w:eastAsia="Arial Unicode MS" w:cs="Arial"/>
          <w:sz w:val="36"/>
          <w:szCs w:val="36"/>
        </w:rPr>
        <w:t>Dr. Jayalakshmi Gopalkrishnan</w:t>
      </w:r>
      <w:r w:rsidR="00965635">
        <w:rPr>
          <w:rFonts w:eastAsia="Arial Unicode MS" w:cs="Arial"/>
          <w:sz w:val="36"/>
          <w:szCs w:val="36"/>
        </w:rPr>
        <w:t>.</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sz w:val="32"/>
          <w:szCs w:val="32"/>
        </w:rPr>
      </w:pPr>
      <w:r w:rsidRPr="008825E0">
        <w:rPr>
          <w:rFonts w:eastAsia="Arial Unicode MS"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2F66A3F9" w14:textId="4FFEAF9C" w:rsidR="00141A69" w:rsidRPr="00141A69" w:rsidRDefault="001C7948"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center"/>
        <w:rPr>
          <w:rFonts w:eastAsia="Arial Unicode MS" w:cs="Arial"/>
          <w:b/>
          <w:bCs/>
          <w:color w:val="0070C0"/>
        </w:rPr>
      </w:pPr>
      <w:r>
        <w:rPr>
          <w:rFonts w:eastAsia="Arial Unicode MS" w:cs="Arial"/>
          <w:b/>
          <w:bCs/>
          <w:color w:val="0070C0"/>
        </w:rPr>
        <w:t>19 DECEMBER</w:t>
      </w:r>
      <w:r w:rsidR="00141A69" w:rsidRPr="00141A69">
        <w:rPr>
          <w:rFonts w:eastAsia="Arial Unicode MS" w:cs="Arial"/>
          <w:b/>
          <w:bCs/>
          <w:color w:val="0070C0"/>
        </w:rPr>
        <w:t xml:space="preserve"> </w:t>
      </w:r>
      <w:r w:rsidR="009C30BC">
        <w:rPr>
          <w:rFonts w:eastAsia="Arial Unicode MS" w:cs="Arial"/>
          <w:b/>
          <w:bCs/>
          <w:color w:val="0070C0"/>
        </w:rPr>
        <w:t>2025</w:t>
      </w:r>
      <w:r w:rsidR="00141A69" w:rsidRPr="00141A69">
        <w:rPr>
          <w:rFonts w:eastAsia="Arial Unicode MS" w:cs="Arial"/>
          <w:b/>
          <w:bCs/>
          <w:color w:val="0070C0"/>
        </w:rPr>
        <w:t xml:space="preserve"> </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eastAsia="Arial Unicode MS" w:cs="Arial"/>
        </w:rPr>
      </w:pPr>
    </w:p>
    <w:p w14:paraId="07FF94D8" w14:textId="77777777" w:rsidR="003F2B6D" w:rsidRDefault="003F2B6D" w:rsidP="00DA52F0">
      <w:pPr>
        <w:rPr>
          <w:rFonts w:eastAsia="Times New Roman" w:cs="Arial"/>
          <w:b/>
          <w:sz w:val="20"/>
          <w:szCs w:val="20"/>
        </w:rPr>
      </w:pPr>
      <w:r>
        <w:rPr>
          <w:rFonts w:eastAsia="Times New Roman" w:cs="Arial"/>
          <w:b/>
          <w:sz w:val="20"/>
          <w:szCs w:val="20"/>
        </w:rPr>
        <w:br w:type="page"/>
      </w:r>
    </w:p>
    <w:p w14:paraId="497AB819" w14:textId="4AD27C83" w:rsidR="005C2C7A" w:rsidRPr="00812591" w:rsidRDefault="005C2C7A" w:rsidP="00DA52F0">
      <w:pPr>
        <w:pStyle w:val="Heading1"/>
        <w:ind w:left="0"/>
      </w:pPr>
      <w:bookmarkStart w:id="0" w:name="_Toc216612399"/>
      <w:r w:rsidRPr="00812591">
        <w:lastRenderedPageBreak/>
        <w:t>DECLARATION</w:t>
      </w:r>
      <w:bookmarkEnd w:id="0"/>
    </w:p>
    <w:p w14:paraId="781F94BE" w14:textId="6D6E3504" w:rsidR="005C2C7A" w:rsidRPr="002B4534" w:rsidRDefault="005C2C7A" w:rsidP="00DA52F0">
      <w:pPr>
        <w:mirrorIndents/>
        <w:rPr>
          <w:rFonts w:eastAsia="Times New Roman" w:cs="Arial"/>
          <w:sz w:val="24"/>
          <w:szCs w:val="24"/>
        </w:rPr>
      </w:pPr>
      <w:r w:rsidRPr="002B4534">
        <w:rPr>
          <w:rFonts w:eastAsia="Times New Roman" w:cs="Arial"/>
          <w:sz w:val="24"/>
          <w:szCs w:val="24"/>
        </w:rPr>
        <w:t>This work has not previously been accepted in substance for any degree and is not being concurrently submitted in candidature for any degree</w:t>
      </w:r>
      <w:r w:rsidR="002B4534" w:rsidRPr="002B4534">
        <w:rPr>
          <w:rFonts w:eastAsia="Times New Roman" w:cs="Arial"/>
          <w:sz w:val="24"/>
          <w:szCs w:val="24"/>
        </w:rPr>
        <w:t>.</w:t>
      </w:r>
    </w:p>
    <w:p w14:paraId="6E9A3235" w14:textId="77777777" w:rsidR="005C2C7A" w:rsidRPr="002B4534" w:rsidRDefault="005C2C7A" w:rsidP="00DA52F0">
      <w:pPr>
        <w:mirrorIndents/>
        <w:rPr>
          <w:rFonts w:eastAsia="Times New Roman" w:cs="Arial"/>
          <w:sz w:val="24"/>
          <w:szCs w:val="24"/>
        </w:rPr>
      </w:pPr>
    </w:p>
    <w:p w14:paraId="2C851EC1" w14:textId="77777777" w:rsidR="005C2C7A" w:rsidRPr="002B4534" w:rsidRDefault="005C2C7A" w:rsidP="00DA52F0">
      <w:pPr>
        <w:mirrorIndents/>
        <w:rPr>
          <w:rFonts w:eastAsia="Times New Roman" w:cs="Arial"/>
          <w:sz w:val="24"/>
          <w:szCs w:val="24"/>
        </w:rPr>
      </w:pPr>
    </w:p>
    <w:p w14:paraId="09F9A390" w14:textId="532D4E93" w:rsidR="005C2C7A" w:rsidRPr="002B4534" w:rsidRDefault="005C2C7A" w:rsidP="00DA52F0">
      <w:pPr>
        <w:mirrorIndents/>
        <w:rPr>
          <w:rFonts w:eastAsia="Times New Roman" w:cs="Arial"/>
          <w:sz w:val="24"/>
          <w:szCs w:val="24"/>
        </w:rPr>
      </w:pPr>
      <w:r w:rsidRPr="002B4534">
        <w:rPr>
          <w:rFonts w:eastAsia="Times New Roman" w:cs="Arial"/>
          <w:sz w:val="24"/>
          <w:szCs w:val="24"/>
        </w:rPr>
        <w:t>Signe</w:t>
      </w:r>
      <w:r w:rsidR="004D11B6">
        <w:rPr>
          <w:rFonts w:eastAsia="Times New Roman" w:cs="Arial"/>
          <w:sz w:val="24"/>
          <w:szCs w:val="24"/>
        </w:rPr>
        <w:t xml:space="preserve">d: </w:t>
      </w:r>
      <w:r w:rsidR="004D11B6" w:rsidRPr="00817A6E">
        <w:rPr>
          <w:rFonts w:eastAsia="Times New Roman" w:cs="Arial"/>
          <w:b/>
          <w:bCs/>
          <w:i/>
          <w:iCs/>
          <w:sz w:val="24"/>
          <w:szCs w:val="24"/>
        </w:rPr>
        <w:t>Paula Andrea Latorre Restrepo</w:t>
      </w:r>
    </w:p>
    <w:p w14:paraId="49048FCC" w14:textId="77777777" w:rsidR="005C2C7A" w:rsidRPr="002B4534" w:rsidRDefault="005C2C7A" w:rsidP="00DA52F0">
      <w:pPr>
        <w:mirrorIndents/>
        <w:rPr>
          <w:rFonts w:eastAsia="Times New Roman" w:cs="Arial"/>
          <w:sz w:val="24"/>
          <w:szCs w:val="24"/>
        </w:rPr>
      </w:pPr>
    </w:p>
    <w:p w14:paraId="4F0D5FB2" w14:textId="77777777" w:rsidR="005C2C7A" w:rsidRPr="002B4534" w:rsidRDefault="005C2C7A" w:rsidP="00DA52F0">
      <w:pPr>
        <w:mirrorIndents/>
        <w:rPr>
          <w:rFonts w:eastAsia="Times New Roman" w:cs="Arial"/>
          <w:sz w:val="24"/>
          <w:szCs w:val="24"/>
        </w:rPr>
      </w:pPr>
    </w:p>
    <w:p w14:paraId="4F1D20A8" w14:textId="3D43DC62" w:rsidR="005C2C7A" w:rsidRPr="002B4534" w:rsidRDefault="005C2C7A" w:rsidP="00DA52F0">
      <w:pPr>
        <w:mirrorIndents/>
        <w:rPr>
          <w:rFonts w:eastAsia="Times New Roman" w:cs="Arial"/>
          <w:sz w:val="24"/>
          <w:szCs w:val="24"/>
        </w:rPr>
      </w:pPr>
      <w:r w:rsidRPr="002B4534">
        <w:rPr>
          <w:rFonts w:eastAsia="Times New Roman" w:cs="Arial"/>
          <w:sz w:val="24"/>
          <w:szCs w:val="24"/>
        </w:rPr>
        <w:t>Date</w:t>
      </w:r>
      <w:r w:rsidR="004D11B6">
        <w:rPr>
          <w:rFonts w:eastAsia="Times New Roman" w:cs="Arial"/>
          <w:sz w:val="24"/>
          <w:szCs w:val="24"/>
        </w:rPr>
        <w:t xml:space="preserve">: </w:t>
      </w:r>
      <w:r w:rsidR="00C67365">
        <w:rPr>
          <w:rFonts w:eastAsia="Times New Roman" w:cs="Arial"/>
          <w:sz w:val="24"/>
          <w:szCs w:val="24"/>
        </w:rPr>
        <w:t>09 December 2025</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mirrorIndents/>
        <w:rPr>
          <w:rFonts w:eastAsia="Times New Roman" w:cs="Arial"/>
          <w:bCs/>
          <w:kern w:val="32"/>
          <w:sz w:val="24"/>
          <w:szCs w:val="24"/>
        </w:rPr>
      </w:pPr>
      <w:r w:rsidRPr="002B4534">
        <w:rPr>
          <w:rFonts w:eastAsia="Times New Roman" w:cs="Arial"/>
          <w:b/>
          <w:sz w:val="24"/>
          <w:szCs w:val="24"/>
        </w:rPr>
        <w:t xml:space="preserve">STATEMENT 1 </w:t>
      </w:r>
    </w:p>
    <w:p w14:paraId="6E9FED08" w14:textId="3980B90F" w:rsidR="005C2C7A" w:rsidRPr="002B4534" w:rsidRDefault="005C2C7A" w:rsidP="00DA52F0">
      <w:pPr>
        <w:mirrorIndents/>
        <w:rPr>
          <w:rFonts w:eastAsia="Times New Roman" w:cs="Arial"/>
          <w:sz w:val="24"/>
          <w:szCs w:val="24"/>
        </w:rPr>
      </w:pPr>
      <w:r w:rsidRPr="002B4534">
        <w:rPr>
          <w:rFonts w:eastAsia="Times New Roman" w:cs="Arial"/>
          <w:sz w:val="24"/>
          <w:szCs w:val="24"/>
        </w:rPr>
        <w:t>This dissertation is being submitted in partial fulfilment of the requirements for the degree of B</w:t>
      </w:r>
      <w:r w:rsidR="00B80583" w:rsidRPr="002B4534">
        <w:rPr>
          <w:rFonts w:eastAsia="Times New Roman" w:cs="Arial"/>
          <w:sz w:val="24"/>
          <w:szCs w:val="24"/>
        </w:rPr>
        <w:t>Sc</w:t>
      </w:r>
      <w:r w:rsidRPr="002B4534">
        <w:rPr>
          <w:rFonts w:eastAsia="Times New Roman" w:cs="Arial"/>
          <w:sz w:val="24"/>
          <w:szCs w:val="24"/>
        </w:rPr>
        <w:t>.</w:t>
      </w:r>
    </w:p>
    <w:p w14:paraId="08553F86" w14:textId="77777777" w:rsidR="005C2C7A" w:rsidRPr="002B4534" w:rsidRDefault="005C2C7A" w:rsidP="002B4534">
      <w:pPr>
        <w:rPr>
          <w:sz w:val="24"/>
          <w:szCs w:val="24"/>
        </w:rPr>
      </w:pPr>
    </w:p>
    <w:p w14:paraId="4972B5A5" w14:textId="400BE33B" w:rsidR="005C2C7A" w:rsidRPr="002B4534" w:rsidRDefault="005C2C7A" w:rsidP="00DA52F0">
      <w:pPr>
        <w:mirrorIndents/>
        <w:rPr>
          <w:rFonts w:eastAsia="Times New Roman" w:cs="Arial"/>
          <w:sz w:val="24"/>
          <w:szCs w:val="24"/>
        </w:rPr>
      </w:pPr>
      <w:r w:rsidRPr="002B4534">
        <w:rPr>
          <w:rFonts w:eastAsia="Times New Roman" w:cs="Arial"/>
          <w:sz w:val="24"/>
          <w:szCs w:val="24"/>
        </w:rPr>
        <w:t>Sign</w:t>
      </w:r>
      <w:r w:rsidR="00C67365">
        <w:rPr>
          <w:rFonts w:eastAsia="Times New Roman" w:cs="Arial"/>
          <w:sz w:val="24"/>
          <w:szCs w:val="24"/>
        </w:rPr>
        <w:t xml:space="preserve">ed: </w:t>
      </w:r>
      <w:r w:rsidR="00817A6E" w:rsidRPr="00817A6E">
        <w:rPr>
          <w:rFonts w:eastAsia="Times New Roman" w:cs="Arial"/>
          <w:b/>
          <w:bCs/>
          <w:i/>
          <w:iCs/>
          <w:sz w:val="24"/>
          <w:szCs w:val="24"/>
        </w:rPr>
        <w:t>Paula Andrea Latorre Restrepo</w:t>
      </w:r>
    </w:p>
    <w:p w14:paraId="50AF5D19" w14:textId="77777777" w:rsidR="005C2C7A" w:rsidRPr="002B4534" w:rsidRDefault="005C2C7A" w:rsidP="00DA52F0">
      <w:pPr>
        <w:mirrorIndents/>
        <w:rPr>
          <w:rFonts w:eastAsia="Times New Roman" w:cs="Arial"/>
          <w:sz w:val="24"/>
          <w:szCs w:val="24"/>
        </w:rPr>
      </w:pPr>
    </w:p>
    <w:p w14:paraId="72935FF8" w14:textId="77777777" w:rsidR="005C2C7A" w:rsidRPr="002B4534" w:rsidRDefault="005C2C7A" w:rsidP="00DA52F0">
      <w:pPr>
        <w:mirrorIndents/>
        <w:rPr>
          <w:rFonts w:eastAsia="Times New Roman" w:cs="Arial"/>
          <w:sz w:val="24"/>
          <w:szCs w:val="24"/>
        </w:rPr>
      </w:pPr>
    </w:p>
    <w:p w14:paraId="1AD5AFC5" w14:textId="43F2FC61" w:rsidR="005C2C7A" w:rsidRPr="002B4534" w:rsidRDefault="005C2C7A" w:rsidP="00DA52F0">
      <w:pPr>
        <w:mirrorIndents/>
        <w:rPr>
          <w:rFonts w:eastAsia="Times New Roman" w:cs="Arial"/>
          <w:sz w:val="24"/>
          <w:szCs w:val="24"/>
        </w:rPr>
      </w:pPr>
      <w:r w:rsidRPr="002B4534">
        <w:rPr>
          <w:rFonts w:eastAsia="Times New Roman" w:cs="Arial"/>
          <w:sz w:val="24"/>
          <w:szCs w:val="24"/>
        </w:rPr>
        <w:t>Dat</w:t>
      </w:r>
      <w:r w:rsidR="00817A6E">
        <w:rPr>
          <w:rFonts w:eastAsia="Times New Roman" w:cs="Arial"/>
          <w:sz w:val="24"/>
          <w:szCs w:val="24"/>
        </w:rPr>
        <w:t>e: 09 December 2025</w:t>
      </w:r>
    </w:p>
    <w:p w14:paraId="12C4EA04" w14:textId="77777777" w:rsidR="005C2C7A" w:rsidRPr="002B4534" w:rsidRDefault="005C2C7A" w:rsidP="00DA52F0">
      <w:pPr>
        <w:mirrorIndents/>
        <w:rPr>
          <w:rFonts w:eastAsia="Times New Roman" w:cs="Arial"/>
          <w:sz w:val="24"/>
          <w:szCs w:val="24"/>
        </w:rPr>
      </w:pPr>
    </w:p>
    <w:p w14:paraId="27525FF0" w14:textId="77777777" w:rsidR="005C2C7A" w:rsidRPr="002B4534" w:rsidRDefault="005C2C7A" w:rsidP="00DA52F0">
      <w:pPr>
        <w:mirrorIndents/>
        <w:rPr>
          <w:rFonts w:eastAsia="Times New Roman" w:cs="Arial"/>
          <w:sz w:val="24"/>
          <w:szCs w:val="24"/>
        </w:rPr>
      </w:pPr>
    </w:p>
    <w:p w14:paraId="1E3754C7" w14:textId="77777777" w:rsidR="005C2C7A" w:rsidRPr="002B4534" w:rsidRDefault="005C2C7A" w:rsidP="00DA52F0">
      <w:pPr>
        <w:mirrorIndents/>
        <w:rPr>
          <w:rFonts w:eastAsia="Times New Roman" w:cs="Arial"/>
          <w:sz w:val="24"/>
          <w:szCs w:val="24"/>
        </w:rPr>
      </w:pPr>
      <w:r w:rsidRPr="002B4534">
        <w:rPr>
          <w:rFonts w:eastAsia="Times New Roman" w:cs="Arial"/>
          <w:b/>
          <w:sz w:val="24"/>
          <w:szCs w:val="24"/>
        </w:rPr>
        <w:t>STATEMENT 2</w:t>
      </w:r>
    </w:p>
    <w:p w14:paraId="4BBC20EC" w14:textId="77777777" w:rsidR="005C2C7A" w:rsidRPr="002B4534" w:rsidRDefault="005C2C7A" w:rsidP="00DA52F0">
      <w:pPr>
        <w:mirrorIndents/>
        <w:rPr>
          <w:rFonts w:eastAsia="Times New Roman" w:cs="Arial"/>
          <w:sz w:val="24"/>
          <w:szCs w:val="24"/>
        </w:rPr>
      </w:pPr>
      <w:r w:rsidRPr="002B4534">
        <w:rPr>
          <w:rFonts w:eastAsia="Times New Roman" w:cs="Arial"/>
          <w:sz w:val="24"/>
          <w:szCs w:val="24"/>
        </w:rPr>
        <w:t>This dissertation is the result of my own independent work/investigation, except where otherwise stated.</w:t>
      </w:r>
    </w:p>
    <w:p w14:paraId="0B47D448" w14:textId="77777777" w:rsidR="005C2C7A" w:rsidRPr="002B4534" w:rsidRDefault="005C2C7A" w:rsidP="00DA52F0">
      <w:pPr>
        <w:mirrorIndents/>
        <w:rPr>
          <w:rFonts w:eastAsia="Times New Roman" w:cs="Arial"/>
          <w:sz w:val="24"/>
          <w:szCs w:val="24"/>
        </w:rPr>
      </w:pPr>
    </w:p>
    <w:p w14:paraId="5DA779C3" w14:textId="77777777" w:rsidR="005C2C7A" w:rsidRPr="002B4534" w:rsidRDefault="005C2C7A" w:rsidP="00DA52F0">
      <w:pPr>
        <w:mirrorIndents/>
        <w:rPr>
          <w:rFonts w:eastAsia="Times New Roman" w:cs="Arial"/>
          <w:sz w:val="24"/>
          <w:szCs w:val="24"/>
        </w:rPr>
      </w:pPr>
      <w:r w:rsidRPr="002B4534">
        <w:rPr>
          <w:rFonts w:eastAsia="Times New Roman" w:cs="Arial"/>
          <w:sz w:val="24"/>
          <w:szCs w:val="24"/>
        </w:rPr>
        <w:t>Other sources are acknowledged by footnotes giving explicit references.  A bibliography is appended.</w:t>
      </w:r>
    </w:p>
    <w:p w14:paraId="7CF72319" w14:textId="77777777" w:rsidR="005C2C7A" w:rsidRPr="002B4534" w:rsidRDefault="005C2C7A" w:rsidP="00DA52F0">
      <w:pPr>
        <w:mirrorIndents/>
        <w:rPr>
          <w:rFonts w:eastAsia="Times New Roman" w:cs="Arial"/>
          <w:sz w:val="24"/>
          <w:szCs w:val="24"/>
        </w:rPr>
      </w:pPr>
    </w:p>
    <w:p w14:paraId="300A808D" w14:textId="77777777" w:rsidR="005C2C7A" w:rsidRPr="002B4534" w:rsidRDefault="005C2C7A" w:rsidP="00DA52F0">
      <w:pPr>
        <w:mirrorIndents/>
        <w:rPr>
          <w:rFonts w:eastAsia="Times New Roman" w:cs="Arial"/>
          <w:sz w:val="24"/>
          <w:szCs w:val="24"/>
        </w:rPr>
      </w:pPr>
    </w:p>
    <w:p w14:paraId="1DF26E7A" w14:textId="1A5F06D6" w:rsidR="005C2C7A" w:rsidRPr="002B4534" w:rsidRDefault="005C2C7A" w:rsidP="00DA52F0">
      <w:pPr>
        <w:mirrorIndents/>
        <w:rPr>
          <w:rFonts w:eastAsia="Times New Roman" w:cs="Arial"/>
          <w:sz w:val="24"/>
          <w:szCs w:val="24"/>
        </w:rPr>
      </w:pPr>
      <w:r w:rsidRPr="002B4534">
        <w:rPr>
          <w:rFonts w:eastAsia="Times New Roman" w:cs="Arial"/>
          <w:sz w:val="24"/>
          <w:szCs w:val="24"/>
        </w:rPr>
        <w:t>Signed</w:t>
      </w:r>
      <w:r w:rsidR="00817A6E">
        <w:rPr>
          <w:rFonts w:eastAsia="Times New Roman" w:cs="Arial"/>
          <w:sz w:val="24"/>
          <w:szCs w:val="24"/>
        </w:rPr>
        <w:t xml:space="preserve">: </w:t>
      </w:r>
      <w:r w:rsidR="00817A6E" w:rsidRPr="00817A6E">
        <w:rPr>
          <w:rFonts w:eastAsia="Times New Roman" w:cs="Arial"/>
          <w:b/>
          <w:bCs/>
          <w:i/>
          <w:iCs/>
          <w:sz w:val="24"/>
          <w:szCs w:val="24"/>
        </w:rPr>
        <w:t>Paula Andrea Latorre Restrepo</w:t>
      </w:r>
    </w:p>
    <w:p w14:paraId="7884FC35" w14:textId="77777777" w:rsidR="005C2C7A" w:rsidRPr="002B4534" w:rsidRDefault="005C2C7A" w:rsidP="00DA52F0">
      <w:pPr>
        <w:mirrorIndents/>
        <w:rPr>
          <w:rFonts w:eastAsia="Times New Roman" w:cs="Arial"/>
          <w:sz w:val="24"/>
          <w:szCs w:val="24"/>
        </w:rPr>
      </w:pPr>
    </w:p>
    <w:p w14:paraId="20CC7ECF" w14:textId="77777777" w:rsidR="005C2C7A" w:rsidRPr="002B4534" w:rsidRDefault="005C2C7A" w:rsidP="00DA52F0">
      <w:pPr>
        <w:mirrorIndents/>
        <w:rPr>
          <w:rFonts w:eastAsia="Times New Roman" w:cs="Arial"/>
          <w:sz w:val="24"/>
          <w:szCs w:val="24"/>
        </w:rPr>
      </w:pPr>
    </w:p>
    <w:p w14:paraId="602980EC" w14:textId="74C04C09" w:rsidR="005C2C7A" w:rsidRPr="002B4534" w:rsidRDefault="005C2C7A" w:rsidP="00DA52F0">
      <w:pPr>
        <w:mirrorIndents/>
        <w:rPr>
          <w:rFonts w:eastAsia="Times New Roman" w:cs="Arial"/>
          <w:sz w:val="24"/>
          <w:szCs w:val="24"/>
        </w:rPr>
      </w:pPr>
      <w:r w:rsidRPr="002B4534">
        <w:rPr>
          <w:rFonts w:eastAsia="Times New Roman" w:cs="Arial"/>
          <w:sz w:val="24"/>
          <w:szCs w:val="24"/>
        </w:rPr>
        <w:t>Dat</w:t>
      </w:r>
      <w:r w:rsidR="00817A6E">
        <w:rPr>
          <w:rFonts w:eastAsia="Times New Roman" w:cs="Arial"/>
          <w:sz w:val="24"/>
          <w:szCs w:val="24"/>
        </w:rPr>
        <w:t xml:space="preserve">e: </w:t>
      </w:r>
      <w:r w:rsidR="006F7DDB">
        <w:rPr>
          <w:rFonts w:eastAsia="Times New Roman" w:cs="Arial"/>
          <w:sz w:val="24"/>
          <w:szCs w:val="24"/>
        </w:rPr>
        <w:t>09 December 2025</w:t>
      </w:r>
      <w:r w:rsidRPr="002B4534">
        <w:rPr>
          <w:rFonts w:eastAsia="Times New Roman" w:cs="Arial"/>
          <w:sz w:val="24"/>
          <w:szCs w:val="24"/>
        </w:rPr>
        <w:t xml:space="preserve"> </w:t>
      </w:r>
    </w:p>
    <w:p w14:paraId="673DE55E" w14:textId="6405B557" w:rsidR="005C2C7A" w:rsidRPr="00812591" w:rsidRDefault="005C2C7A" w:rsidP="00DA52F0">
      <w:pPr>
        <w:pStyle w:val="Heading1"/>
        <w:ind w:left="0"/>
      </w:pPr>
      <w:bookmarkStart w:id="1" w:name="_Toc216612400"/>
      <w:r w:rsidRPr="00812591">
        <w:lastRenderedPageBreak/>
        <w:t>ACKNOWLEDGEMENTS</w:t>
      </w:r>
      <w:bookmarkEnd w:id="1"/>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i/>
        </w:rPr>
      </w:pPr>
    </w:p>
    <w:p w14:paraId="6C0EB0C8"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sz w:val="24"/>
          <w:szCs w:val="24"/>
        </w:rPr>
      </w:pPr>
    </w:p>
    <w:p w14:paraId="7E7E8153" w14:textId="1EB156B9" w:rsidR="00253718" w:rsidRPr="00253718" w:rsidRDefault="00253718" w:rsidP="00253718">
      <w:pPr>
        <w:pStyle w:val="NormalWeb"/>
        <w:shd w:val="clear" w:color="auto" w:fill="FFFFFF"/>
        <w:spacing w:before="0" w:beforeAutospacing="0" w:after="150" w:afterAutospacing="0"/>
        <w:mirrorIndents/>
        <w:rPr>
          <w:rFonts w:ascii="Arial" w:hAnsi="Arial" w:cs="Arial"/>
        </w:rPr>
      </w:pPr>
      <w:r w:rsidRPr="00253718">
        <w:rPr>
          <w:rFonts w:ascii="Arial" w:hAnsi="Arial" w:cs="Arial"/>
        </w:rPr>
        <w:t xml:space="preserve">I would like to express my sincere gratitude to my supervisor, </w:t>
      </w:r>
      <w:r w:rsidR="0059069D">
        <w:rPr>
          <w:rFonts w:ascii="Arial" w:hAnsi="Arial" w:cs="Arial"/>
        </w:rPr>
        <w:t>Dr. Jayalakshmi Gopal</w:t>
      </w:r>
      <w:r w:rsidR="009E1139">
        <w:rPr>
          <w:rFonts w:ascii="Arial" w:hAnsi="Arial" w:cs="Arial"/>
        </w:rPr>
        <w:t>krishnan</w:t>
      </w:r>
      <w:r w:rsidRPr="00253718">
        <w:rPr>
          <w:rFonts w:ascii="Arial" w:hAnsi="Arial" w:cs="Arial"/>
        </w:rPr>
        <w:t>, for their invaluable guidance, constructive feedback, and encouragement throughout the course of this research project. Their support has been instrumental in helping me to refine my ideas and complete this dissertation.</w:t>
      </w:r>
    </w:p>
    <w:p w14:paraId="5634390C" w14:textId="6F94EDAB" w:rsidR="00253718" w:rsidRPr="00253718" w:rsidRDefault="00253718" w:rsidP="00253718">
      <w:pPr>
        <w:pStyle w:val="NormalWeb"/>
        <w:shd w:val="clear" w:color="auto" w:fill="FFFFFF"/>
        <w:spacing w:before="0" w:beforeAutospacing="0" w:after="150" w:afterAutospacing="0"/>
        <w:mirrorIndents/>
        <w:rPr>
          <w:rFonts w:ascii="Arial" w:hAnsi="Arial" w:cs="Arial"/>
        </w:rPr>
      </w:pPr>
      <w:r w:rsidRPr="00253718">
        <w:rPr>
          <w:rFonts w:ascii="Arial" w:hAnsi="Arial" w:cs="Arial"/>
        </w:rPr>
        <w:t xml:space="preserve">I am also grateful to the academic staff in the </w:t>
      </w:r>
      <w:r w:rsidR="00897532">
        <w:rPr>
          <w:rFonts w:ascii="Arial" w:hAnsi="Arial" w:cs="Arial"/>
        </w:rPr>
        <w:t>BSc (Hons)</w:t>
      </w:r>
      <w:r w:rsidRPr="00253718">
        <w:rPr>
          <w:rFonts w:ascii="Arial" w:hAnsi="Arial" w:cs="Arial"/>
        </w:rPr>
        <w:t xml:space="preserve"> </w:t>
      </w:r>
      <w:r w:rsidR="00B6118D">
        <w:rPr>
          <w:rFonts w:ascii="Arial" w:hAnsi="Arial" w:cs="Arial"/>
        </w:rPr>
        <w:t xml:space="preserve">Health and Social Care </w:t>
      </w:r>
      <w:r w:rsidRPr="00253718">
        <w:rPr>
          <w:rFonts w:ascii="Arial" w:hAnsi="Arial" w:cs="Arial"/>
        </w:rPr>
        <w:t xml:space="preserve">for providing advice and resources that have enriched my understanding of the subject. Special thanks go to the library staff at </w:t>
      </w:r>
      <w:r w:rsidR="00B6118D">
        <w:rPr>
          <w:rFonts w:ascii="Arial" w:hAnsi="Arial" w:cs="Arial"/>
        </w:rPr>
        <w:t>University Wales T</w:t>
      </w:r>
      <w:r w:rsidR="00930D5F">
        <w:rPr>
          <w:rFonts w:ascii="Arial" w:hAnsi="Arial" w:cs="Arial"/>
        </w:rPr>
        <w:t>rinity Saint David library</w:t>
      </w:r>
      <w:r w:rsidRPr="00253718">
        <w:rPr>
          <w:rFonts w:ascii="Arial" w:hAnsi="Arial" w:cs="Arial"/>
        </w:rPr>
        <w:t>, whose assistance in locating key sources has been particularly helpful.</w:t>
      </w:r>
    </w:p>
    <w:p w14:paraId="2C7D70C7" w14:textId="77777777" w:rsidR="00253718" w:rsidRPr="00253718" w:rsidRDefault="00253718" w:rsidP="00253718">
      <w:pPr>
        <w:pStyle w:val="NormalWeb"/>
        <w:shd w:val="clear" w:color="auto" w:fill="FFFFFF"/>
        <w:spacing w:before="0" w:beforeAutospacing="0" w:after="150" w:afterAutospacing="0"/>
        <w:mirrorIndents/>
        <w:rPr>
          <w:rFonts w:ascii="Arial" w:hAnsi="Arial" w:cs="Arial"/>
        </w:rPr>
      </w:pPr>
      <w:r w:rsidRPr="00253718">
        <w:rPr>
          <w:rFonts w:ascii="Arial" w:hAnsi="Arial" w:cs="Arial"/>
        </w:rPr>
        <w:t>I would also like to acknowledge my fellow students and colleagues, who have provided motivation, shared resources, and offered insightful discussions that have contributed to the development of this work.</w:t>
      </w:r>
    </w:p>
    <w:p w14:paraId="635C5FF4" w14:textId="77777777" w:rsidR="00253718" w:rsidRPr="00253718" w:rsidRDefault="00253718" w:rsidP="00253718">
      <w:pPr>
        <w:pStyle w:val="NormalWeb"/>
        <w:shd w:val="clear" w:color="auto" w:fill="FFFFFF"/>
        <w:spacing w:before="0" w:beforeAutospacing="0" w:after="150" w:afterAutospacing="0"/>
        <w:mirrorIndents/>
        <w:rPr>
          <w:rFonts w:ascii="Arial" w:hAnsi="Arial" w:cs="Arial"/>
          <w:color w:val="0070C0"/>
        </w:rPr>
      </w:pPr>
      <w:r w:rsidRPr="00253718">
        <w:rPr>
          <w:rFonts w:ascii="Arial" w:hAnsi="Arial" w:cs="Arial"/>
        </w:rPr>
        <w:t>Finally, I wish to thank my family and friends for their patience, encouragement, and unwavering support during the research and writing process</w:t>
      </w:r>
      <w:r w:rsidRPr="00253718">
        <w:rPr>
          <w:rFonts w:ascii="Arial" w:hAnsi="Arial" w:cs="Arial"/>
          <w:color w:val="0070C0"/>
        </w:rPr>
        <w:t>.</w:t>
      </w:r>
    </w:p>
    <w:p w14:paraId="1063D5CF" w14:textId="0AAFD06C" w:rsidR="005C2C7A" w:rsidRPr="00141A69" w:rsidRDefault="005C2C7A" w:rsidP="00DA52F0">
      <w:pPr>
        <w:pStyle w:val="NormalWeb"/>
        <w:shd w:val="clear" w:color="auto" w:fill="FFFFFF"/>
        <w:spacing w:before="0" w:beforeAutospacing="0" w:after="150" w:afterAutospacing="0"/>
        <w:mirrorIndents/>
        <w:rPr>
          <w:rFonts w:ascii="Arial" w:hAnsi="Arial" w:cs="Arial"/>
          <w:color w:val="0070C0"/>
        </w:rPr>
      </w:pPr>
    </w:p>
    <w:p w14:paraId="610E0EBC" w14:textId="77777777" w:rsidR="005C2C7A"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p>
    <w:p w14:paraId="4322EEFF" w14:textId="77777777" w:rsidR="00611789" w:rsidRPr="003F2B6D" w:rsidRDefault="00611789"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iCs/>
        </w:rPr>
      </w:pPr>
    </w:p>
    <w:p w14:paraId="3A251DBF" w14:textId="77777777" w:rsidR="00B80583" w:rsidRDefault="00B80583" w:rsidP="00DA52F0">
      <w:pPr>
        <w:mirrorIndents/>
        <w:rPr>
          <w:rFonts w:eastAsia="Arial Unicode MS" w:cs="Arial"/>
          <w:b/>
          <w:sz w:val="28"/>
          <w:szCs w:val="28"/>
        </w:rPr>
      </w:pPr>
      <w:r>
        <w:rPr>
          <w:rFonts w:eastAsia="Arial Unicode MS" w:cs="Arial"/>
          <w:b/>
          <w:sz w:val="28"/>
          <w:szCs w:val="28"/>
        </w:rPr>
        <w:br w:type="page"/>
      </w:r>
    </w:p>
    <w:p w14:paraId="378C3F6E" w14:textId="6A949A08" w:rsidR="003F3EB9" w:rsidRPr="006C5309" w:rsidRDefault="005C2C7A" w:rsidP="006C5309">
      <w:pPr>
        <w:pStyle w:val="Heading1"/>
        <w:rPr>
          <w:rFonts w:eastAsia="Arial Unicode MS" w:cs="Arial"/>
          <w:i/>
        </w:rPr>
      </w:pPr>
      <w:bookmarkStart w:id="2" w:name="_Toc216612401"/>
      <w:r w:rsidRPr="006C5309">
        <w:lastRenderedPageBreak/>
        <w:t>ABSTRACT</w:t>
      </w:r>
      <w:bookmarkEnd w:id="2"/>
    </w:p>
    <w:p w14:paraId="15B7D30D" w14:textId="77777777" w:rsidR="005C2C7A" w:rsidRPr="00A64C0E" w:rsidRDefault="005C2C7A" w:rsidP="00A64C0E"/>
    <w:p w14:paraId="255E16A9" w14:textId="31CD7867" w:rsidR="000E2114" w:rsidRPr="00A64C0E" w:rsidRDefault="000E2114" w:rsidP="00E96FA5">
      <w:r w:rsidRPr="00A64C0E">
        <w:rPr>
          <w:b/>
          <w:bCs/>
        </w:rPr>
        <w:t>My project title</w:t>
      </w:r>
      <w:r w:rsidRPr="00A64C0E">
        <w:t xml:space="preserve">: </w:t>
      </w:r>
      <w:r w:rsidR="008F6FC3" w:rsidRPr="00A64C0E">
        <w:t>“</w:t>
      </w:r>
      <w:r w:rsidRPr="00A64C0E">
        <w:t>A study on Exploring issue in health access and inequalities in Adults in the UK.</w:t>
      </w:r>
      <w:r w:rsidR="008F6FC3" w:rsidRPr="00A64C0E">
        <w:t>”</w:t>
      </w:r>
    </w:p>
    <w:p w14:paraId="259814FB" w14:textId="77777777" w:rsidR="000E2114" w:rsidRPr="00A64C0E" w:rsidRDefault="000E2114" w:rsidP="00E96FA5">
      <w:r w:rsidRPr="00A64C0E">
        <w:rPr>
          <w:b/>
          <w:bCs/>
        </w:rPr>
        <w:t>1) Aim</w:t>
      </w:r>
      <w:r w:rsidRPr="00A64C0E">
        <w:t>:  To explore the extent and reasons of inequalities in access to healthcare services in the UK, emphasising the influence of socioeconomic class, ethnicity, and geographic location on people' capacity to receive timely and sufficient care.</w:t>
      </w:r>
    </w:p>
    <w:p w14:paraId="304CF175" w14:textId="1389604A" w:rsidR="000E2114" w:rsidRPr="00A64C0E" w:rsidRDefault="000E2114" w:rsidP="00E96FA5">
      <w:pPr>
        <w:rPr>
          <w:b/>
          <w:bCs/>
        </w:rPr>
      </w:pPr>
      <w:r w:rsidRPr="00A64C0E">
        <w:rPr>
          <w:b/>
          <w:bCs/>
        </w:rPr>
        <w:t>2) Objectives:</w:t>
      </w:r>
    </w:p>
    <w:p w14:paraId="12D7E78E" w14:textId="77777777" w:rsidR="000E2114" w:rsidRPr="00A64C0E" w:rsidRDefault="000E2114" w:rsidP="00E96FA5">
      <w:pPr>
        <w:pStyle w:val="ListParagraph"/>
        <w:numPr>
          <w:ilvl w:val="0"/>
          <w:numId w:val="49"/>
        </w:numPr>
      </w:pPr>
      <w:r w:rsidRPr="00A64C0E">
        <w:t>To investigate the impact of socioeconomic status on access to basic and secondary healthcare services in the UK.</w:t>
      </w:r>
    </w:p>
    <w:p w14:paraId="7FDAE216" w14:textId="77777777" w:rsidR="000E2114" w:rsidRPr="00A64C0E" w:rsidRDefault="000E2114" w:rsidP="00E96FA5">
      <w:pPr>
        <w:pStyle w:val="ListParagraph"/>
        <w:numPr>
          <w:ilvl w:val="0"/>
          <w:numId w:val="49"/>
        </w:numPr>
      </w:pPr>
      <w:r w:rsidRPr="00A64C0E">
        <w:t>To examine the influence of ethnicity and cultural background on healthcare experiences and results.</w:t>
      </w:r>
    </w:p>
    <w:p w14:paraId="0B206C58" w14:textId="77777777" w:rsidR="000E2114" w:rsidRPr="00A64C0E" w:rsidRDefault="000E2114" w:rsidP="00E96FA5">
      <w:pPr>
        <w:pStyle w:val="ListParagraph"/>
        <w:numPr>
          <w:ilvl w:val="0"/>
          <w:numId w:val="49"/>
        </w:numPr>
      </w:pPr>
      <w:r w:rsidRPr="00A64C0E">
        <w:t>To evaluate differences in the accessibility and quality of healthcare services, especially between urban and rural locales.</w:t>
      </w:r>
    </w:p>
    <w:p w14:paraId="75E9134E" w14:textId="77777777" w:rsidR="000E2114" w:rsidRPr="00A64C0E" w:rsidRDefault="000E2114" w:rsidP="00E96FA5">
      <w:pPr>
        <w:pStyle w:val="ListParagraph"/>
        <w:numPr>
          <w:ilvl w:val="0"/>
          <w:numId w:val="49"/>
        </w:numPr>
      </w:pPr>
      <w:r w:rsidRPr="00A64C0E">
        <w:t>To evaluate governmental policies and NHS activities designed to mitigate health disparities.</w:t>
      </w:r>
    </w:p>
    <w:p w14:paraId="09967F0A" w14:textId="77777777" w:rsidR="000E2114" w:rsidRDefault="000E2114" w:rsidP="00E96FA5">
      <w:pPr>
        <w:pStyle w:val="ListParagraph"/>
        <w:numPr>
          <w:ilvl w:val="0"/>
          <w:numId w:val="49"/>
        </w:numPr>
      </w:pPr>
      <w:r w:rsidRPr="00A64C0E">
        <w:t xml:space="preserve">To collect insights from healthcare patients and professionals regarding obstacles to accessing care. </w:t>
      </w:r>
    </w:p>
    <w:p w14:paraId="1AB564EB" w14:textId="77777777" w:rsidR="00E96FA5" w:rsidRPr="00A64C0E" w:rsidRDefault="00E96FA5" w:rsidP="00E96FA5">
      <w:pPr>
        <w:pStyle w:val="ListParagraph"/>
        <w:ind w:left="720" w:firstLine="0"/>
      </w:pPr>
    </w:p>
    <w:p w14:paraId="6A0EBEAF" w14:textId="77777777" w:rsidR="00E96FA5" w:rsidRDefault="000E2114" w:rsidP="00E96FA5">
      <w:r w:rsidRPr="00994B75">
        <w:rPr>
          <w:b/>
          <w:bCs/>
        </w:rPr>
        <w:t>3) Background/Rationale</w:t>
      </w:r>
      <w:r w:rsidRPr="00A64C0E">
        <w:t>:</w:t>
      </w:r>
      <w:r w:rsidR="00C30829" w:rsidRPr="00A64C0E">
        <w:t xml:space="preserve"> </w:t>
      </w:r>
    </w:p>
    <w:p w14:paraId="70F727FA" w14:textId="73F71C8A" w:rsidR="000E2114" w:rsidRPr="00A64C0E" w:rsidRDefault="000E2114" w:rsidP="00E96FA5">
      <w:r w:rsidRPr="00A64C0E">
        <w:t>Healthcare in the UK is primarily provided through the National Health Service (NHS), which aims to deliver universal and equitable access to care. However, despite its founding principles, significant inequalities persist in the accessibility and quality of healthcare services (NHS, 2023). Research has consistently shown that factors such as income, ethnicity, education, and geographic location can influence an individual’s ability to access timely and appropriate medical treatment.</w:t>
      </w:r>
    </w:p>
    <w:p w14:paraId="3A113284" w14:textId="77777777" w:rsidR="000E2114" w:rsidRPr="000E2114" w:rsidRDefault="000E2114" w:rsidP="00E96FA5">
      <w:pPr>
        <w:rPr>
          <w:lang w:eastAsia="en-US" w:bidi="ar-SA"/>
        </w:rPr>
      </w:pPr>
      <w:r w:rsidRPr="000E2114">
        <w:rPr>
          <w:lang w:eastAsia="en-US" w:bidi="ar-SA"/>
        </w:rPr>
        <w:t xml:space="preserve">For example, people living in deprived areas </w:t>
      </w:r>
      <w:r w:rsidRPr="000E2114">
        <w:rPr>
          <w:b/>
          <w:bCs/>
          <w:i/>
          <w:sz w:val="20"/>
          <w:szCs w:val="20"/>
          <w:lang w:eastAsia="en-US" w:bidi="ar-SA"/>
        </w:rPr>
        <w:t>(Marmot et al., 2020)</w:t>
      </w:r>
      <w:r w:rsidRPr="000E2114">
        <w:rPr>
          <w:sz w:val="20"/>
          <w:szCs w:val="20"/>
          <w:lang w:eastAsia="en-US" w:bidi="ar-SA"/>
        </w:rPr>
        <w:t xml:space="preserve"> </w:t>
      </w:r>
      <w:r w:rsidRPr="000E2114">
        <w:rPr>
          <w:lang w:eastAsia="en-US" w:bidi="ar-SA"/>
        </w:rPr>
        <w:t xml:space="preserve">often experience worse health outcomes and face longer waiting times or reduced service availability. Similarly, ethnic minority communities </w:t>
      </w:r>
      <w:r w:rsidRPr="000E2114">
        <w:rPr>
          <w:b/>
          <w:bCs/>
          <w:i/>
          <w:sz w:val="20"/>
          <w:szCs w:val="20"/>
          <w:lang w:eastAsia="en-US" w:bidi="ar-SA"/>
        </w:rPr>
        <w:t>(PHE, 2018)</w:t>
      </w:r>
      <w:r w:rsidRPr="000E2114">
        <w:rPr>
          <w:sz w:val="20"/>
          <w:szCs w:val="20"/>
          <w:lang w:eastAsia="en-US" w:bidi="ar-SA"/>
        </w:rPr>
        <w:t xml:space="preserve"> </w:t>
      </w:r>
      <w:r w:rsidRPr="000E2114">
        <w:rPr>
          <w:lang w:eastAsia="en-US" w:bidi="ar-SA"/>
        </w:rPr>
        <w:t>may encounter cultural or language barriers, discrimination, or a lack of culturally competent care. These disparities not only undermine public health outcomes but also place additional strain on NHS resources.</w:t>
      </w:r>
    </w:p>
    <w:p w14:paraId="40CBD502" w14:textId="77777777" w:rsidR="000E2114" w:rsidRPr="000E2114" w:rsidRDefault="000E2114" w:rsidP="00E96FA5">
      <w:pPr>
        <w:rPr>
          <w:lang w:eastAsia="en-US" w:bidi="ar-SA"/>
        </w:rPr>
      </w:pPr>
      <w:r w:rsidRPr="000E2114">
        <w:rPr>
          <w:lang w:eastAsia="en-US" w:bidi="ar-SA"/>
        </w:rPr>
        <w:t xml:space="preserve">Understanding the root causes of these inequalities is essential for developing effective policies and interventions </w:t>
      </w:r>
      <w:r w:rsidRPr="000E2114">
        <w:rPr>
          <w:b/>
          <w:bCs/>
          <w:i/>
          <w:sz w:val="20"/>
          <w:szCs w:val="20"/>
          <w:lang w:eastAsia="en-US" w:bidi="ar-SA"/>
        </w:rPr>
        <w:t>(The Kings Fund, 2024)</w:t>
      </w:r>
      <w:r w:rsidRPr="000E2114">
        <w:rPr>
          <w:lang w:eastAsia="en-US" w:bidi="ar-SA"/>
        </w:rPr>
        <w:t>. This assessment seeks to explore the complex relationship between social determinants and healthcare access, and to evaluate the measures currently in place to address these challenges within the UK healthcare system.</w:t>
      </w:r>
    </w:p>
    <w:p w14:paraId="66B78C82" w14:textId="77777777" w:rsidR="000E2114" w:rsidRDefault="000E2114" w:rsidP="00E96FA5">
      <w:pPr>
        <w:rPr>
          <w:lang w:bidi="ar-SA"/>
        </w:rPr>
      </w:pPr>
      <w:r w:rsidRPr="003F5146">
        <w:rPr>
          <w:b/>
          <w:bCs/>
        </w:rPr>
        <w:lastRenderedPageBreak/>
        <w:t>4) Methods:</w:t>
      </w:r>
      <w:r w:rsidRPr="000E2114">
        <w:rPr>
          <w:b/>
          <w:bCs/>
          <w:sz w:val="24"/>
          <w:szCs w:val="27"/>
          <w:lang w:bidi="ar-SA"/>
        </w:rPr>
        <w:t xml:space="preserve"> </w:t>
      </w:r>
      <w:r w:rsidRPr="000E2114">
        <w:rPr>
          <w:lang w:bidi="ar-SA"/>
        </w:rPr>
        <w:t xml:space="preserve">This study utilises a systematic literature review approach and employs a qualitative secondary research design. </w:t>
      </w:r>
    </w:p>
    <w:p w14:paraId="0F3B7DD3" w14:textId="77777777" w:rsidR="00E96FA5" w:rsidRPr="000E2114" w:rsidRDefault="00E96FA5" w:rsidP="00E96FA5">
      <w:pPr>
        <w:rPr>
          <w:lang w:bidi="ar-SA"/>
        </w:rPr>
      </w:pPr>
    </w:p>
    <w:p w14:paraId="2A964ED0" w14:textId="77777777" w:rsidR="000E2114" w:rsidRPr="003F5146" w:rsidRDefault="000E2114" w:rsidP="003F5146">
      <w:pPr>
        <w:rPr>
          <w:b/>
          <w:bCs/>
          <w:lang w:bidi="ar-SA"/>
        </w:rPr>
      </w:pPr>
      <w:r w:rsidRPr="003F5146">
        <w:rPr>
          <w:b/>
          <w:bCs/>
          <w:lang w:bidi="ar-SA"/>
        </w:rPr>
        <w:t>Sample selection</w:t>
      </w:r>
    </w:p>
    <w:p w14:paraId="635A5781" w14:textId="77777777" w:rsidR="000E2114" w:rsidRPr="000E2114" w:rsidRDefault="000E2114" w:rsidP="00E96FA5">
      <w:pPr>
        <w:rPr>
          <w:lang w:bidi="ar-SA"/>
        </w:rPr>
      </w:pPr>
      <w:r w:rsidRPr="000E2114">
        <w:rPr>
          <w:lang w:bidi="ar-SA"/>
        </w:rPr>
        <w:t>A minimum of ten peer review journal articles.</w:t>
      </w:r>
    </w:p>
    <w:p w14:paraId="1BDBD6D1" w14:textId="77777777" w:rsidR="000E2114" w:rsidRPr="003F5146" w:rsidRDefault="000E2114" w:rsidP="003F5146">
      <w:pPr>
        <w:rPr>
          <w:b/>
          <w:bCs/>
          <w:lang w:bidi="ar-SA"/>
        </w:rPr>
      </w:pPr>
      <w:r w:rsidRPr="003F5146">
        <w:rPr>
          <w:b/>
          <w:bCs/>
          <w:lang w:bidi="ar-SA"/>
        </w:rPr>
        <w:t>Keywords</w:t>
      </w:r>
    </w:p>
    <w:p w14:paraId="5BCCD96E" w14:textId="77777777" w:rsidR="000E2114" w:rsidRPr="000E2114" w:rsidRDefault="000E2114" w:rsidP="000E2114">
      <w:pPr>
        <w:spacing w:before="100" w:beforeAutospacing="1" w:after="100" w:afterAutospacing="1"/>
        <w:outlineLvl w:val="2"/>
        <w:rPr>
          <w:rFonts w:eastAsia="Times New Roman" w:cs="Times New Roman"/>
          <w:szCs w:val="24"/>
          <w:lang w:bidi="ar-SA"/>
        </w:rPr>
        <w:sectPr w:rsidR="000E2114" w:rsidRPr="000E2114" w:rsidSect="000E2114">
          <w:footerReference w:type="default" r:id="rId12"/>
          <w:pgSz w:w="11906" w:h="16838" w:code="9"/>
          <w:pgMar w:top="1440" w:right="1440" w:bottom="1440" w:left="1440" w:header="709" w:footer="709" w:gutter="0"/>
          <w:cols w:space="708"/>
          <w:titlePg/>
          <w:docGrid w:linePitch="360"/>
        </w:sectPr>
      </w:pPr>
    </w:p>
    <w:p w14:paraId="5CBE3211" w14:textId="77777777" w:rsidR="000E2114" w:rsidRPr="000E2114" w:rsidRDefault="000E2114" w:rsidP="00D769F2">
      <w:pPr>
        <w:pStyle w:val="ListParagraph"/>
        <w:numPr>
          <w:ilvl w:val="0"/>
          <w:numId w:val="50"/>
        </w:numPr>
        <w:rPr>
          <w:lang w:bidi="ar-SA"/>
        </w:rPr>
      </w:pPr>
      <w:r w:rsidRPr="000E2114">
        <w:rPr>
          <w:lang w:bidi="ar-SA"/>
        </w:rPr>
        <w:t>Health inequalities</w:t>
      </w:r>
    </w:p>
    <w:p w14:paraId="07939F9B" w14:textId="77777777" w:rsidR="000E2114" w:rsidRPr="000E2114" w:rsidRDefault="000E2114" w:rsidP="00D769F2">
      <w:pPr>
        <w:pStyle w:val="ListParagraph"/>
        <w:numPr>
          <w:ilvl w:val="0"/>
          <w:numId w:val="50"/>
        </w:numPr>
        <w:rPr>
          <w:lang w:bidi="ar-SA"/>
        </w:rPr>
      </w:pPr>
      <w:r w:rsidRPr="000E2114">
        <w:rPr>
          <w:lang w:bidi="ar-SA"/>
        </w:rPr>
        <w:t>Healthcare access</w:t>
      </w:r>
    </w:p>
    <w:p w14:paraId="455EA03A" w14:textId="77777777" w:rsidR="000E2114" w:rsidRPr="000E2114" w:rsidRDefault="000E2114" w:rsidP="00D769F2">
      <w:pPr>
        <w:pStyle w:val="ListParagraph"/>
        <w:numPr>
          <w:ilvl w:val="0"/>
          <w:numId w:val="50"/>
        </w:numPr>
        <w:rPr>
          <w:lang w:bidi="ar-SA"/>
        </w:rPr>
      </w:pPr>
      <w:r w:rsidRPr="000E2114">
        <w:rPr>
          <w:lang w:bidi="ar-SA"/>
        </w:rPr>
        <w:t>Social determinants of health</w:t>
      </w:r>
    </w:p>
    <w:p w14:paraId="5A359D45" w14:textId="77777777" w:rsidR="000E2114" w:rsidRPr="000E2114" w:rsidRDefault="000E2114" w:rsidP="00D769F2">
      <w:pPr>
        <w:pStyle w:val="ListParagraph"/>
        <w:numPr>
          <w:ilvl w:val="0"/>
          <w:numId w:val="50"/>
        </w:numPr>
        <w:rPr>
          <w:lang w:bidi="ar-SA"/>
        </w:rPr>
      </w:pPr>
      <w:r w:rsidRPr="000E2114">
        <w:rPr>
          <w:lang w:bidi="ar-SA"/>
        </w:rPr>
        <w:t>NHS disparities</w:t>
      </w:r>
    </w:p>
    <w:p w14:paraId="55DF55DA" w14:textId="77777777" w:rsidR="000E2114" w:rsidRPr="000E2114" w:rsidRDefault="000E2114" w:rsidP="00D769F2">
      <w:pPr>
        <w:pStyle w:val="ListParagraph"/>
        <w:numPr>
          <w:ilvl w:val="0"/>
          <w:numId w:val="50"/>
        </w:numPr>
        <w:rPr>
          <w:lang w:bidi="ar-SA"/>
        </w:rPr>
      </w:pPr>
      <w:r w:rsidRPr="000E2114">
        <w:rPr>
          <w:lang w:bidi="ar-SA"/>
        </w:rPr>
        <w:t>Socioeconomic status</w:t>
      </w:r>
    </w:p>
    <w:p w14:paraId="73ED7AB6" w14:textId="77777777" w:rsidR="000E2114" w:rsidRPr="000E2114" w:rsidRDefault="000E2114" w:rsidP="00D769F2">
      <w:pPr>
        <w:pStyle w:val="ListParagraph"/>
        <w:numPr>
          <w:ilvl w:val="0"/>
          <w:numId w:val="50"/>
        </w:numPr>
        <w:rPr>
          <w:lang w:bidi="ar-SA"/>
        </w:rPr>
      </w:pPr>
      <w:r w:rsidRPr="000E2114">
        <w:rPr>
          <w:lang w:bidi="ar-SA"/>
        </w:rPr>
        <w:t>Ethnic health disparities</w:t>
      </w:r>
    </w:p>
    <w:p w14:paraId="7889953F" w14:textId="77777777" w:rsidR="000E2114" w:rsidRPr="000E2114" w:rsidRDefault="000E2114" w:rsidP="00D769F2">
      <w:pPr>
        <w:pStyle w:val="ListParagraph"/>
        <w:numPr>
          <w:ilvl w:val="0"/>
          <w:numId w:val="50"/>
        </w:numPr>
        <w:rPr>
          <w:lang w:bidi="ar-SA"/>
        </w:rPr>
      </w:pPr>
      <w:r w:rsidRPr="000E2114">
        <w:rPr>
          <w:lang w:bidi="ar-SA"/>
        </w:rPr>
        <w:t>Rural vs urban healthcare</w:t>
      </w:r>
    </w:p>
    <w:p w14:paraId="512F78EA" w14:textId="77777777" w:rsidR="000E2114" w:rsidRDefault="000E2114" w:rsidP="00D769F2">
      <w:pPr>
        <w:pStyle w:val="ListParagraph"/>
        <w:numPr>
          <w:ilvl w:val="0"/>
          <w:numId w:val="50"/>
        </w:numPr>
        <w:rPr>
          <w:lang w:bidi="ar-SA"/>
        </w:rPr>
      </w:pPr>
      <w:r w:rsidRPr="000E2114">
        <w:rPr>
          <w:lang w:bidi="ar-SA"/>
        </w:rPr>
        <w:t>Health equity</w:t>
      </w:r>
    </w:p>
    <w:p w14:paraId="4442733F" w14:textId="77777777" w:rsidR="00022F41" w:rsidRDefault="00022F41" w:rsidP="00022F41">
      <w:pPr>
        <w:ind w:left="360"/>
        <w:rPr>
          <w:lang w:bidi="ar-SA"/>
        </w:rPr>
      </w:pPr>
    </w:p>
    <w:p w14:paraId="5A3E761E" w14:textId="77777777" w:rsidR="00022F41" w:rsidRPr="00022F41" w:rsidRDefault="00022F41" w:rsidP="00022F41">
      <w:pPr>
        <w:rPr>
          <w:b/>
          <w:bCs/>
          <w:lang w:bidi="ar-SA"/>
        </w:rPr>
      </w:pPr>
      <w:r w:rsidRPr="00022F41">
        <w:rPr>
          <w:b/>
          <w:bCs/>
          <w:lang w:bidi="ar-SA"/>
        </w:rPr>
        <w:t xml:space="preserve">Inclusion Criteria </w:t>
      </w:r>
    </w:p>
    <w:p w14:paraId="294634F1" w14:textId="77777777" w:rsidR="00022F41" w:rsidRPr="000E2114" w:rsidRDefault="00022F41" w:rsidP="004B54C7">
      <w:pPr>
        <w:pStyle w:val="ListParagraph"/>
        <w:numPr>
          <w:ilvl w:val="0"/>
          <w:numId w:val="51"/>
        </w:numPr>
        <w:rPr>
          <w:lang w:bidi="ar-SA"/>
        </w:rPr>
      </w:pPr>
      <w:r w:rsidRPr="000E2114">
        <w:rPr>
          <w:lang w:bidi="ar-SA"/>
        </w:rPr>
        <w:t>Studies, reports, or data specifically related to healthcare access and inequality within the United Kingdom.</w:t>
      </w:r>
    </w:p>
    <w:p w14:paraId="0569C571" w14:textId="77777777" w:rsidR="00022F41" w:rsidRPr="000E2114" w:rsidRDefault="00022F41" w:rsidP="004B54C7">
      <w:pPr>
        <w:pStyle w:val="ListParagraph"/>
        <w:numPr>
          <w:ilvl w:val="0"/>
          <w:numId w:val="51"/>
        </w:numPr>
        <w:rPr>
          <w:lang w:bidi="ar-SA"/>
        </w:rPr>
      </w:pPr>
      <w:r w:rsidRPr="000E2114">
        <w:rPr>
          <w:lang w:bidi="ar-SA"/>
        </w:rPr>
        <w:t>Sources published within the last 10 years (e.g., 2015–2025), to ensure relevance and up-to-date information, unless a foundational or widely-cited older source is used</w:t>
      </w:r>
    </w:p>
    <w:p w14:paraId="45C822E4" w14:textId="77777777" w:rsidR="00022F41" w:rsidRPr="000E2114" w:rsidRDefault="00022F41" w:rsidP="004B54C7">
      <w:pPr>
        <w:pStyle w:val="ListParagraph"/>
        <w:numPr>
          <w:ilvl w:val="0"/>
          <w:numId w:val="51"/>
        </w:numPr>
        <w:rPr>
          <w:lang w:bidi="ar-SA"/>
        </w:rPr>
      </w:pPr>
      <w:r w:rsidRPr="000E2114">
        <w:rPr>
          <w:lang w:bidi="ar-SA"/>
        </w:rPr>
        <w:t>Studies that explore healthcare access across various demographic groups, including socioeconomic status, ethnicity, age, and geographic location.</w:t>
      </w:r>
    </w:p>
    <w:p w14:paraId="29EF706D" w14:textId="77777777" w:rsidR="00022F41" w:rsidRDefault="00022F41" w:rsidP="004B54C7">
      <w:pPr>
        <w:pStyle w:val="ListParagraph"/>
        <w:numPr>
          <w:ilvl w:val="0"/>
          <w:numId w:val="51"/>
        </w:numPr>
        <w:rPr>
          <w:lang w:bidi="ar-SA"/>
        </w:rPr>
      </w:pPr>
      <w:r w:rsidRPr="000E2114">
        <w:rPr>
          <w:lang w:bidi="ar-SA"/>
        </w:rPr>
        <w:t>Sources that address health inequalities, barriers to healthcare, or interventions/policies aimed at reducing disparities in access.</w:t>
      </w:r>
    </w:p>
    <w:p w14:paraId="3BFD84C0" w14:textId="77777777" w:rsidR="00A316D4" w:rsidRDefault="00A316D4" w:rsidP="004B54C7">
      <w:pPr>
        <w:pStyle w:val="ListParagraph"/>
        <w:ind w:left="720" w:firstLine="0"/>
        <w:rPr>
          <w:lang w:bidi="ar-SA"/>
        </w:rPr>
      </w:pPr>
    </w:p>
    <w:p w14:paraId="4344D710" w14:textId="77777777" w:rsidR="00A316D4" w:rsidRPr="00A316D4" w:rsidRDefault="00A316D4" w:rsidP="00A316D4">
      <w:pPr>
        <w:pStyle w:val="ListParagraph"/>
        <w:ind w:left="360"/>
        <w:rPr>
          <w:b/>
          <w:bCs/>
          <w:lang w:bidi="ar-SA"/>
        </w:rPr>
      </w:pPr>
      <w:r w:rsidRPr="00A316D4">
        <w:rPr>
          <w:b/>
          <w:bCs/>
          <w:lang w:bidi="ar-SA"/>
        </w:rPr>
        <w:t>Exclusion criteria</w:t>
      </w:r>
    </w:p>
    <w:p w14:paraId="42FB6870" w14:textId="77777777" w:rsidR="00A316D4" w:rsidRDefault="00A316D4" w:rsidP="00A316D4">
      <w:pPr>
        <w:pStyle w:val="ListParagraph"/>
        <w:numPr>
          <w:ilvl w:val="0"/>
          <w:numId w:val="52"/>
        </w:numPr>
        <w:rPr>
          <w:lang w:bidi="ar-SA"/>
        </w:rPr>
      </w:pPr>
      <w:r>
        <w:rPr>
          <w:lang w:bidi="ar-SA"/>
        </w:rPr>
        <w:t>Studies or reports that focus on countries outside the United Kingdom, unless used for comparison with UK data</w:t>
      </w:r>
    </w:p>
    <w:p w14:paraId="41E2728B" w14:textId="77777777" w:rsidR="00A316D4" w:rsidRDefault="00A316D4" w:rsidP="00A316D4">
      <w:pPr>
        <w:pStyle w:val="ListParagraph"/>
        <w:numPr>
          <w:ilvl w:val="0"/>
          <w:numId w:val="52"/>
        </w:numPr>
        <w:rPr>
          <w:lang w:bidi="ar-SA"/>
        </w:rPr>
      </w:pPr>
      <w:r>
        <w:rPr>
          <w:lang w:bidi="ar-SA"/>
        </w:rPr>
        <w:t>Sources published before 2015, unless considered foundational or historically significant to the topic.</w:t>
      </w:r>
    </w:p>
    <w:p w14:paraId="275120E1" w14:textId="77777777" w:rsidR="00A316D4" w:rsidRDefault="00A316D4" w:rsidP="00A316D4">
      <w:pPr>
        <w:pStyle w:val="ListParagraph"/>
        <w:numPr>
          <w:ilvl w:val="0"/>
          <w:numId w:val="52"/>
        </w:numPr>
        <w:rPr>
          <w:lang w:bidi="ar-SA"/>
        </w:rPr>
      </w:pPr>
      <w:r>
        <w:rPr>
          <w:lang w:bidi="ar-SA"/>
        </w:rPr>
        <w:t>Non-academic blog posts, opinion pieces, and unverified sources such as informal web content or social media posts</w:t>
      </w:r>
    </w:p>
    <w:p w14:paraId="107FD667" w14:textId="6E671E2B" w:rsidR="00A316D4" w:rsidRDefault="00A316D4" w:rsidP="00A316D4">
      <w:pPr>
        <w:pStyle w:val="ListParagraph"/>
        <w:numPr>
          <w:ilvl w:val="0"/>
          <w:numId w:val="52"/>
        </w:numPr>
        <w:rPr>
          <w:lang w:bidi="ar-SA"/>
        </w:rPr>
      </w:pPr>
      <w:r>
        <w:rPr>
          <w:lang w:bidi="ar-SA"/>
        </w:rPr>
        <w:t>Studies not addressing healthcare access, health inequality, or equity-related issues within the healthcare system.</w:t>
      </w:r>
    </w:p>
    <w:p w14:paraId="0DE5D44A" w14:textId="77777777" w:rsidR="00A316D4" w:rsidRPr="000E2114" w:rsidRDefault="00A316D4" w:rsidP="004B54C7">
      <w:pPr>
        <w:pStyle w:val="ListParagraph"/>
        <w:ind w:left="720" w:firstLine="0"/>
        <w:rPr>
          <w:lang w:bidi="ar-SA"/>
        </w:rPr>
      </w:pPr>
    </w:p>
    <w:p w14:paraId="5AB7DA4C" w14:textId="77777777" w:rsidR="00022F41" w:rsidRDefault="00022F41" w:rsidP="00022F41">
      <w:pPr>
        <w:ind w:left="360"/>
        <w:rPr>
          <w:lang w:bidi="ar-SA"/>
        </w:rPr>
      </w:pPr>
    </w:p>
    <w:p w14:paraId="253E798F" w14:textId="4F850D84" w:rsidR="001313BB" w:rsidRPr="00A859F7" w:rsidRDefault="001313BB" w:rsidP="00A859F7">
      <w:pPr>
        <w:rPr>
          <w:lang w:bidi="ar-SA"/>
        </w:rPr>
        <w:sectPr w:rsidR="001313BB" w:rsidRPr="00A859F7" w:rsidSect="00022F41">
          <w:type w:val="continuous"/>
          <w:pgSz w:w="11906" w:h="16838" w:code="9"/>
          <w:pgMar w:top="1440" w:right="1440" w:bottom="1440" w:left="1440" w:header="709" w:footer="709" w:gutter="0"/>
          <w:cols w:space="708"/>
          <w:titlePg/>
          <w:docGrid w:linePitch="360"/>
        </w:sectPr>
      </w:pPr>
    </w:p>
    <w:p w14:paraId="4B453578" w14:textId="77777777" w:rsidR="000E2114" w:rsidRPr="005D3B9C" w:rsidRDefault="000E2114" w:rsidP="005D3B9C">
      <w:pPr>
        <w:rPr>
          <w:b/>
          <w:bCs/>
          <w:lang w:bidi="ar-SA"/>
        </w:rPr>
      </w:pPr>
      <w:r w:rsidRPr="005D3B9C">
        <w:rPr>
          <w:b/>
          <w:bCs/>
          <w:lang w:bidi="ar-SA"/>
        </w:rPr>
        <w:lastRenderedPageBreak/>
        <w:t xml:space="preserve">5) Resources: </w:t>
      </w:r>
    </w:p>
    <w:p w14:paraId="392108CC" w14:textId="4881AF21" w:rsidR="000E2114" w:rsidRPr="000E2114" w:rsidRDefault="000E2114" w:rsidP="005D3B9C">
      <w:pPr>
        <w:rPr>
          <w:szCs w:val="24"/>
          <w:lang w:bidi="ar-SA"/>
        </w:rPr>
      </w:pPr>
      <w:r w:rsidRPr="000E2114">
        <w:rPr>
          <w:szCs w:val="24"/>
          <w:lang w:bidi="ar-SA"/>
        </w:rPr>
        <w:t xml:space="preserve">Google scholar, ProQuest, UWTSD library, Journal Articles, Reports, NHS Resources and relevant government </w:t>
      </w:r>
      <w:r w:rsidR="005D3B9C" w:rsidRPr="000E2114">
        <w:rPr>
          <w:szCs w:val="24"/>
          <w:lang w:bidi="ar-SA"/>
        </w:rPr>
        <w:t>policies</w:t>
      </w:r>
      <w:r w:rsidRPr="000E2114">
        <w:rPr>
          <w:szCs w:val="24"/>
          <w:lang w:bidi="ar-SA"/>
        </w:rPr>
        <w:t>.</w:t>
      </w:r>
    </w:p>
    <w:p w14:paraId="435B54FF" w14:textId="77777777" w:rsidR="000E2114" w:rsidRPr="000E2114" w:rsidRDefault="000E2114" w:rsidP="005D3B9C">
      <w:pPr>
        <w:rPr>
          <w:szCs w:val="24"/>
          <w:lang w:bidi="ar-SA"/>
        </w:rPr>
      </w:pPr>
      <w:r w:rsidRPr="000E2114">
        <w:rPr>
          <w:szCs w:val="24"/>
          <w:lang w:bidi="ar-SA"/>
        </w:rPr>
        <w:t>Supervisor meetings.</w:t>
      </w:r>
    </w:p>
    <w:p w14:paraId="314126B6" w14:textId="77777777"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u w:val="single"/>
        </w:rPr>
      </w:pPr>
    </w:p>
    <w:p w14:paraId="2B76D442" w14:textId="21654B71" w:rsidR="005C2C7A" w:rsidRPr="003F3EB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rPr>
      </w:pP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Cs/>
        </w:rPr>
      </w:pPr>
    </w:p>
    <w:p w14:paraId="740D1FD7" w14:textId="1C4347D7" w:rsidR="003F3EB9" w:rsidRDefault="003F3EB9" w:rsidP="00DA52F0">
      <w:pPr>
        <w:mirrorIndents/>
        <w:rPr>
          <w:rFonts w:eastAsia="Arial Unicode MS" w:cs="Arial"/>
          <w:bCs/>
        </w:rPr>
      </w:pPr>
    </w:p>
    <w:p w14:paraId="7A43C76B" w14:textId="77777777" w:rsidR="005D3B9C" w:rsidRDefault="005D3B9C" w:rsidP="00DA52F0">
      <w:pPr>
        <w:mirrorIndents/>
        <w:rPr>
          <w:rFonts w:eastAsia="Arial Unicode MS" w:cs="Arial"/>
          <w:bCs/>
        </w:rPr>
      </w:pPr>
    </w:p>
    <w:p w14:paraId="460E6EE8" w14:textId="77777777" w:rsidR="005D3B9C" w:rsidRDefault="005D3B9C" w:rsidP="00DA52F0">
      <w:pPr>
        <w:mirrorIndents/>
        <w:rPr>
          <w:rFonts w:eastAsia="Arial Unicode MS" w:cs="Arial"/>
          <w:bCs/>
        </w:rPr>
      </w:pPr>
    </w:p>
    <w:p w14:paraId="49928175" w14:textId="77777777" w:rsidR="005D3B9C" w:rsidRDefault="005D3B9C" w:rsidP="00DA52F0">
      <w:pPr>
        <w:mirrorIndents/>
        <w:rPr>
          <w:rFonts w:eastAsia="Arial Unicode MS" w:cs="Arial"/>
          <w:bCs/>
        </w:rPr>
      </w:pPr>
    </w:p>
    <w:p w14:paraId="7D676C90" w14:textId="77777777" w:rsidR="009D4AAA" w:rsidRDefault="009D4AAA" w:rsidP="00DA52F0">
      <w:pPr>
        <w:mirrorIndents/>
        <w:rPr>
          <w:rFonts w:eastAsia="Arial Unicode MS" w:cs="Arial"/>
          <w:bCs/>
        </w:rPr>
      </w:pPr>
    </w:p>
    <w:p w14:paraId="7B31055F" w14:textId="77777777" w:rsidR="009D4AAA" w:rsidRDefault="009D4AAA" w:rsidP="00DA52F0">
      <w:pPr>
        <w:mirrorIndents/>
        <w:rPr>
          <w:rFonts w:eastAsia="Arial Unicode MS" w:cs="Arial"/>
          <w:bCs/>
        </w:rPr>
      </w:pPr>
    </w:p>
    <w:p w14:paraId="22F41027" w14:textId="77777777" w:rsidR="005D3B9C" w:rsidRDefault="005D3B9C" w:rsidP="00DA52F0">
      <w:pPr>
        <w:mirrorIndents/>
        <w:rPr>
          <w:rFonts w:eastAsia="Arial Unicode MS" w:cs="Arial"/>
          <w:bCs/>
        </w:rPr>
      </w:pPr>
    </w:p>
    <w:p w14:paraId="461C5646" w14:textId="77777777" w:rsidR="005D3B9C" w:rsidRDefault="005D3B9C" w:rsidP="00DA52F0">
      <w:pPr>
        <w:mirrorIndents/>
        <w:rPr>
          <w:rFonts w:eastAsia="Arial Unicode MS" w:cs="Arial"/>
          <w:bCs/>
        </w:rPr>
      </w:pPr>
    </w:p>
    <w:p w14:paraId="0A16F6CE" w14:textId="77777777" w:rsidR="005D3B9C" w:rsidRDefault="005D3B9C" w:rsidP="00DA52F0">
      <w:pPr>
        <w:mirrorIndents/>
        <w:rPr>
          <w:rFonts w:eastAsia="Arial Unicode MS" w:cs="Arial"/>
          <w:bCs/>
        </w:rPr>
      </w:pPr>
    </w:p>
    <w:p w14:paraId="5A4F6978" w14:textId="77777777" w:rsidR="005D3B9C" w:rsidRDefault="005D3B9C" w:rsidP="00DA52F0">
      <w:pPr>
        <w:mirrorIndents/>
        <w:rPr>
          <w:rFonts w:eastAsia="Arial Unicode MS" w:cs="Arial"/>
          <w:bCs/>
        </w:rPr>
      </w:pPr>
    </w:p>
    <w:p w14:paraId="68406C55" w14:textId="77777777" w:rsidR="005D3B9C" w:rsidRDefault="005D3B9C" w:rsidP="00DA52F0">
      <w:pPr>
        <w:mirrorIndents/>
        <w:rPr>
          <w:rFonts w:eastAsia="Arial Unicode MS" w:cs="Arial"/>
          <w:bCs/>
        </w:rPr>
      </w:pPr>
    </w:p>
    <w:p w14:paraId="3F7B7DD5" w14:textId="77777777" w:rsidR="005D3B9C" w:rsidRDefault="005D3B9C" w:rsidP="00DA52F0">
      <w:pPr>
        <w:mirrorIndents/>
        <w:rPr>
          <w:rFonts w:eastAsia="Arial Unicode MS" w:cs="Arial"/>
          <w:bCs/>
        </w:rPr>
      </w:pPr>
    </w:p>
    <w:p w14:paraId="66958359" w14:textId="77777777" w:rsidR="005D3B9C" w:rsidRDefault="005D3B9C" w:rsidP="00DA52F0">
      <w:pPr>
        <w:mirrorIndents/>
        <w:rPr>
          <w:rFonts w:eastAsia="Arial Unicode MS" w:cs="Arial"/>
          <w:bCs/>
        </w:rPr>
      </w:pPr>
    </w:p>
    <w:p w14:paraId="0560C027" w14:textId="77777777" w:rsidR="005D3B9C" w:rsidRDefault="005D3B9C" w:rsidP="00DA52F0">
      <w:pPr>
        <w:mirrorIndents/>
        <w:rPr>
          <w:rFonts w:eastAsia="Arial Unicode MS" w:cs="Arial"/>
          <w:bCs/>
        </w:rPr>
      </w:pPr>
    </w:p>
    <w:p w14:paraId="1A62B1C9" w14:textId="77777777" w:rsidR="005D3B9C" w:rsidRDefault="005D3B9C" w:rsidP="00DA52F0">
      <w:pPr>
        <w:mirrorIndents/>
        <w:rPr>
          <w:rFonts w:eastAsia="Arial Unicode MS" w:cs="Arial"/>
          <w:bCs/>
        </w:rPr>
      </w:pPr>
    </w:p>
    <w:p w14:paraId="7A20847E" w14:textId="77777777" w:rsidR="005D3B9C" w:rsidRDefault="005D3B9C" w:rsidP="00DA52F0">
      <w:pPr>
        <w:mirrorIndents/>
        <w:rPr>
          <w:rFonts w:eastAsia="Arial Unicode MS" w:cs="Arial"/>
          <w:bCs/>
        </w:rPr>
      </w:pPr>
    </w:p>
    <w:p w14:paraId="10F7F747" w14:textId="77777777" w:rsidR="005D3B9C" w:rsidRDefault="005D3B9C" w:rsidP="00DA52F0">
      <w:pPr>
        <w:mirrorIndents/>
        <w:rPr>
          <w:rFonts w:eastAsia="Arial Unicode MS" w:cs="Arial"/>
          <w:bCs/>
        </w:rPr>
      </w:pPr>
    </w:p>
    <w:p w14:paraId="19BAEDE2" w14:textId="77777777" w:rsidR="005D3B9C" w:rsidRDefault="005D3B9C" w:rsidP="00DA52F0">
      <w:pPr>
        <w:mirrorIndents/>
        <w:rPr>
          <w:rFonts w:eastAsia="Arial Unicode MS" w:cs="Arial"/>
          <w:bCs/>
        </w:rPr>
      </w:pPr>
    </w:p>
    <w:p w14:paraId="6E75C8BC" w14:textId="77777777" w:rsidR="005D3B9C" w:rsidRDefault="005D3B9C" w:rsidP="00DA52F0">
      <w:pPr>
        <w:mirrorIndents/>
        <w:rPr>
          <w:rFonts w:eastAsia="Arial Unicode MS" w:cs="Arial"/>
          <w:bCs/>
        </w:rPr>
      </w:pPr>
    </w:p>
    <w:p w14:paraId="79B40737" w14:textId="77777777" w:rsidR="005D3B9C" w:rsidRDefault="005D3B9C" w:rsidP="00DA52F0">
      <w:pPr>
        <w:mirrorIndents/>
        <w:rPr>
          <w:rFonts w:eastAsia="Arial Unicode MS" w:cs="Arial"/>
          <w:bCs/>
        </w:rPr>
      </w:pPr>
    </w:p>
    <w:p w14:paraId="4A167B4D" w14:textId="77777777" w:rsidR="005D3B9C" w:rsidRDefault="005D3B9C" w:rsidP="00DA52F0">
      <w:pPr>
        <w:mirrorIndents/>
        <w:rPr>
          <w:rFonts w:eastAsia="Arial Unicode MS" w:cs="Arial"/>
          <w:bCs/>
        </w:rPr>
      </w:pPr>
    </w:p>
    <w:p w14:paraId="1A74AFA5" w14:textId="77777777" w:rsidR="005D3B9C" w:rsidRDefault="005D3B9C" w:rsidP="00DA52F0">
      <w:pPr>
        <w:mirrorIndents/>
        <w:rPr>
          <w:rFonts w:eastAsia="Arial Unicode MS" w:cs="Arial"/>
          <w:bCs/>
        </w:rPr>
      </w:pPr>
    </w:p>
    <w:p w14:paraId="0188BC7D" w14:textId="77777777" w:rsidR="005D3B9C" w:rsidRDefault="005D3B9C" w:rsidP="00DA52F0">
      <w:pPr>
        <w:mirrorIndents/>
        <w:rPr>
          <w:rFonts w:eastAsia="Arial Unicode MS" w:cs="Arial"/>
          <w:bCs/>
        </w:rPr>
      </w:pPr>
    </w:p>
    <w:p w14:paraId="08C822A7" w14:textId="77777777" w:rsidR="005D3B9C" w:rsidRDefault="005D3B9C" w:rsidP="00DA52F0">
      <w:pPr>
        <w:mirrorIndents/>
        <w:rPr>
          <w:rFonts w:eastAsia="Arial Unicode MS" w:cs="Arial"/>
          <w:bCs/>
        </w:rPr>
      </w:pPr>
    </w:p>
    <w:p w14:paraId="176B8C6D" w14:textId="77777777" w:rsidR="005D3B9C" w:rsidRDefault="005D3B9C" w:rsidP="00DA52F0">
      <w:pPr>
        <w:mirrorIndents/>
        <w:rPr>
          <w:rFonts w:eastAsia="Arial Unicode MS" w:cs="Arial"/>
          <w:bCs/>
        </w:rPr>
      </w:pPr>
    </w:p>
    <w:p w14:paraId="0099B445" w14:textId="77777777" w:rsidR="005D3B9C" w:rsidRDefault="005D3B9C" w:rsidP="00DA52F0">
      <w:pPr>
        <w:mirrorIndents/>
        <w:rPr>
          <w:rFonts w:eastAsia="Arial Unicode MS" w:cs="Arial"/>
          <w:bCs/>
        </w:rPr>
      </w:pPr>
    </w:p>
    <w:p w14:paraId="1E701682" w14:textId="77777777" w:rsidR="005D3B9C" w:rsidRDefault="005D3B9C" w:rsidP="00DA52F0">
      <w:pPr>
        <w:mirrorIndents/>
        <w:rPr>
          <w:rFonts w:eastAsia="Arial Unicode MS" w:cs="Arial"/>
          <w:bCs/>
        </w:rPr>
      </w:pPr>
    </w:p>
    <w:p w14:paraId="517DB26D" w14:textId="77777777" w:rsidR="005D3B9C" w:rsidRDefault="005D3B9C" w:rsidP="00DA52F0">
      <w:pPr>
        <w:mirrorIndents/>
        <w:rPr>
          <w:rFonts w:eastAsia="Arial Unicode MS" w:cs="Arial"/>
          <w:bCs/>
        </w:rPr>
      </w:pPr>
    </w:p>
    <w:p w14:paraId="61563DA4" w14:textId="77777777" w:rsidR="005D3B9C" w:rsidRDefault="005D3B9C" w:rsidP="00DA52F0">
      <w:pPr>
        <w:mirrorIndents/>
        <w:rPr>
          <w:rFonts w:eastAsia="Arial Unicode MS" w:cs="Arial"/>
          <w:bCs/>
        </w:rPr>
      </w:pPr>
    </w:p>
    <w:p w14:paraId="2231E692" w14:textId="77777777" w:rsidR="005D3B9C" w:rsidRDefault="005D3B9C" w:rsidP="00DA52F0">
      <w:pPr>
        <w:mirrorIndents/>
        <w:rPr>
          <w:rFonts w:eastAsia="Arial Unicode MS" w:cs="Arial"/>
          <w:bCs/>
        </w:rPr>
      </w:pPr>
    </w:p>
    <w:p w14:paraId="15FA6F6F" w14:textId="77777777" w:rsidR="00C17FC9" w:rsidRDefault="00C17FC9" w:rsidP="00DA52F0">
      <w:pPr>
        <w:mirrorIndents/>
        <w:rPr>
          <w:rFonts w:eastAsia="Arial Unicode MS" w:cs="Arial"/>
          <w:bCs/>
        </w:rPr>
      </w:pPr>
    </w:p>
    <w:sdt>
      <w:sdtPr>
        <w:rPr>
          <w:rFonts w:ascii="Arial" w:eastAsia="Calibri Light" w:hAnsi="Arial" w:cs="Calibri Light"/>
          <w:color w:val="auto"/>
          <w:sz w:val="22"/>
          <w:szCs w:val="22"/>
          <w:lang w:bidi="en-GB"/>
        </w:rPr>
        <w:id w:val="-316502916"/>
        <w:docPartObj>
          <w:docPartGallery w:val="Table of Contents"/>
          <w:docPartUnique/>
        </w:docPartObj>
      </w:sdtPr>
      <w:sdtEndPr>
        <w:rPr>
          <w:b/>
          <w:bCs/>
        </w:rPr>
      </w:sdtEndPr>
      <w:sdtContent>
        <w:p w14:paraId="063F5541" w14:textId="41AF20FE" w:rsidR="006A47B9" w:rsidRDefault="006A47B9">
          <w:pPr>
            <w:pStyle w:val="TOCHeading"/>
          </w:pPr>
          <w:r>
            <w:t>Table of Contents</w:t>
          </w:r>
        </w:p>
        <w:p w14:paraId="5AE33710" w14:textId="2889F1EE" w:rsidR="003E2BCB" w:rsidRDefault="006A47B9">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r>
            <w:fldChar w:fldCharType="begin"/>
          </w:r>
          <w:r>
            <w:instrText xml:space="preserve"> TOC \o "1-3" \h \z \u </w:instrText>
          </w:r>
          <w:r>
            <w:fldChar w:fldCharType="separate"/>
          </w:r>
          <w:r w:rsidR="003E2BCB">
            <w:t xml:space="preserve"> </w:t>
          </w:r>
          <w:hyperlink w:anchor="_Toc216612399" w:history="1">
            <w:r w:rsidR="003E2BCB" w:rsidRPr="005D06B8">
              <w:rPr>
                <w:rStyle w:val="Hyperlink"/>
                <w:noProof/>
              </w:rPr>
              <w:t>DECLARATION</w:t>
            </w:r>
            <w:r w:rsidR="003E2BCB">
              <w:rPr>
                <w:noProof/>
                <w:webHidden/>
              </w:rPr>
              <w:tab/>
            </w:r>
            <w:r w:rsidR="003E2BCB">
              <w:rPr>
                <w:noProof/>
                <w:webHidden/>
              </w:rPr>
              <w:fldChar w:fldCharType="begin"/>
            </w:r>
            <w:r w:rsidR="003E2BCB">
              <w:rPr>
                <w:noProof/>
                <w:webHidden/>
              </w:rPr>
              <w:instrText xml:space="preserve"> PAGEREF _Toc216612399 \h </w:instrText>
            </w:r>
            <w:r w:rsidR="003E2BCB">
              <w:rPr>
                <w:noProof/>
                <w:webHidden/>
              </w:rPr>
            </w:r>
            <w:r w:rsidR="003E2BCB">
              <w:rPr>
                <w:noProof/>
                <w:webHidden/>
              </w:rPr>
              <w:fldChar w:fldCharType="separate"/>
            </w:r>
            <w:r w:rsidR="003E2BCB">
              <w:rPr>
                <w:noProof/>
                <w:webHidden/>
              </w:rPr>
              <w:t>3</w:t>
            </w:r>
            <w:r w:rsidR="003E2BCB">
              <w:rPr>
                <w:noProof/>
                <w:webHidden/>
              </w:rPr>
              <w:fldChar w:fldCharType="end"/>
            </w:r>
          </w:hyperlink>
        </w:p>
        <w:p w14:paraId="59C4388D" w14:textId="3BCBF452"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0" w:history="1">
            <w:r w:rsidRPr="005D06B8">
              <w:rPr>
                <w:rStyle w:val="Hyperlink"/>
                <w:noProof/>
              </w:rPr>
              <w:t>ACKNOWLEDGEMENTS</w:t>
            </w:r>
            <w:r>
              <w:rPr>
                <w:noProof/>
                <w:webHidden/>
              </w:rPr>
              <w:tab/>
            </w:r>
            <w:r>
              <w:rPr>
                <w:noProof/>
                <w:webHidden/>
              </w:rPr>
              <w:fldChar w:fldCharType="begin"/>
            </w:r>
            <w:r>
              <w:rPr>
                <w:noProof/>
                <w:webHidden/>
              </w:rPr>
              <w:instrText xml:space="preserve"> PAGEREF _Toc216612400 \h </w:instrText>
            </w:r>
            <w:r>
              <w:rPr>
                <w:noProof/>
                <w:webHidden/>
              </w:rPr>
            </w:r>
            <w:r>
              <w:rPr>
                <w:noProof/>
                <w:webHidden/>
              </w:rPr>
              <w:fldChar w:fldCharType="separate"/>
            </w:r>
            <w:r>
              <w:rPr>
                <w:noProof/>
                <w:webHidden/>
              </w:rPr>
              <w:t>4</w:t>
            </w:r>
            <w:r>
              <w:rPr>
                <w:noProof/>
                <w:webHidden/>
              </w:rPr>
              <w:fldChar w:fldCharType="end"/>
            </w:r>
          </w:hyperlink>
        </w:p>
        <w:p w14:paraId="57BA6DF6" w14:textId="40FB9A72"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1" w:history="1">
            <w:r w:rsidRPr="005D06B8">
              <w:rPr>
                <w:rStyle w:val="Hyperlink"/>
                <w:noProof/>
              </w:rPr>
              <w:t>ABSTRACT</w:t>
            </w:r>
            <w:r>
              <w:rPr>
                <w:noProof/>
                <w:webHidden/>
              </w:rPr>
              <w:tab/>
            </w:r>
            <w:r>
              <w:rPr>
                <w:noProof/>
                <w:webHidden/>
              </w:rPr>
              <w:fldChar w:fldCharType="begin"/>
            </w:r>
            <w:r>
              <w:rPr>
                <w:noProof/>
                <w:webHidden/>
              </w:rPr>
              <w:instrText xml:space="preserve"> PAGEREF _Toc216612401 \h </w:instrText>
            </w:r>
            <w:r>
              <w:rPr>
                <w:noProof/>
                <w:webHidden/>
              </w:rPr>
            </w:r>
            <w:r>
              <w:rPr>
                <w:noProof/>
                <w:webHidden/>
              </w:rPr>
              <w:fldChar w:fldCharType="separate"/>
            </w:r>
            <w:r>
              <w:rPr>
                <w:noProof/>
                <w:webHidden/>
              </w:rPr>
              <w:t>5</w:t>
            </w:r>
            <w:r>
              <w:rPr>
                <w:noProof/>
                <w:webHidden/>
              </w:rPr>
              <w:fldChar w:fldCharType="end"/>
            </w:r>
          </w:hyperlink>
        </w:p>
        <w:p w14:paraId="2619500F" w14:textId="11247E02"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2" w:history="1">
            <w:r w:rsidRPr="005D06B8">
              <w:rPr>
                <w:rStyle w:val="Hyperlink"/>
                <w:noProof/>
              </w:rPr>
              <w:t>CHAPTER 1: INTRODUCTION</w:t>
            </w:r>
            <w:r>
              <w:rPr>
                <w:noProof/>
                <w:webHidden/>
              </w:rPr>
              <w:tab/>
            </w:r>
            <w:r>
              <w:rPr>
                <w:noProof/>
                <w:webHidden/>
              </w:rPr>
              <w:fldChar w:fldCharType="begin"/>
            </w:r>
            <w:r>
              <w:rPr>
                <w:noProof/>
                <w:webHidden/>
              </w:rPr>
              <w:instrText xml:space="preserve"> PAGEREF _Toc216612402 \h </w:instrText>
            </w:r>
            <w:r>
              <w:rPr>
                <w:noProof/>
                <w:webHidden/>
              </w:rPr>
            </w:r>
            <w:r>
              <w:rPr>
                <w:noProof/>
                <w:webHidden/>
              </w:rPr>
              <w:fldChar w:fldCharType="separate"/>
            </w:r>
            <w:r>
              <w:rPr>
                <w:noProof/>
                <w:webHidden/>
              </w:rPr>
              <w:t>10</w:t>
            </w:r>
            <w:r>
              <w:rPr>
                <w:noProof/>
                <w:webHidden/>
              </w:rPr>
              <w:fldChar w:fldCharType="end"/>
            </w:r>
          </w:hyperlink>
        </w:p>
        <w:p w14:paraId="3421132F" w14:textId="43C87E17" w:rsidR="003E2BCB" w:rsidRDefault="003E2BC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3" w:history="1">
            <w:r w:rsidRPr="005D06B8">
              <w:rPr>
                <w:rStyle w:val="Hyperlink"/>
                <w:noProof/>
              </w:rPr>
              <w:t>1.1 Definition of main concepts of the study</w:t>
            </w:r>
            <w:r>
              <w:rPr>
                <w:noProof/>
                <w:webHidden/>
              </w:rPr>
              <w:tab/>
            </w:r>
            <w:r>
              <w:rPr>
                <w:noProof/>
                <w:webHidden/>
              </w:rPr>
              <w:fldChar w:fldCharType="begin"/>
            </w:r>
            <w:r>
              <w:rPr>
                <w:noProof/>
                <w:webHidden/>
              </w:rPr>
              <w:instrText xml:space="preserve"> PAGEREF _Toc216612403 \h </w:instrText>
            </w:r>
            <w:r>
              <w:rPr>
                <w:noProof/>
                <w:webHidden/>
              </w:rPr>
            </w:r>
            <w:r>
              <w:rPr>
                <w:noProof/>
                <w:webHidden/>
              </w:rPr>
              <w:fldChar w:fldCharType="separate"/>
            </w:r>
            <w:r>
              <w:rPr>
                <w:noProof/>
                <w:webHidden/>
              </w:rPr>
              <w:t>10</w:t>
            </w:r>
            <w:r>
              <w:rPr>
                <w:noProof/>
                <w:webHidden/>
              </w:rPr>
              <w:fldChar w:fldCharType="end"/>
            </w:r>
          </w:hyperlink>
        </w:p>
        <w:p w14:paraId="73E9D3B4" w14:textId="1BEC6C00" w:rsidR="003E2BCB" w:rsidRDefault="003E2BC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4" w:history="1">
            <w:r w:rsidRPr="005D06B8">
              <w:rPr>
                <w:rStyle w:val="Hyperlink"/>
                <w:noProof/>
              </w:rPr>
              <w:t>1.2 Rationale of the study</w:t>
            </w:r>
            <w:r>
              <w:rPr>
                <w:noProof/>
                <w:webHidden/>
              </w:rPr>
              <w:tab/>
            </w:r>
            <w:r>
              <w:rPr>
                <w:noProof/>
                <w:webHidden/>
              </w:rPr>
              <w:fldChar w:fldCharType="begin"/>
            </w:r>
            <w:r>
              <w:rPr>
                <w:noProof/>
                <w:webHidden/>
              </w:rPr>
              <w:instrText xml:space="preserve"> PAGEREF _Toc216612404 \h </w:instrText>
            </w:r>
            <w:r>
              <w:rPr>
                <w:noProof/>
                <w:webHidden/>
              </w:rPr>
            </w:r>
            <w:r>
              <w:rPr>
                <w:noProof/>
                <w:webHidden/>
              </w:rPr>
              <w:fldChar w:fldCharType="separate"/>
            </w:r>
            <w:r>
              <w:rPr>
                <w:noProof/>
                <w:webHidden/>
              </w:rPr>
              <w:t>11</w:t>
            </w:r>
            <w:r>
              <w:rPr>
                <w:noProof/>
                <w:webHidden/>
              </w:rPr>
              <w:fldChar w:fldCharType="end"/>
            </w:r>
          </w:hyperlink>
        </w:p>
        <w:p w14:paraId="6C6B943A" w14:textId="60850C24" w:rsidR="003E2BCB" w:rsidRDefault="003E2BC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5" w:history="1">
            <w:r w:rsidRPr="005D06B8">
              <w:rPr>
                <w:rStyle w:val="Hyperlink"/>
                <w:noProof/>
              </w:rPr>
              <w:t>1.3 Aim of the study</w:t>
            </w:r>
            <w:r>
              <w:rPr>
                <w:noProof/>
                <w:webHidden/>
              </w:rPr>
              <w:tab/>
            </w:r>
            <w:r>
              <w:rPr>
                <w:noProof/>
                <w:webHidden/>
              </w:rPr>
              <w:fldChar w:fldCharType="begin"/>
            </w:r>
            <w:r>
              <w:rPr>
                <w:noProof/>
                <w:webHidden/>
              </w:rPr>
              <w:instrText xml:space="preserve"> PAGEREF _Toc216612405 \h </w:instrText>
            </w:r>
            <w:r>
              <w:rPr>
                <w:noProof/>
                <w:webHidden/>
              </w:rPr>
            </w:r>
            <w:r>
              <w:rPr>
                <w:noProof/>
                <w:webHidden/>
              </w:rPr>
              <w:fldChar w:fldCharType="separate"/>
            </w:r>
            <w:r>
              <w:rPr>
                <w:noProof/>
                <w:webHidden/>
              </w:rPr>
              <w:t>12</w:t>
            </w:r>
            <w:r>
              <w:rPr>
                <w:noProof/>
                <w:webHidden/>
              </w:rPr>
              <w:fldChar w:fldCharType="end"/>
            </w:r>
          </w:hyperlink>
        </w:p>
        <w:p w14:paraId="76226E60" w14:textId="2061CC7D" w:rsidR="003E2BCB" w:rsidRDefault="003E2BCB">
          <w:pPr>
            <w:pStyle w:val="TOC2"/>
            <w:tabs>
              <w:tab w:val="left" w:pos="96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6" w:history="1">
            <w:r w:rsidRPr="005D06B8">
              <w:rPr>
                <w:rStyle w:val="Hyperlink"/>
                <w:noProof/>
              </w:rPr>
              <w:t>1.4</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Objectives of the study</w:t>
            </w:r>
            <w:r>
              <w:rPr>
                <w:noProof/>
                <w:webHidden/>
              </w:rPr>
              <w:tab/>
            </w:r>
            <w:r>
              <w:rPr>
                <w:noProof/>
                <w:webHidden/>
              </w:rPr>
              <w:fldChar w:fldCharType="begin"/>
            </w:r>
            <w:r>
              <w:rPr>
                <w:noProof/>
                <w:webHidden/>
              </w:rPr>
              <w:instrText xml:space="preserve"> PAGEREF _Toc216612406 \h </w:instrText>
            </w:r>
            <w:r>
              <w:rPr>
                <w:noProof/>
                <w:webHidden/>
              </w:rPr>
            </w:r>
            <w:r>
              <w:rPr>
                <w:noProof/>
                <w:webHidden/>
              </w:rPr>
              <w:fldChar w:fldCharType="separate"/>
            </w:r>
            <w:r>
              <w:rPr>
                <w:noProof/>
                <w:webHidden/>
              </w:rPr>
              <w:t>12</w:t>
            </w:r>
            <w:r>
              <w:rPr>
                <w:noProof/>
                <w:webHidden/>
              </w:rPr>
              <w:fldChar w:fldCharType="end"/>
            </w:r>
          </w:hyperlink>
        </w:p>
        <w:p w14:paraId="21F15C14" w14:textId="762A62ED" w:rsidR="003E2BCB" w:rsidRDefault="003E2BCB">
          <w:pPr>
            <w:pStyle w:val="TOC2"/>
            <w:tabs>
              <w:tab w:val="left" w:pos="96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7" w:history="1">
            <w:r w:rsidRPr="005D06B8">
              <w:rPr>
                <w:rStyle w:val="Hyperlink"/>
                <w:noProof/>
              </w:rPr>
              <w:t>1.5</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Structure of the dissertation</w:t>
            </w:r>
            <w:r>
              <w:rPr>
                <w:noProof/>
                <w:webHidden/>
              </w:rPr>
              <w:tab/>
            </w:r>
            <w:r>
              <w:rPr>
                <w:noProof/>
                <w:webHidden/>
              </w:rPr>
              <w:fldChar w:fldCharType="begin"/>
            </w:r>
            <w:r>
              <w:rPr>
                <w:noProof/>
                <w:webHidden/>
              </w:rPr>
              <w:instrText xml:space="preserve"> PAGEREF _Toc216612407 \h </w:instrText>
            </w:r>
            <w:r>
              <w:rPr>
                <w:noProof/>
                <w:webHidden/>
              </w:rPr>
            </w:r>
            <w:r>
              <w:rPr>
                <w:noProof/>
                <w:webHidden/>
              </w:rPr>
              <w:fldChar w:fldCharType="separate"/>
            </w:r>
            <w:r>
              <w:rPr>
                <w:noProof/>
                <w:webHidden/>
              </w:rPr>
              <w:t>12</w:t>
            </w:r>
            <w:r>
              <w:rPr>
                <w:noProof/>
                <w:webHidden/>
              </w:rPr>
              <w:fldChar w:fldCharType="end"/>
            </w:r>
          </w:hyperlink>
        </w:p>
        <w:p w14:paraId="436620D7" w14:textId="5B53AB5C"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8" w:history="1">
            <w:r w:rsidRPr="005D06B8">
              <w:rPr>
                <w:rStyle w:val="Hyperlink"/>
                <w:noProof/>
              </w:rPr>
              <w:t>CHAPTER 2: BACKGROUND</w:t>
            </w:r>
            <w:r>
              <w:rPr>
                <w:noProof/>
                <w:webHidden/>
              </w:rPr>
              <w:tab/>
            </w:r>
            <w:r>
              <w:rPr>
                <w:noProof/>
                <w:webHidden/>
              </w:rPr>
              <w:fldChar w:fldCharType="begin"/>
            </w:r>
            <w:r>
              <w:rPr>
                <w:noProof/>
                <w:webHidden/>
              </w:rPr>
              <w:instrText xml:space="preserve"> PAGEREF _Toc216612408 \h </w:instrText>
            </w:r>
            <w:r>
              <w:rPr>
                <w:noProof/>
                <w:webHidden/>
              </w:rPr>
            </w:r>
            <w:r>
              <w:rPr>
                <w:noProof/>
                <w:webHidden/>
              </w:rPr>
              <w:fldChar w:fldCharType="separate"/>
            </w:r>
            <w:r>
              <w:rPr>
                <w:noProof/>
                <w:webHidden/>
              </w:rPr>
              <w:t>14</w:t>
            </w:r>
            <w:r>
              <w:rPr>
                <w:noProof/>
                <w:webHidden/>
              </w:rPr>
              <w:fldChar w:fldCharType="end"/>
            </w:r>
          </w:hyperlink>
        </w:p>
        <w:p w14:paraId="4006AD13" w14:textId="7B4483B3" w:rsidR="003E2BCB" w:rsidRDefault="003E2BCB">
          <w:pPr>
            <w:pStyle w:val="TOC2"/>
            <w:tabs>
              <w:tab w:val="left" w:pos="96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09" w:history="1">
            <w:r w:rsidRPr="005D06B8">
              <w:rPr>
                <w:rStyle w:val="Hyperlink"/>
                <w:noProof/>
              </w:rPr>
              <w:t>1.1</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Historical background</w:t>
            </w:r>
            <w:r>
              <w:rPr>
                <w:noProof/>
                <w:webHidden/>
              </w:rPr>
              <w:tab/>
            </w:r>
            <w:r>
              <w:rPr>
                <w:noProof/>
                <w:webHidden/>
              </w:rPr>
              <w:fldChar w:fldCharType="begin"/>
            </w:r>
            <w:r>
              <w:rPr>
                <w:noProof/>
                <w:webHidden/>
              </w:rPr>
              <w:instrText xml:space="preserve"> PAGEREF _Toc216612409 \h </w:instrText>
            </w:r>
            <w:r>
              <w:rPr>
                <w:noProof/>
                <w:webHidden/>
              </w:rPr>
            </w:r>
            <w:r>
              <w:rPr>
                <w:noProof/>
                <w:webHidden/>
              </w:rPr>
              <w:fldChar w:fldCharType="separate"/>
            </w:r>
            <w:r>
              <w:rPr>
                <w:noProof/>
                <w:webHidden/>
              </w:rPr>
              <w:t>14</w:t>
            </w:r>
            <w:r>
              <w:rPr>
                <w:noProof/>
                <w:webHidden/>
              </w:rPr>
              <w:fldChar w:fldCharType="end"/>
            </w:r>
          </w:hyperlink>
        </w:p>
        <w:p w14:paraId="5B2A8AFE" w14:textId="7D893DEE" w:rsidR="003E2BCB" w:rsidRDefault="003E2BCB">
          <w:pPr>
            <w:pStyle w:val="TOC2"/>
            <w:tabs>
              <w:tab w:val="left" w:pos="96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0" w:history="1">
            <w:r w:rsidRPr="005D06B8">
              <w:rPr>
                <w:rStyle w:val="Hyperlink"/>
                <w:noProof/>
              </w:rPr>
              <w:t>1.2</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Theorical background</w:t>
            </w:r>
            <w:r>
              <w:rPr>
                <w:noProof/>
                <w:webHidden/>
              </w:rPr>
              <w:tab/>
            </w:r>
            <w:r>
              <w:rPr>
                <w:noProof/>
                <w:webHidden/>
              </w:rPr>
              <w:fldChar w:fldCharType="begin"/>
            </w:r>
            <w:r>
              <w:rPr>
                <w:noProof/>
                <w:webHidden/>
              </w:rPr>
              <w:instrText xml:space="preserve"> PAGEREF _Toc216612410 \h </w:instrText>
            </w:r>
            <w:r>
              <w:rPr>
                <w:noProof/>
                <w:webHidden/>
              </w:rPr>
            </w:r>
            <w:r>
              <w:rPr>
                <w:noProof/>
                <w:webHidden/>
              </w:rPr>
              <w:fldChar w:fldCharType="separate"/>
            </w:r>
            <w:r>
              <w:rPr>
                <w:noProof/>
                <w:webHidden/>
              </w:rPr>
              <w:t>15</w:t>
            </w:r>
            <w:r>
              <w:rPr>
                <w:noProof/>
                <w:webHidden/>
              </w:rPr>
              <w:fldChar w:fldCharType="end"/>
            </w:r>
          </w:hyperlink>
        </w:p>
        <w:p w14:paraId="0A230AFE" w14:textId="1C807F92" w:rsidR="003E2BCB" w:rsidRDefault="003E2BCB">
          <w:pPr>
            <w:pStyle w:val="TOC2"/>
            <w:tabs>
              <w:tab w:val="left" w:pos="96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1" w:history="1">
            <w:r w:rsidRPr="005D06B8">
              <w:rPr>
                <w:rStyle w:val="Hyperlink"/>
                <w:noProof/>
              </w:rPr>
              <w:t>1.3</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International context</w:t>
            </w:r>
            <w:r>
              <w:rPr>
                <w:noProof/>
                <w:webHidden/>
              </w:rPr>
              <w:tab/>
            </w:r>
            <w:r>
              <w:rPr>
                <w:noProof/>
                <w:webHidden/>
              </w:rPr>
              <w:fldChar w:fldCharType="begin"/>
            </w:r>
            <w:r>
              <w:rPr>
                <w:noProof/>
                <w:webHidden/>
              </w:rPr>
              <w:instrText xml:space="preserve"> PAGEREF _Toc216612411 \h </w:instrText>
            </w:r>
            <w:r>
              <w:rPr>
                <w:noProof/>
                <w:webHidden/>
              </w:rPr>
            </w:r>
            <w:r>
              <w:rPr>
                <w:noProof/>
                <w:webHidden/>
              </w:rPr>
              <w:fldChar w:fldCharType="separate"/>
            </w:r>
            <w:r>
              <w:rPr>
                <w:noProof/>
                <w:webHidden/>
              </w:rPr>
              <w:t>16</w:t>
            </w:r>
            <w:r>
              <w:rPr>
                <w:noProof/>
                <w:webHidden/>
              </w:rPr>
              <w:fldChar w:fldCharType="end"/>
            </w:r>
          </w:hyperlink>
        </w:p>
        <w:p w14:paraId="7D696825" w14:textId="1B880F83" w:rsidR="003E2BCB" w:rsidRDefault="003E2BCB">
          <w:pPr>
            <w:pStyle w:val="TOC2"/>
            <w:tabs>
              <w:tab w:val="left" w:pos="96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2" w:history="1">
            <w:r w:rsidRPr="005D06B8">
              <w:rPr>
                <w:rStyle w:val="Hyperlink"/>
                <w:noProof/>
              </w:rPr>
              <w:t>1.4</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National/Local context</w:t>
            </w:r>
            <w:r>
              <w:rPr>
                <w:noProof/>
                <w:webHidden/>
              </w:rPr>
              <w:tab/>
            </w:r>
            <w:r>
              <w:rPr>
                <w:noProof/>
                <w:webHidden/>
              </w:rPr>
              <w:fldChar w:fldCharType="begin"/>
            </w:r>
            <w:r>
              <w:rPr>
                <w:noProof/>
                <w:webHidden/>
              </w:rPr>
              <w:instrText xml:space="preserve"> PAGEREF _Toc216612412 \h </w:instrText>
            </w:r>
            <w:r>
              <w:rPr>
                <w:noProof/>
                <w:webHidden/>
              </w:rPr>
            </w:r>
            <w:r>
              <w:rPr>
                <w:noProof/>
                <w:webHidden/>
              </w:rPr>
              <w:fldChar w:fldCharType="separate"/>
            </w:r>
            <w:r>
              <w:rPr>
                <w:noProof/>
                <w:webHidden/>
              </w:rPr>
              <w:t>17</w:t>
            </w:r>
            <w:r>
              <w:rPr>
                <w:noProof/>
                <w:webHidden/>
              </w:rPr>
              <w:fldChar w:fldCharType="end"/>
            </w:r>
          </w:hyperlink>
        </w:p>
        <w:p w14:paraId="4FCD4448" w14:textId="053BDB60"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3" w:history="1">
            <w:r w:rsidRPr="005D06B8">
              <w:rPr>
                <w:rStyle w:val="Hyperlink"/>
                <w:noProof/>
              </w:rPr>
              <w:t>CHAPTER 3: METHODS</w:t>
            </w:r>
            <w:r>
              <w:rPr>
                <w:noProof/>
                <w:webHidden/>
              </w:rPr>
              <w:tab/>
            </w:r>
            <w:r>
              <w:rPr>
                <w:noProof/>
                <w:webHidden/>
              </w:rPr>
              <w:fldChar w:fldCharType="begin"/>
            </w:r>
            <w:r>
              <w:rPr>
                <w:noProof/>
                <w:webHidden/>
              </w:rPr>
              <w:instrText xml:space="preserve"> PAGEREF _Toc216612413 \h </w:instrText>
            </w:r>
            <w:r>
              <w:rPr>
                <w:noProof/>
                <w:webHidden/>
              </w:rPr>
            </w:r>
            <w:r>
              <w:rPr>
                <w:noProof/>
                <w:webHidden/>
              </w:rPr>
              <w:fldChar w:fldCharType="separate"/>
            </w:r>
            <w:r>
              <w:rPr>
                <w:noProof/>
                <w:webHidden/>
              </w:rPr>
              <w:t>18</w:t>
            </w:r>
            <w:r>
              <w:rPr>
                <w:noProof/>
                <w:webHidden/>
              </w:rPr>
              <w:fldChar w:fldCharType="end"/>
            </w:r>
          </w:hyperlink>
        </w:p>
        <w:p w14:paraId="10C16D47" w14:textId="2C89CC5C" w:rsidR="003E2BCB" w:rsidRDefault="003E2BCB">
          <w:pPr>
            <w:pStyle w:val="TOC2"/>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4" w:history="1">
            <w:r w:rsidRPr="005D06B8">
              <w:rPr>
                <w:rStyle w:val="Hyperlink"/>
                <w:noProof/>
              </w:rPr>
              <w:t>1.</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Data Collection</w:t>
            </w:r>
            <w:r>
              <w:rPr>
                <w:noProof/>
                <w:webHidden/>
              </w:rPr>
              <w:tab/>
            </w:r>
            <w:r>
              <w:rPr>
                <w:noProof/>
                <w:webHidden/>
              </w:rPr>
              <w:fldChar w:fldCharType="begin"/>
            </w:r>
            <w:r>
              <w:rPr>
                <w:noProof/>
                <w:webHidden/>
              </w:rPr>
              <w:instrText xml:space="preserve"> PAGEREF _Toc216612414 \h </w:instrText>
            </w:r>
            <w:r>
              <w:rPr>
                <w:noProof/>
                <w:webHidden/>
              </w:rPr>
            </w:r>
            <w:r>
              <w:rPr>
                <w:noProof/>
                <w:webHidden/>
              </w:rPr>
              <w:fldChar w:fldCharType="separate"/>
            </w:r>
            <w:r>
              <w:rPr>
                <w:noProof/>
                <w:webHidden/>
              </w:rPr>
              <w:t>19</w:t>
            </w:r>
            <w:r>
              <w:rPr>
                <w:noProof/>
                <w:webHidden/>
              </w:rPr>
              <w:fldChar w:fldCharType="end"/>
            </w:r>
          </w:hyperlink>
        </w:p>
        <w:p w14:paraId="6789FE94" w14:textId="4B25D42A"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5" w:history="1">
            <w:r w:rsidRPr="005D06B8">
              <w:rPr>
                <w:rStyle w:val="Hyperlink"/>
                <w:noProof/>
              </w:rPr>
              <w:t>1.1 Data Source</w:t>
            </w:r>
            <w:r>
              <w:rPr>
                <w:noProof/>
                <w:webHidden/>
              </w:rPr>
              <w:tab/>
            </w:r>
            <w:r>
              <w:rPr>
                <w:noProof/>
                <w:webHidden/>
              </w:rPr>
              <w:fldChar w:fldCharType="begin"/>
            </w:r>
            <w:r>
              <w:rPr>
                <w:noProof/>
                <w:webHidden/>
              </w:rPr>
              <w:instrText xml:space="preserve"> PAGEREF _Toc216612415 \h </w:instrText>
            </w:r>
            <w:r>
              <w:rPr>
                <w:noProof/>
                <w:webHidden/>
              </w:rPr>
            </w:r>
            <w:r>
              <w:rPr>
                <w:noProof/>
                <w:webHidden/>
              </w:rPr>
              <w:fldChar w:fldCharType="separate"/>
            </w:r>
            <w:r>
              <w:rPr>
                <w:noProof/>
                <w:webHidden/>
              </w:rPr>
              <w:t>19</w:t>
            </w:r>
            <w:r>
              <w:rPr>
                <w:noProof/>
                <w:webHidden/>
              </w:rPr>
              <w:fldChar w:fldCharType="end"/>
            </w:r>
          </w:hyperlink>
        </w:p>
        <w:p w14:paraId="33F8600A" w14:textId="63868C92"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6" w:history="1">
            <w:r w:rsidRPr="005D06B8">
              <w:rPr>
                <w:rStyle w:val="Hyperlink"/>
                <w:noProof/>
              </w:rPr>
              <w:t>1.2 Inclusion and exclusion criteria</w:t>
            </w:r>
            <w:r>
              <w:rPr>
                <w:noProof/>
                <w:webHidden/>
              </w:rPr>
              <w:tab/>
            </w:r>
            <w:r>
              <w:rPr>
                <w:noProof/>
                <w:webHidden/>
              </w:rPr>
              <w:fldChar w:fldCharType="begin"/>
            </w:r>
            <w:r>
              <w:rPr>
                <w:noProof/>
                <w:webHidden/>
              </w:rPr>
              <w:instrText xml:space="preserve"> PAGEREF _Toc216612416 \h </w:instrText>
            </w:r>
            <w:r>
              <w:rPr>
                <w:noProof/>
                <w:webHidden/>
              </w:rPr>
            </w:r>
            <w:r>
              <w:rPr>
                <w:noProof/>
                <w:webHidden/>
              </w:rPr>
              <w:fldChar w:fldCharType="separate"/>
            </w:r>
            <w:r>
              <w:rPr>
                <w:noProof/>
                <w:webHidden/>
              </w:rPr>
              <w:t>19</w:t>
            </w:r>
            <w:r>
              <w:rPr>
                <w:noProof/>
                <w:webHidden/>
              </w:rPr>
              <w:fldChar w:fldCharType="end"/>
            </w:r>
          </w:hyperlink>
        </w:p>
        <w:p w14:paraId="5A89252A" w14:textId="0E7BCF7D"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7" w:history="1">
            <w:r w:rsidRPr="005D06B8">
              <w:rPr>
                <w:rStyle w:val="Hyperlink"/>
                <w:noProof/>
              </w:rPr>
              <w:t>1.3 Search strategy</w:t>
            </w:r>
            <w:r>
              <w:rPr>
                <w:noProof/>
                <w:webHidden/>
              </w:rPr>
              <w:tab/>
            </w:r>
            <w:r>
              <w:rPr>
                <w:noProof/>
                <w:webHidden/>
              </w:rPr>
              <w:fldChar w:fldCharType="begin"/>
            </w:r>
            <w:r>
              <w:rPr>
                <w:noProof/>
                <w:webHidden/>
              </w:rPr>
              <w:instrText xml:space="preserve"> PAGEREF _Toc216612417 \h </w:instrText>
            </w:r>
            <w:r>
              <w:rPr>
                <w:noProof/>
                <w:webHidden/>
              </w:rPr>
            </w:r>
            <w:r>
              <w:rPr>
                <w:noProof/>
                <w:webHidden/>
              </w:rPr>
              <w:fldChar w:fldCharType="separate"/>
            </w:r>
            <w:r>
              <w:rPr>
                <w:noProof/>
                <w:webHidden/>
              </w:rPr>
              <w:t>20</w:t>
            </w:r>
            <w:r>
              <w:rPr>
                <w:noProof/>
                <w:webHidden/>
              </w:rPr>
              <w:fldChar w:fldCharType="end"/>
            </w:r>
          </w:hyperlink>
        </w:p>
        <w:p w14:paraId="5A63ABAD" w14:textId="589FEB81" w:rsidR="003E2BCB" w:rsidRDefault="003E2BCB">
          <w:pPr>
            <w:pStyle w:val="TOC2"/>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8" w:history="1">
            <w:r w:rsidRPr="005D06B8">
              <w:rPr>
                <w:rStyle w:val="Hyperlink"/>
                <w:noProof/>
              </w:rPr>
              <w:t>2.</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Data Analysis</w:t>
            </w:r>
            <w:r>
              <w:rPr>
                <w:noProof/>
                <w:webHidden/>
              </w:rPr>
              <w:tab/>
            </w:r>
            <w:r>
              <w:rPr>
                <w:noProof/>
                <w:webHidden/>
              </w:rPr>
              <w:fldChar w:fldCharType="begin"/>
            </w:r>
            <w:r>
              <w:rPr>
                <w:noProof/>
                <w:webHidden/>
              </w:rPr>
              <w:instrText xml:space="preserve"> PAGEREF _Toc216612418 \h </w:instrText>
            </w:r>
            <w:r>
              <w:rPr>
                <w:noProof/>
                <w:webHidden/>
              </w:rPr>
            </w:r>
            <w:r>
              <w:rPr>
                <w:noProof/>
                <w:webHidden/>
              </w:rPr>
              <w:fldChar w:fldCharType="separate"/>
            </w:r>
            <w:r>
              <w:rPr>
                <w:noProof/>
                <w:webHidden/>
              </w:rPr>
              <w:t>20</w:t>
            </w:r>
            <w:r>
              <w:rPr>
                <w:noProof/>
                <w:webHidden/>
              </w:rPr>
              <w:fldChar w:fldCharType="end"/>
            </w:r>
          </w:hyperlink>
        </w:p>
        <w:p w14:paraId="3CBDE982" w14:textId="3B7838FF" w:rsidR="003E2BCB" w:rsidRDefault="003E2BCB">
          <w:pPr>
            <w:pStyle w:val="TOC2"/>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19" w:history="1">
            <w:r w:rsidRPr="005D06B8">
              <w:rPr>
                <w:rStyle w:val="Hyperlink"/>
                <w:noProof/>
              </w:rPr>
              <w:t>3.</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Ethical Considerations</w:t>
            </w:r>
            <w:r>
              <w:rPr>
                <w:noProof/>
                <w:webHidden/>
              </w:rPr>
              <w:tab/>
            </w:r>
            <w:r>
              <w:rPr>
                <w:noProof/>
                <w:webHidden/>
              </w:rPr>
              <w:fldChar w:fldCharType="begin"/>
            </w:r>
            <w:r>
              <w:rPr>
                <w:noProof/>
                <w:webHidden/>
              </w:rPr>
              <w:instrText xml:space="preserve"> PAGEREF _Toc216612419 \h </w:instrText>
            </w:r>
            <w:r>
              <w:rPr>
                <w:noProof/>
                <w:webHidden/>
              </w:rPr>
            </w:r>
            <w:r>
              <w:rPr>
                <w:noProof/>
                <w:webHidden/>
              </w:rPr>
              <w:fldChar w:fldCharType="separate"/>
            </w:r>
            <w:r>
              <w:rPr>
                <w:noProof/>
                <w:webHidden/>
              </w:rPr>
              <w:t>21</w:t>
            </w:r>
            <w:r>
              <w:rPr>
                <w:noProof/>
                <w:webHidden/>
              </w:rPr>
              <w:fldChar w:fldCharType="end"/>
            </w:r>
          </w:hyperlink>
        </w:p>
        <w:p w14:paraId="5CB3FC03" w14:textId="4D06F3A3"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0" w:history="1">
            <w:r w:rsidRPr="005D06B8">
              <w:rPr>
                <w:rStyle w:val="Hyperlink"/>
                <w:noProof/>
              </w:rPr>
              <w:t>CHAPTER 4: RESULTS AND DISCUSSION</w:t>
            </w:r>
            <w:r>
              <w:rPr>
                <w:noProof/>
                <w:webHidden/>
              </w:rPr>
              <w:tab/>
            </w:r>
            <w:r>
              <w:rPr>
                <w:noProof/>
                <w:webHidden/>
              </w:rPr>
              <w:fldChar w:fldCharType="begin"/>
            </w:r>
            <w:r>
              <w:rPr>
                <w:noProof/>
                <w:webHidden/>
              </w:rPr>
              <w:instrText xml:space="preserve"> PAGEREF _Toc216612420 \h </w:instrText>
            </w:r>
            <w:r>
              <w:rPr>
                <w:noProof/>
                <w:webHidden/>
              </w:rPr>
            </w:r>
            <w:r>
              <w:rPr>
                <w:noProof/>
                <w:webHidden/>
              </w:rPr>
              <w:fldChar w:fldCharType="separate"/>
            </w:r>
            <w:r>
              <w:rPr>
                <w:noProof/>
                <w:webHidden/>
              </w:rPr>
              <w:t>22</w:t>
            </w:r>
            <w:r>
              <w:rPr>
                <w:noProof/>
                <w:webHidden/>
              </w:rPr>
              <w:fldChar w:fldCharType="end"/>
            </w:r>
          </w:hyperlink>
        </w:p>
        <w:p w14:paraId="7FD7EC7B" w14:textId="695E5C7D" w:rsidR="003E2BCB" w:rsidRDefault="003E2BCB">
          <w:pPr>
            <w:pStyle w:val="TOC2"/>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1" w:history="1">
            <w:r w:rsidRPr="005D06B8">
              <w:rPr>
                <w:rStyle w:val="Hyperlink"/>
                <w:noProof/>
              </w:rPr>
              <w:t>1.</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INTRODUCTION</w:t>
            </w:r>
            <w:r>
              <w:rPr>
                <w:noProof/>
                <w:webHidden/>
              </w:rPr>
              <w:tab/>
            </w:r>
            <w:r>
              <w:rPr>
                <w:noProof/>
                <w:webHidden/>
              </w:rPr>
              <w:fldChar w:fldCharType="begin"/>
            </w:r>
            <w:r>
              <w:rPr>
                <w:noProof/>
                <w:webHidden/>
              </w:rPr>
              <w:instrText xml:space="preserve"> PAGEREF _Toc216612421 \h </w:instrText>
            </w:r>
            <w:r>
              <w:rPr>
                <w:noProof/>
                <w:webHidden/>
              </w:rPr>
            </w:r>
            <w:r>
              <w:rPr>
                <w:noProof/>
                <w:webHidden/>
              </w:rPr>
              <w:fldChar w:fldCharType="separate"/>
            </w:r>
            <w:r>
              <w:rPr>
                <w:noProof/>
                <w:webHidden/>
              </w:rPr>
              <w:t>22</w:t>
            </w:r>
            <w:r>
              <w:rPr>
                <w:noProof/>
                <w:webHidden/>
              </w:rPr>
              <w:fldChar w:fldCharType="end"/>
            </w:r>
          </w:hyperlink>
        </w:p>
        <w:p w14:paraId="19983262" w14:textId="313C4891" w:rsidR="003E2BCB" w:rsidRDefault="003E2BCB">
          <w:pPr>
            <w:pStyle w:val="TOC2"/>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2" w:history="1">
            <w:r w:rsidRPr="005D06B8">
              <w:rPr>
                <w:rStyle w:val="Hyperlink"/>
                <w:noProof/>
              </w:rPr>
              <w:t>2.</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RESULTS</w:t>
            </w:r>
            <w:r>
              <w:rPr>
                <w:noProof/>
                <w:webHidden/>
              </w:rPr>
              <w:tab/>
            </w:r>
            <w:r>
              <w:rPr>
                <w:noProof/>
                <w:webHidden/>
              </w:rPr>
              <w:fldChar w:fldCharType="begin"/>
            </w:r>
            <w:r>
              <w:rPr>
                <w:noProof/>
                <w:webHidden/>
              </w:rPr>
              <w:instrText xml:space="preserve"> PAGEREF _Toc216612422 \h </w:instrText>
            </w:r>
            <w:r>
              <w:rPr>
                <w:noProof/>
                <w:webHidden/>
              </w:rPr>
            </w:r>
            <w:r>
              <w:rPr>
                <w:noProof/>
                <w:webHidden/>
              </w:rPr>
              <w:fldChar w:fldCharType="separate"/>
            </w:r>
            <w:r>
              <w:rPr>
                <w:noProof/>
                <w:webHidden/>
              </w:rPr>
              <w:t>22</w:t>
            </w:r>
            <w:r>
              <w:rPr>
                <w:noProof/>
                <w:webHidden/>
              </w:rPr>
              <w:fldChar w:fldCharType="end"/>
            </w:r>
          </w:hyperlink>
        </w:p>
        <w:p w14:paraId="7ED18B47" w14:textId="77DD5FE0"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3" w:history="1">
            <w:r w:rsidRPr="005D06B8">
              <w:rPr>
                <w:rStyle w:val="Hyperlink"/>
                <w:noProof/>
              </w:rPr>
              <w:t>2.1 CHARACTERISTICS OF THE LITERATURE SELECTED FOR ANALYSIS</w:t>
            </w:r>
            <w:r>
              <w:rPr>
                <w:noProof/>
                <w:webHidden/>
              </w:rPr>
              <w:tab/>
            </w:r>
            <w:r>
              <w:rPr>
                <w:noProof/>
                <w:webHidden/>
              </w:rPr>
              <w:fldChar w:fldCharType="begin"/>
            </w:r>
            <w:r>
              <w:rPr>
                <w:noProof/>
                <w:webHidden/>
              </w:rPr>
              <w:instrText xml:space="preserve"> PAGEREF _Toc216612423 \h </w:instrText>
            </w:r>
            <w:r>
              <w:rPr>
                <w:noProof/>
                <w:webHidden/>
              </w:rPr>
            </w:r>
            <w:r>
              <w:rPr>
                <w:noProof/>
                <w:webHidden/>
              </w:rPr>
              <w:fldChar w:fldCharType="separate"/>
            </w:r>
            <w:r>
              <w:rPr>
                <w:noProof/>
                <w:webHidden/>
              </w:rPr>
              <w:t>22</w:t>
            </w:r>
            <w:r>
              <w:rPr>
                <w:noProof/>
                <w:webHidden/>
              </w:rPr>
              <w:fldChar w:fldCharType="end"/>
            </w:r>
          </w:hyperlink>
        </w:p>
        <w:p w14:paraId="47D90D0B" w14:textId="505B50F6"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4" w:history="1">
            <w:r w:rsidRPr="005D06B8">
              <w:rPr>
                <w:rStyle w:val="Hyperlink"/>
                <w:noProof/>
              </w:rPr>
              <w:t>2.2 ANALYSIS OF RESULTS / THEMES FOUND</w:t>
            </w:r>
            <w:r>
              <w:rPr>
                <w:noProof/>
                <w:webHidden/>
              </w:rPr>
              <w:tab/>
            </w:r>
            <w:r>
              <w:rPr>
                <w:noProof/>
                <w:webHidden/>
              </w:rPr>
              <w:fldChar w:fldCharType="begin"/>
            </w:r>
            <w:r>
              <w:rPr>
                <w:noProof/>
                <w:webHidden/>
              </w:rPr>
              <w:instrText xml:space="preserve"> PAGEREF _Toc216612424 \h </w:instrText>
            </w:r>
            <w:r>
              <w:rPr>
                <w:noProof/>
                <w:webHidden/>
              </w:rPr>
            </w:r>
            <w:r>
              <w:rPr>
                <w:noProof/>
                <w:webHidden/>
              </w:rPr>
              <w:fldChar w:fldCharType="separate"/>
            </w:r>
            <w:r>
              <w:rPr>
                <w:noProof/>
                <w:webHidden/>
              </w:rPr>
              <w:t>23</w:t>
            </w:r>
            <w:r>
              <w:rPr>
                <w:noProof/>
                <w:webHidden/>
              </w:rPr>
              <w:fldChar w:fldCharType="end"/>
            </w:r>
          </w:hyperlink>
        </w:p>
        <w:p w14:paraId="6CD62859" w14:textId="11072E4D" w:rsidR="003E2BCB" w:rsidRDefault="003E2BC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5" w:history="1">
            <w:r w:rsidRPr="005D06B8">
              <w:rPr>
                <w:rStyle w:val="Hyperlink"/>
                <w:noProof/>
              </w:rPr>
              <w:t>3. DISCUSSION</w:t>
            </w:r>
            <w:r>
              <w:rPr>
                <w:noProof/>
                <w:webHidden/>
              </w:rPr>
              <w:tab/>
            </w:r>
            <w:r>
              <w:rPr>
                <w:noProof/>
                <w:webHidden/>
              </w:rPr>
              <w:fldChar w:fldCharType="begin"/>
            </w:r>
            <w:r>
              <w:rPr>
                <w:noProof/>
                <w:webHidden/>
              </w:rPr>
              <w:instrText xml:space="preserve"> PAGEREF _Toc216612425 \h </w:instrText>
            </w:r>
            <w:r>
              <w:rPr>
                <w:noProof/>
                <w:webHidden/>
              </w:rPr>
            </w:r>
            <w:r>
              <w:rPr>
                <w:noProof/>
                <w:webHidden/>
              </w:rPr>
              <w:fldChar w:fldCharType="separate"/>
            </w:r>
            <w:r>
              <w:rPr>
                <w:noProof/>
                <w:webHidden/>
              </w:rPr>
              <w:t>25</w:t>
            </w:r>
            <w:r>
              <w:rPr>
                <w:noProof/>
                <w:webHidden/>
              </w:rPr>
              <w:fldChar w:fldCharType="end"/>
            </w:r>
          </w:hyperlink>
        </w:p>
        <w:p w14:paraId="6ED6D7DD" w14:textId="094E578F"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6" w:history="1">
            <w:r w:rsidRPr="005D06B8">
              <w:rPr>
                <w:rStyle w:val="Hyperlink"/>
                <w:noProof/>
              </w:rPr>
              <w:t>3.1 DISCUSSION OF THE FINDINGS</w:t>
            </w:r>
            <w:r>
              <w:rPr>
                <w:noProof/>
                <w:webHidden/>
              </w:rPr>
              <w:tab/>
            </w:r>
            <w:r>
              <w:rPr>
                <w:noProof/>
                <w:webHidden/>
              </w:rPr>
              <w:fldChar w:fldCharType="begin"/>
            </w:r>
            <w:r>
              <w:rPr>
                <w:noProof/>
                <w:webHidden/>
              </w:rPr>
              <w:instrText xml:space="preserve"> PAGEREF _Toc216612426 \h </w:instrText>
            </w:r>
            <w:r>
              <w:rPr>
                <w:noProof/>
                <w:webHidden/>
              </w:rPr>
            </w:r>
            <w:r>
              <w:rPr>
                <w:noProof/>
                <w:webHidden/>
              </w:rPr>
              <w:fldChar w:fldCharType="separate"/>
            </w:r>
            <w:r>
              <w:rPr>
                <w:noProof/>
                <w:webHidden/>
              </w:rPr>
              <w:t>25</w:t>
            </w:r>
            <w:r>
              <w:rPr>
                <w:noProof/>
                <w:webHidden/>
              </w:rPr>
              <w:fldChar w:fldCharType="end"/>
            </w:r>
          </w:hyperlink>
        </w:p>
        <w:p w14:paraId="43242B1A" w14:textId="12A84FFC"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7" w:history="1">
            <w:r w:rsidRPr="005D06B8">
              <w:rPr>
                <w:rStyle w:val="Hyperlink"/>
                <w:noProof/>
              </w:rPr>
              <w:t>3.2 STRENGTHS OF THIS RESEARCH</w:t>
            </w:r>
            <w:r>
              <w:rPr>
                <w:noProof/>
                <w:webHidden/>
              </w:rPr>
              <w:tab/>
            </w:r>
            <w:r>
              <w:rPr>
                <w:noProof/>
                <w:webHidden/>
              </w:rPr>
              <w:fldChar w:fldCharType="begin"/>
            </w:r>
            <w:r>
              <w:rPr>
                <w:noProof/>
                <w:webHidden/>
              </w:rPr>
              <w:instrText xml:space="preserve"> PAGEREF _Toc216612427 \h </w:instrText>
            </w:r>
            <w:r>
              <w:rPr>
                <w:noProof/>
                <w:webHidden/>
              </w:rPr>
            </w:r>
            <w:r>
              <w:rPr>
                <w:noProof/>
                <w:webHidden/>
              </w:rPr>
              <w:fldChar w:fldCharType="separate"/>
            </w:r>
            <w:r>
              <w:rPr>
                <w:noProof/>
                <w:webHidden/>
              </w:rPr>
              <w:t>27</w:t>
            </w:r>
            <w:r>
              <w:rPr>
                <w:noProof/>
                <w:webHidden/>
              </w:rPr>
              <w:fldChar w:fldCharType="end"/>
            </w:r>
          </w:hyperlink>
        </w:p>
        <w:p w14:paraId="5D965AFC" w14:textId="529484B7"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8" w:history="1">
            <w:r w:rsidRPr="005D06B8">
              <w:rPr>
                <w:rStyle w:val="Hyperlink"/>
                <w:noProof/>
              </w:rPr>
              <w:t>3.3 LIMITATIONS OF THE RESEACHR</w:t>
            </w:r>
            <w:r>
              <w:rPr>
                <w:noProof/>
                <w:webHidden/>
              </w:rPr>
              <w:tab/>
            </w:r>
            <w:r>
              <w:rPr>
                <w:noProof/>
                <w:webHidden/>
              </w:rPr>
              <w:fldChar w:fldCharType="begin"/>
            </w:r>
            <w:r>
              <w:rPr>
                <w:noProof/>
                <w:webHidden/>
              </w:rPr>
              <w:instrText xml:space="preserve"> PAGEREF _Toc216612428 \h </w:instrText>
            </w:r>
            <w:r>
              <w:rPr>
                <w:noProof/>
                <w:webHidden/>
              </w:rPr>
            </w:r>
            <w:r>
              <w:rPr>
                <w:noProof/>
                <w:webHidden/>
              </w:rPr>
              <w:fldChar w:fldCharType="separate"/>
            </w:r>
            <w:r>
              <w:rPr>
                <w:noProof/>
                <w:webHidden/>
              </w:rPr>
              <w:t>27</w:t>
            </w:r>
            <w:r>
              <w:rPr>
                <w:noProof/>
                <w:webHidden/>
              </w:rPr>
              <w:fldChar w:fldCharType="end"/>
            </w:r>
          </w:hyperlink>
        </w:p>
        <w:p w14:paraId="6C2D6DE1" w14:textId="6B3F6CAF"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29" w:history="1">
            <w:r w:rsidRPr="005D06B8">
              <w:rPr>
                <w:rStyle w:val="Hyperlink"/>
                <w:noProof/>
              </w:rPr>
              <w:t>3.4 CONCLUSION</w:t>
            </w:r>
            <w:r>
              <w:rPr>
                <w:noProof/>
                <w:webHidden/>
              </w:rPr>
              <w:tab/>
            </w:r>
            <w:r>
              <w:rPr>
                <w:noProof/>
                <w:webHidden/>
              </w:rPr>
              <w:fldChar w:fldCharType="begin"/>
            </w:r>
            <w:r>
              <w:rPr>
                <w:noProof/>
                <w:webHidden/>
              </w:rPr>
              <w:instrText xml:space="preserve"> PAGEREF _Toc216612429 \h </w:instrText>
            </w:r>
            <w:r>
              <w:rPr>
                <w:noProof/>
                <w:webHidden/>
              </w:rPr>
            </w:r>
            <w:r>
              <w:rPr>
                <w:noProof/>
                <w:webHidden/>
              </w:rPr>
              <w:fldChar w:fldCharType="separate"/>
            </w:r>
            <w:r>
              <w:rPr>
                <w:noProof/>
                <w:webHidden/>
              </w:rPr>
              <w:t>27</w:t>
            </w:r>
            <w:r>
              <w:rPr>
                <w:noProof/>
                <w:webHidden/>
              </w:rPr>
              <w:fldChar w:fldCharType="end"/>
            </w:r>
          </w:hyperlink>
        </w:p>
        <w:p w14:paraId="25DD4601" w14:textId="62A2507E"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0" w:history="1">
            <w:r w:rsidRPr="005D06B8">
              <w:rPr>
                <w:rStyle w:val="Hyperlink"/>
                <w:noProof/>
              </w:rPr>
              <w:t>CHAPTER 5: RECOMMENDATIONS AND CONCLUSION</w:t>
            </w:r>
            <w:r>
              <w:rPr>
                <w:noProof/>
                <w:webHidden/>
              </w:rPr>
              <w:tab/>
            </w:r>
            <w:r>
              <w:rPr>
                <w:noProof/>
                <w:webHidden/>
              </w:rPr>
              <w:fldChar w:fldCharType="begin"/>
            </w:r>
            <w:r>
              <w:rPr>
                <w:noProof/>
                <w:webHidden/>
              </w:rPr>
              <w:instrText xml:space="preserve"> PAGEREF _Toc216612430 \h </w:instrText>
            </w:r>
            <w:r>
              <w:rPr>
                <w:noProof/>
                <w:webHidden/>
              </w:rPr>
            </w:r>
            <w:r>
              <w:rPr>
                <w:noProof/>
                <w:webHidden/>
              </w:rPr>
              <w:fldChar w:fldCharType="separate"/>
            </w:r>
            <w:r>
              <w:rPr>
                <w:noProof/>
                <w:webHidden/>
              </w:rPr>
              <w:t>28</w:t>
            </w:r>
            <w:r>
              <w:rPr>
                <w:noProof/>
                <w:webHidden/>
              </w:rPr>
              <w:fldChar w:fldCharType="end"/>
            </w:r>
          </w:hyperlink>
        </w:p>
        <w:p w14:paraId="34D3522E" w14:textId="2375061F" w:rsidR="003E2BCB" w:rsidRDefault="003E2BCB">
          <w:pPr>
            <w:pStyle w:val="TOC2"/>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1" w:history="1">
            <w:r w:rsidRPr="005D06B8">
              <w:rPr>
                <w:rStyle w:val="Hyperlink"/>
                <w:caps/>
                <w:noProof/>
              </w:rPr>
              <w:t>1.</w:t>
            </w:r>
            <w:r>
              <w:rPr>
                <w:rFonts w:asciiTheme="minorHAnsi" w:eastAsiaTheme="minorEastAsia" w:hAnsiTheme="minorHAnsi" w:cstheme="minorBidi"/>
                <w:noProof/>
                <w:kern w:val="2"/>
                <w:sz w:val="24"/>
                <w:szCs w:val="24"/>
                <w:lang w:bidi="ar-SA"/>
                <w14:ligatures w14:val="standardContextual"/>
              </w:rPr>
              <w:tab/>
            </w:r>
            <w:r w:rsidRPr="005D06B8">
              <w:rPr>
                <w:rStyle w:val="Hyperlink"/>
                <w:caps/>
                <w:noProof/>
              </w:rPr>
              <w:t>Summary of Main Findings</w:t>
            </w:r>
            <w:r>
              <w:rPr>
                <w:noProof/>
                <w:webHidden/>
              </w:rPr>
              <w:tab/>
            </w:r>
            <w:r>
              <w:rPr>
                <w:noProof/>
                <w:webHidden/>
              </w:rPr>
              <w:fldChar w:fldCharType="begin"/>
            </w:r>
            <w:r>
              <w:rPr>
                <w:noProof/>
                <w:webHidden/>
              </w:rPr>
              <w:instrText xml:space="preserve"> PAGEREF _Toc216612431 \h </w:instrText>
            </w:r>
            <w:r>
              <w:rPr>
                <w:noProof/>
                <w:webHidden/>
              </w:rPr>
            </w:r>
            <w:r>
              <w:rPr>
                <w:noProof/>
                <w:webHidden/>
              </w:rPr>
              <w:fldChar w:fldCharType="separate"/>
            </w:r>
            <w:r>
              <w:rPr>
                <w:noProof/>
                <w:webHidden/>
              </w:rPr>
              <w:t>28</w:t>
            </w:r>
            <w:r>
              <w:rPr>
                <w:noProof/>
                <w:webHidden/>
              </w:rPr>
              <w:fldChar w:fldCharType="end"/>
            </w:r>
          </w:hyperlink>
        </w:p>
        <w:p w14:paraId="2A0482EF" w14:textId="3C03793E"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2" w:history="1">
            <w:r w:rsidRPr="005D06B8">
              <w:rPr>
                <w:rStyle w:val="Hyperlink"/>
                <w:noProof/>
              </w:rPr>
              <w:t>1.1</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Socioeconomic Factors Remain the Strongest Predictors of Inequality</w:t>
            </w:r>
            <w:r>
              <w:rPr>
                <w:noProof/>
                <w:webHidden/>
              </w:rPr>
              <w:tab/>
            </w:r>
            <w:r>
              <w:rPr>
                <w:noProof/>
                <w:webHidden/>
              </w:rPr>
              <w:fldChar w:fldCharType="begin"/>
            </w:r>
            <w:r>
              <w:rPr>
                <w:noProof/>
                <w:webHidden/>
              </w:rPr>
              <w:instrText xml:space="preserve"> PAGEREF _Toc216612432 \h </w:instrText>
            </w:r>
            <w:r>
              <w:rPr>
                <w:noProof/>
                <w:webHidden/>
              </w:rPr>
            </w:r>
            <w:r>
              <w:rPr>
                <w:noProof/>
                <w:webHidden/>
              </w:rPr>
              <w:fldChar w:fldCharType="separate"/>
            </w:r>
            <w:r>
              <w:rPr>
                <w:noProof/>
                <w:webHidden/>
              </w:rPr>
              <w:t>28</w:t>
            </w:r>
            <w:r>
              <w:rPr>
                <w:noProof/>
                <w:webHidden/>
              </w:rPr>
              <w:fldChar w:fldCharType="end"/>
            </w:r>
          </w:hyperlink>
        </w:p>
        <w:p w14:paraId="0A1FC499" w14:textId="32674CA1"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3" w:history="1">
            <w:r w:rsidRPr="005D06B8">
              <w:rPr>
                <w:rStyle w:val="Hyperlink"/>
                <w:noProof/>
              </w:rPr>
              <w:t>1.2</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Ethnic Inequalities Persist Across Multiple Health Indicators</w:t>
            </w:r>
            <w:r>
              <w:rPr>
                <w:noProof/>
                <w:webHidden/>
              </w:rPr>
              <w:tab/>
            </w:r>
            <w:r>
              <w:rPr>
                <w:noProof/>
                <w:webHidden/>
              </w:rPr>
              <w:fldChar w:fldCharType="begin"/>
            </w:r>
            <w:r>
              <w:rPr>
                <w:noProof/>
                <w:webHidden/>
              </w:rPr>
              <w:instrText xml:space="preserve"> PAGEREF _Toc216612433 \h </w:instrText>
            </w:r>
            <w:r>
              <w:rPr>
                <w:noProof/>
                <w:webHidden/>
              </w:rPr>
            </w:r>
            <w:r>
              <w:rPr>
                <w:noProof/>
                <w:webHidden/>
              </w:rPr>
              <w:fldChar w:fldCharType="separate"/>
            </w:r>
            <w:r>
              <w:rPr>
                <w:noProof/>
                <w:webHidden/>
              </w:rPr>
              <w:t>28</w:t>
            </w:r>
            <w:r>
              <w:rPr>
                <w:noProof/>
                <w:webHidden/>
              </w:rPr>
              <w:fldChar w:fldCharType="end"/>
            </w:r>
          </w:hyperlink>
        </w:p>
        <w:p w14:paraId="7FC5D6C7" w14:textId="7DDDF191"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4" w:history="1">
            <w:r w:rsidRPr="005D06B8">
              <w:rPr>
                <w:rStyle w:val="Hyperlink"/>
                <w:noProof/>
              </w:rPr>
              <w:t>1.3</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Geographical Inequalities Reflect Regional Economic Divides</w:t>
            </w:r>
            <w:r>
              <w:rPr>
                <w:noProof/>
                <w:webHidden/>
              </w:rPr>
              <w:tab/>
            </w:r>
            <w:r>
              <w:rPr>
                <w:noProof/>
                <w:webHidden/>
              </w:rPr>
              <w:fldChar w:fldCharType="begin"/>
            </w:r>
            <w:r>
              <w:rPr>
                <w:noProof/>
                <w:webHidden/>
              </w:rPr>
              <w:instrText xml:space="preserve"> PAGEREF _Toc216612434 \h </w:instrText>
            </w:r>
            <w:r>
              <w:rPr>
                <w:noProof/>
                <w:webHidden/>
              </w:rPr>
            </w:r>
            <w:r>
              <w:rPr>
                <w:noProof/>
                <w:webHidden/>
              </w:rPr>
              <w:fldChar w:fldCharType="separate"/>
            </w:r>
            <w:r>
              <w:rPr>
                <w:noProof/>
                <w:webHidden/>
              </w:rPr>
              <w:t>29</w:t>
            </w:r>
            <w:r>
              <w:rPr>
                <w:noProof/>
                <w:webHidden/>
              </w:rPr>
              <w:fldChar w:fldCharType="end"/>
            </w:r>
          </w:hyperlink>
        </w:p>
        <w:p w14:paraId="63CD8F25" w14:textId="1861397A"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5" w:history="1">
            <w:r w:rsidRPr="005D06B8">
              <w:rPr>
                <w:rStyle w:val="Hyperlink"/>
                <w:noProof/>
              </w:rPr>
              <w:t>1.4</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Digital Exclusion is an Emerging and Significant Barrier</w:t>
            </w:r>
            <w:r>
              <w:rPr>
                <w:noProof/>
                <w:webHidden/>
              </w:rPr>
              <w:tab/>
            </w:r>
            <w:r>
              <w:rPr>
                <w:noProof/>
                <w:webHidden/>
              </w:rPr>
              <w:fldChar w:fldCharType="begin"/>
            </w:r>
            <w:r>
              <w:rPr>
                <w:noProof/>
                <w:webHidden/>
              </w:rPr>
              <w:instrText xml:space="preserve"> PAGEREF _Toc216612435 \h </w:instrText>
            </w:r>
            <w:r>
              <w:rPr>
                <w:noProof/>
                <w:webHidden/>
              </w:rPr>
            </w:r>
            <w:r>
              <w:rPr>
                <w:noProof/>
                <w:webHidden/>
              </w:rPr>
              <w:fldChar w:fldCharType="separate"/>
            </w:r>
            <w:r>
              <w:rPr>
                <w:noProof/>
                <w:webHidden/>
              </w:rPr>
              <w:t>29</w:t>
            </w:r>
            <w:r>
              <w:rPr>
                <w:noProof/>
                <w:webHidden/>
              </w:rPr>
              <w:fldChar w:fldCharType="end"/>
            </w:r>
          </w:hyperlink>
        </w:p>
        <w:p w14:paraId="5FF96C36" w14:textId="007B3AE6"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6" w:history="1">
            <w:r w:rsidRPr="005D06B8">
              <w:rPr>
                <w:rStyle w:val="Hyperlink"/>
                <w:noProof/>
              </w:rPr>
              <w:t>1.5</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Policy Efforts Have Not Fully Addressed Structural Inequities</w:t>
            </w:r>
            <w:r>
              <w:rPr>
                <w:noProof/>
                <w:webHidden/>
              </w:rPr>
              <w:tab/>
            </w:r>
            <w:r>
              <w:rPr>
                <w:noProof/>
                <w:webHidden/>
              </w:rPr>
              <w:fldChar w:fldCharType="begin"/>
            </w:r>
            <w:r>
              <w:rPr>
                <w:noProof/>
                <w:webHidden/>
              </w:rPr>
              <w:instrText xml:space="preserve"> PAGEREF _Toc216612436 \h </w:instrText>
            </w:r>
            <w:r>
              <w:rPr>
                <w:noProof/>
                <w:webHidden/>
              </w:rPr>
            </w:r>
            <w:r>
              <w:rPr>
                <w:noProof/>
                <w:webHidden/>
              </w:rPr>
              <w:fldChar w:fldCharType="separate"/>
            </w:r>
            <w:r>
              <w:rPr>
                <w:noProof/>
                <w:webHidden/>
              </w:rPr>
              <w:t>29</w:t>
            </w:r>
            <w:r>
              <w:rPr>
                <w:noProof/>
                <w:webHidden/>
              </w:rPr>
              <w:fldChar w:fldCharType="end"/>
            </w:r>
          </w:hyperlink>
        </w:p>
        <w:p w14:paraId="7EB9316D" w14:textId="1B8CD470" w:rsidR="003E2BCB" w:rsidRDefault="003E2BCB">
          <w:pPr>
            <w:pStyle w:val="TOC2"/>
            <w:tabs>
              <w:tab w:val="left" w:pos="72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7" w:history="1">
            <w:r w:rsidRPr="005D06B8">
              <w:rPr>
                <w:rStyle w:val="Hyperlink"/>
                <w:caps/>
                <w:noProof/>
              </w:rPr>
              <w:t>2.</w:t>
            </w:r>
            <w:r>
              <w:rPr>
                <w:rFonts w:asciiTheme="minorHAnsi" w:eastAsiaTheme="minorEastAsia" w:hAnsiTheme="minorHAnsi" w:cstheme="minorBidi"/>
                <w:noProof/>
                <w:kern w:val="2"/>
                <w:sz w:val="24"/>
                <w:szCs w:val="24"/>
                <w:lang w:bidi="ar-SA"/>
                <w14:ligatures w14:val="standardContextual"/>
              </w:rPr>
              <w:tab/>
            </w:r>
            <w:r w:rsidRPr="005D06B8">
              <w:rPr>
                <w:rStyle w:val="Hyperlink"/>
                <w:caps/>
                <w:noProof/>
              </w:rPr>
              <w:t>Recommendations for Practice and Policy</w:t>
            </w:r>
            <w:r>
              <w:rPr>
                <w:noProof/>
                <w:webHidden/>
              </w:rPr>
              <w:tab/>
            </w:r>
            <w:r>
              <w:rPr>
                <w:noProof/>
                <w:webHidden/>
              </w:rPr>
              <w:fldChar w:fldCharType="begin"/>
            </w:r>
            <w:r>
              <w:rPr>
                <w:noProof/>
                <w:webHidden/>
              </w:rPr>
              <w:instrText xml:space="preserve"> PAGEREF _Toc216612437 \h </w:instrText>
            </w:r>
            <w:r>
              <w:rPr>
                <w:noProof/>
                <w:webHidden/>
              </w:rPr>
            </w:r>
            <w:r>
              <w:rPr>
                <w:noProof/>
                <w:webHidden/>
              </w:rPr>
              <w:fldChar w:fldCharType="separate"/>
            </w:r>
            <w:r>
              <w:rPr>
                <w:noProof/>
                <w:webHidden/>
              </w:rPr>
              <w:t>29</w:t>
            </w:r>
            <w:r>
              <w:rPr>
                <w:noProof/>
                <w:webHidden/>
              </w:rPr>
              <w:fldChar w:fldCharType="end"/>
            </w:r>
          </w:hyperlink>
        </w:p>
        <w:p w14:paraId="21AA0C53" w14:textId="1B2C4E29"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8" w:history="1">
            <w:r w:rsidRPr="005D06B8">
              <w:rPr>
                <w:rStyle w:val="Hyperlink"/>
                <w:noProof/>
              </w:rPr>
              <w:t>2.1</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Strengthen Investment in Deprived Communities</w:t>
            </w:r>
            <w:r>
              <w:rPr>
                <w:noProof/>
                <w:webHidden/>
              </w:rPr>
              <w:tab/>
            </w:r>
            <w:r>
              <w:rPr>
                <w:noProof/>
                <w:webHidden/>
              </w:rPr>
              <w:fldChar w:fldCharType="begin"/>
            </w:r>
            <w:r>
              <w:rPr>
                <w:noProof/>
                <w:webHidden/>
              </w:rPr>
              <w:instrText xml:space="preserve"> PAGEREF _Toc216612438 \h </w:instrText>
            </w:r>
            <w:r>
              <w:rPr>
                <w:noProof/>
                <w:webHidden/>
              </w:rPr>
            </w:r>
            <w:r>
              <w:rPr>
                <w:noProof/>
                <w:webHidden/>
              </w:rPr>
              <w:fldChar w:fldCharType="separate"/>
            </w:r>
            <w:r>
              <w:rPr>
                <w:noProof/>
                <w:webHidden/>
              </w:rPr>
              <w:t>29</w:t>
            </w:r>
            <w:r>
              <w:rPr>
                <w:noProof/>
                <w:webHidden/>
              </w:rPr>
              <w:fldChar w:fldCharType="end"/>
            </w:r>
          </w:hyperlink>
        </w:p>
        <w:p w14:paraId="13A78B05" w14:textId="7D4F927E"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39" w:history="1">
            <w:r w:rsidRPr="005D06B8">
              <w:rPr>
                <w:rStyle w:val="Hyperlink"/>
                <w:noProof/>
              </w:rPr>
              <w:t>2.2</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Enhance Culturally Competent Healthcare</w:t>
            </w:r>
            <w:r>
              <w:rPr>
                <w:noProof/>
                <w:webHidden/>
              </w:rPr>
              <w:tab/>
            </w:r>
            <w:r>
              <w:rPr>
                <w:noProof/>
                <w:webHidden/>
              </w:rPr>
              <w:fldChar w:fldCharType="begin"/>
            </w:r>
            <w:r>
              <w:rPr>
                <w:noProof/>
                <w:webHidden/>
              </w:rPr>
              <w:instrText xml:space="preserve"> PAGEREF _Toc216612439 \h </w:instrText>
            </w:r>
            <w:r>
              <w:rPr>
                <w:noProof/>
                <w:webHidden/>
              </w:rPr>
            </w:r>
            <w:r>
              <w:rPr>
                <w:noProof/>
                <w:webHidden/>
              </w:rPr>
              <w:fldChar w:fldCharType="separate"/>
            </w:r>
            <w:r>
              <w:rPr>
                <w:noProof/>
                <w:webHidden/>
              </w:rPr>
              <w:t>30</w:t>
            </w:r>
            <w:r>
              <w:rPr>
                <w:noProof/>
                <w:webHidden/>
              </w:rPr>
              <w:fldChar w:fldCharType="end"/>
            </w:r>
          </w:hyperlink>
        </w:p>
        <w:p w14:paraId="1D8D0181" w14:textId="3E97F850"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0" w:history="1">
            <w:r w:rsidRPr="005D06B8">
              <w:rPr>
                <w:rStyle w:val="Hyperlink"/>
                <w:noProof/>
              </w:rPr>
              <w:t>2.3</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Strengthen Regional Health Equity Through Integrated Care Systems</w:t>
            </w:r>
            <w:r>
              <w:rPr>
                <w:noProof/>
                <w:webHidden/>
              </w:rPr>
              <w:tab/>
            </w:r>
            <w:r>
              <w:rPr>
                <w:noProof/>
                <w:webHidden/>
              </w:rPr>
              <w:fldChar w:fldCharType="begin"/>
            </w:r>
            <w:r>
              <w:rPr>
                <w:noProof/>
                <w:webHidden/>
              </w:rPr>
              <w:instrText xml:space="preserve"> PAGEREF _Toc216612440 \h </w:instrText>
            </w:r>
            <w:r>
              <w:rPr>
                <w:noProof/>
                <w:webHidden/>
              </w:rPr>
            </w:r>
            <w:r>
              <w:rPr>
                <w:noProof/>
                <w:webHidden/>
              </w:rPr>
              <w:fldChar w:fldCharType="separate"/>
            </w:r>
            <w:r>
              <w:rPr>
                <w:noProof/>
                <w:webHidden/>
              </w:rPr>
              <w:t>30</w:t>
            </w:r>
            <w:r>
              <w:rPr>
                <w:noProof/>
                <w:webHidden/>
              </w:rPr>
              <w:fldChar w:fldCharType="end"/>
            </w:r>
          </w:hyperlink>
        </w:p>
        <w:p w14:paraId="457F7EAA" w14:textId="042ED0E7"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1" w:history="1">
            <w:r w:rsidRPr="005D06B8">
              <w:rPr>
                <w:rStyle w:val="Hyperlink"/>
                <w:noProof/>
              </w:rPr>
              <w:t>2.4</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Address Digital Inequality in NHS Access</w:t>
            </w:r>
            <w:r>
              <w:rPr>
                <w:noProof/>
                <w:webHidden/>
              </w:rPr>
              <w:tab/>
            </w:r>
            <w:r>
              <w:rPr>
                <w:noProof/>
                <w:webHidden/>
              </w:rPr>
              <w:fldChar w:fldCharType="begin"/>
            </w:r>
            <w:r>
              <w:rPr>
                <w:noProof/>
                <w:webHidden/>
              </w:rPr>
              <w:instrText xml:space="preserve"> PAGEREF _Toc216612441 \h </w:instrText>
            </w:r>
            <w:r>
              <w:rPr>
                <w:noProof/>
                <w:webHidden/>
              </w:rPr>
            </w:r>
            <w:r>
              <w:rPr>
                <w:noProof/>
                <w:webHidden/>
              </w:rPr>
              <w:fldChar w:fldCharType="separate"/>
            </w:r>
            <w:r>
              <w:rPr>
                <w:noProof/>
                <w:webHidden/>
              </w:rPr>
              <w:t>30</w:t>
            </w:r>
            <w:r>
              <w:rPr>
                <w:noProof/>
                <w:webHidden/>
              </w:rPr>
              <w:fldChar w:fldCharType="end"/>
            </w:r>
          </w:hyperlink>
        </w:p>
        <w:p w14:paraId="472B2091" w14:textId="087E7E8F" w:rsidR="003E2BCB" w:rsidRDefault="003E2BCB">
          <w:pPr>
            <w:pStyle w:val="TOC3"/>
            <w:tabs>
              <w:tab w:val="left" w:pos="1200"/>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2" w:history="1">
            <w:r w:rsidRPr="005D06B8">
              <w:rPr>
                <w:rStyle w:val="Hyperlink"/>
                <w:noProof/>
              </w:rPr>
              <w:t>2.5</w:t>
            </w:r>
            <w:r>
              <w:rPr>
                <w:rFonts w:asciiTheme="minorHAnsi" w:eastAsiaTheme="minorEastAsia" w:hAnsiTheme="minorHAnsi" w:cstheme="minorBidi"/>
                <w:noProof/>
                <w:kern w:val="2"/>
                <w:sz w:val="24"/>
                <w:szCs w:val="24"/>
                <w:lang w:bidi="ar-SA"/>
                <w14:ligatures w14:val="standardContextual"/>
              </w:rPr>
              <w:tab/>
            </w:r>
            <w:r w:rsidRPr="005D06B8">
              <w:rPr>
                <w:rStyle w:val="Hyperlink"/>
                <w:noProof/>
              </w:rPr>
              <w:t>Rebuild Public Health Infrastructure</w:t>
            </w:r>
            <w:r>
              <w:rPr>
                <w:noProof/>
                <w:webHidden/>
              </w:rPr>
              <w:tab/>
            </w:r>
            <w:r>
              <w:rPr>
                <w:noProof/>
                <w:webHidden/>
              </w:rPr>
              <w:fldChar w:fldCharType="begin"/>
            </w:r>
            <w:r>
              <w:rPr>
                <w:noProof/>
                <w:webHidden/>
              </w:rPr>
              <w:instrText xml:space="preserve"> PAGEREF _Toc216612442 \h </w:instrText>
            </w:r>
            <w:r>
              <w:rPr>
                <w:noProof/>
                <w:webHidden/>
              </w:rPr>
            </w:r>
            <w:r>
              <w:rPr>
                <w:noProof/>
                <w:webHidden/>
              </w:rPr>
              <w:fldChar w:fldCharType="separate"/>
            </w:r>
            <w:r>
              <w:rPr>
                <w:noProof/>
                <w:webHidden/>
              </w:rPr>
              <w:t>31</w:t>
            </w:r>
            <w:r>
              <w:rPr>
                <w:noProof/>
                <w:webHidden/>
              </w:rPr>
              <w:fldChar w:fldCharType="end"/>
            </w:r>
          </w:hyperlink>
        </w:p>
        <w:p w14:paraId="5C8D283A" w14:textId="176F95E5" w:rsidR="003E2BCB" w:rsidRDefault="003E2BC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3" w:history="1">
            <w:r w:rsidRPr="005D06B8">
              <w:rPr>
                <w:rStyle w:val="Hyperlink"/>
                <w:caps/>
                <w:noProof/>
              </w:rPr>
              <w:t>3 Recommendations for Future Research</w:t>
            </w:r>
            <w:r>
              <w:rPr>
                <w:noProof/>
                <w:webHidden/>
              </w:rPr>
              <w:tab/>
            </w:r>
            <w:r>
              <w:rPr>
                <w:noProof/>
                <w:webHidden/>
              </w:rPr>
              <w:fldChar w:fldCharType="begin"/>
            </w:r>
            <w:r>
              <w:rPr>
                <w:noProof/>
                <w:webHidden/>
              </w:rPr>
              <w:instrText xml:space="preserve"> PAGEREF _Toc216612443 \h </w:instrText>
            </w:r>
            <w:r>
              <w:rPr>
                <w:noProof/>
                <w:webHidden/>
              </w:rPr>
            </w:r>
            <w:r>
              <w:rPr>
                <w:noProof/>
                <w:webHidden/>
              </w:rPr>
              <w:fldChar w:fldCharType="separate"/>
            </w:r>
            <w:r>
              <w:rPr>
                <w:noProof/>
                <w:webHidden/>
              </w:rPr>
              <w:t>31</w:t>
            </w:r>
            <w:r>
              <w:rPr>
                <w:noProof/>
                <w:webHidden/>
              </w:rPr>
              <w:fldChar w:fldCharType="end"/>
            </w:r>
          </w:hyperlink>
        </w:p>
        <w:p w14:paraId="2E4D12D6" w14:textId="686FE2CA"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4" w:history="1">
            <w:r w:rsidRPr="005D06B8">
              <w:rPr>
                <w:rStyle w:val="Hyperlink"/>
                <w:noProof/>
              </w:rPr>
              <w:t>3.1 Primary Research on Lived Experiences</w:t>
            </w:r>
            <w:r>
              <w:rPr>
                <w:noProof/>
                <w:webHidden/>
              </w:rPr>
              <w:tab/>
            </w:r>
            <w:r>
              <w:rPr>
                <w:noProof/>
                <w:webHidden/>
              </w:rPr>
              <w:fldChar w:fldCharType="begin"/>
            </w:r>
            <w:r>
              <w:rPr>
                <w:noProof/>
                <w:webHidden/>
              </w:rPr>
              <w:instrText xml:space="preserve"> PAGEREF _Toc216612444 \h </w:instrText>
            </w:r>
            <w:r>
              <w:rPr>
                <w:noProof/>
                <w:webHidden/>
              </w:rPr>
            </w:r>
            <w:r>
              <w:rPr>
                <w:noProof/>
                <w:webHidden/>
              </w:rPr>
              <w:fldChar w:fldCharType="separate"/>
            </w:r>
            <w:r>
              <w:rPr>
                <w:noProof/>
                <w:webHidden/>
              </w:rPr>
              <w:t>31</w:t>
            </w:r>
            <w:r>
              <w:rPr>
                <w:noProof/>
                <w:webHidden/>
              </w:rPr>
              <w:fldChar w:fldCharType="end"/>
            </w:r>
          </w:hyperlink>
        </w:p>
        <w:p w14:paraId="5DD86672" w14:textId="1DBA8FF1"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5" w:history="1">
            <w:r w:rsidRPr="005D06B8">
              <w:rPr>
                <w:rStyle w:val="Hyperlink"/>
                <w:noProof/>
              </w:rPr>
              <w:t>3.2 Longitudinal Studies on Digital Inclusion</w:t>
            </w:r>
            <w:r>
              <w:rPr>
                <w:noProof/>
                <w:webHidden/>
              </w:rPr>
              <w:tab/>
            </w:r>
            <w:r>
              <w:rPr>
                <w:noProof/>
                <w:webHidden/>
              </w:rPr>
              <w:fldChar w:fldCharType="begin"/>
            </w:r>
            <w:r>
              <w:rPr>
                <w:noProof/>
                <w:webHidden/>
              </w:rPr>
              <w:instrText xml:space="preserve"> PAGEREF _Toc216612445 \h </w:instrText>
            </w:r>
            <w:r>
              <w:rPr>
                <w:noProof/>
                <w:webHidden/>
              </w:rPr>
            </w:r>
            <w:r>
              <w:rPr>
                <w:noProof/>
                <w:webHidden/>
              </w:rPr>
              <w:fldChar w:fldCharType="separate"/>
            </w:r>
            <w:r>
              <w:rPr>
                <w:noProof/>
                <w:webHidden/>
              </w:rPr>
              <w:t>31</w:t>
            </w:r>
            <w:r>
              <w:rPr>
                <w:noProof/>
                <w:webHidden/>
              </w:rPr>
              <w:fldChar w:fldCharType="end"/>
            </w:r>
          </w:hyperlink>
        </w:p>
        <w:p w14:paraId="51DF00EC" w14:textId="02806851"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6" w:history="1">
            <w:r w:rsidRPr="005D06B8">
              <w:rPr>
                <w:rStyle w:val="Hyperlink"/>
                <w:noProof/>
              </w:rPr>
              <w:t>3.3 Evaluations of ICS Effectiveness</w:t>
            </w:r>
            <w:r>
              <w:rPr>
                <w:noProof/>
                <w:webHidden/>
              </w:rPr>
              <w:tab/>
            </w:r>
            <w:r>
              <w:rPr>
                <w:noProof/>
                <w:webHidden/>
              </w:rPr>
              <w:fldChar w:fldCharType="begin"/>
            </w:r>
            <w:r>
              <w:rPr>
                <w:noProof/>
                <w:webHidden/>
              </w:rPr>
              <w:instrText xml:space="preserve"> PAGEREF _Toc216612446 \h </w:instrText>
            </w:r>
            <w:r>
              <w:rPr>
                <w:noProof/>
                <w:webHidden/>
              </w:rPr>
            </w:r>
            <w:r>
              <w:rPr>
                <w:noProof/>
                <w:webHidden/>
              </w:rPr>
              <w:fldChar w:fldCharType="separate"/>
            </w:r>
            <w:r>
              <w:rPr>
                <w:noProof/>
                <w:webHidden/>
              </w:rPr>
              <w:t>31</w:t>
            </w:r>
            <w:r>
              <w:rPr>
                <w:noProof/>
                <w:webHidden/>
              </w:rPr>
              <w:fldChar w:fldCharType="end"/>
            </w:r>
          </w:hyperlink>
        </w:p>
        <w:p w14:paraId="733351F2" w14:textId="7FA1096F" w:rsidR="003E2BCB" w:rsidRDefault="003E2BC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7" w:history="1">
            <w:r w:rsidRPr="005D06B8">
              <w:rPr>
                <w:rStyle w:val="Hyperlink"/>
                <w:noProof/>
              </w:rPr>
              <w:t>3.4 Intersectionality-Focused Research</w:t>
            </w:r>
            <w:r>
              <w:rPr>
                <w:noProof/>
                <w:webHidden/>
              </w:rPr>
              <w:tab/>
            </w:r>
            <w:r>
              <w:rPr>
                <w:noProof/>
                <w:webHidden/>
              </w:rPr>
              <w:fldChar w:fldCharType="begin"/>
            </w:r>
            <w:r>
              <w:rPr>
                <w:noProof/>
                <w:webHidden/>
              </w:rPr>
              <w:instrText xml:space="preserve"> PAGEREF _Toc216612447 \h </w:instrText>
            </w:r>
            <w:r>
              <w:rPr>
                <w:noProof/>
                <w:webHidden/>
              </w:rPr>
            </w:r>
            <w:r>
              <w:rPr>
                <w:noProof/>
                <w:webHidden/>
              </w:rPr>
              <w:fldChar w:fldCharType="separate"/>
            </w:r>
            <w:r>
              <w:rPr>
                <w:noProof/>
                <w:webHidden/>
              </w:rPr>
              <w:t>31</w:t>
            </w:r>
            <w:r>
              <w:rPr>
                <w:noProof/>
                <w:webHidden/>
              </w:rPr>
              <w:fldChar w:fldCharType="end"/>
            </w:r>
          </w:hyperlink>
        </w:p>
        <w:p w14:paraId="12DBA68E" w14:textId="2817B99F" w:rsidR="003E2BCB" w:rsidRDefault="003E2BC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8" w:history="1">
            <w:r w:rsidRPr="005D06B8">
              <w:rPr>
                <w:rStyle w:val="Hyperlink"/>
                <w:bCs/>
                <w:noProof/>
              </w:rPr>
              <w:t>4. CONCLUSION</w:t>
            </w:r>
            <w:r>
              <w:rPr>
                <w:noProof/>
                <w:webHidden/>
              </w:rPr>
              <w:tab/>
            </w:r>
            <w:r>
              <w:rPr>
                <w:noProof/>
                <w:webHidden/>
              </w:rPr>
              <w:fldChar w:fldCharType="begin"/>
            </w:r>
            <w:r>
              <w:rPr>
                <w:noProof/>
                <w:webHidden/>
              </w:rPr>
              <w:instrText xml:space="preserve"> PAGEREF _Toc216612448 \h </w:instrText>
            </w:r>
            <w:r>
              <w:rPr>
                <w:noProof/>
                <w:webHidden/>
              </w:rPr>
            </w:r>
            <w:r>
              <w:rPr>
                <w:noProof/>
                <w:webHidden/>
              </w:rPr>
              <w:fldChar w:fldCharType="separate"/>
            </w:r>
            <w:r>
              <w:rPr>
                <w:noProof/>
                <w:webHidden/>
              </w:rPr>
              <w:t>32</w:t>
            </w:r>
            <w:r>
              <w:rPr>
                <w:noProof/>
                <w:webHidden/>
              </w:rPr>
              <w:fldChar w:fldCharType="end"/>
            </w:r>
          </w:hyperlink>
        </w:p>
        <w:p w14:paraId="0F914FF5" w14:textId="6AD64818" w:rsidR="003E2BCB" w:rsidRDefault="003E2BC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49" w:history="1">
            <w:r w:rsidRPr="005D06B8">
              <w:rPr>
                <w:rStyle w:val="Hyperlink"/>
                <w:noProof/>
              </w:rPr>
              <w:t>REFERENCES</w:t>
            </w:r>
            <w:r>
              <w:rPr>
                <w:noProof/>
                <w:webHidden/>
              </w:rPr>
              <w:tab/>
            </w:r>
            <w:r>
              <w:rPr>
                <w:noProof/>
                <w:webHidden/>
              </w:rPr>
              <w:fldChar w:fldCharType="begin"/>
            </w:r>
            <w:r>
              <w:rPr>
                <w:noProof/>
                <w:webHidden/>
              </w:rPr>
              <w:instrText xml:space="preserve"> PAGEREF _Toc216612449 \h </w:instrText>
            </w:r>
            <w:r>
              <w:rPr>
                <w:noProof/>
                <w:webHidden/>
              </w:rPr>
            </w:r>
            <w:r>
              <w:rPr>
                <w:noProof/>
                <w:webHidden/>
              </w:rPr>
              <w:fldChar w:fldCharType="separate"/>
            </w:r>
            <w:r>
              <w:rPr>
                <w:noProof/>
                <w:webHidden/>
              </w:rPr>
              <w:t>34</w:t>
            </w:r>
            <w:r>
              <w:rPr>
                <w:noProof/>
                <w:webHidden/>
              </w:rPr>
              <w:fldChar w:fldCharType="end"/>
            </w:r>
          </w:hyperlink>
        </w:p>
        <w:p w14:paraId="54B53096" w14:textId="31F1E925" w:rsidR="003E2BCB" w:rsidRDefault="003E2BCB">
          <w:pPr>
            <w:pStyle w:val="TOC1"/>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16612450" w:history="1">
            <w:r w:rsidRPr="005D06B8">
              <w:rPr>
                <w:rStyle w:val="Hyperlink"/>
                <w:noProof/>
              </w:rPr>
              <w:t>APPENDICES</w:t>
            </w:r>
            <w:r>
              <w:rPr>
                <w:noProof/>
                <w:webHidden/>
              </w:rPr>
              <w:tab/>
            </w:r>
            <w:r>
              <w:rPr>
                <w:noProof/>
                <w:webHidden/>
              </w:rPr>
              <w:fldChar w:fldCharType="begin"/>
            </w:r>
            <w:r>
              <w:rPr>
                <w:noProof/>
                <w:webHidden/>
              </w:rPr>
              <w:instrText xml:space="preserve"> PAGEREF _Toc216612450 \h </w:instrText>
            </w:r>
            <w:r>
              <w:rPr>
                <w:noProof/>
                <w:webHidden/>
              </w:rPr>
            </w:r>
            <w:r>
              <w:rPr>
                <w:noProof/>
                <w:webHidden/>
              </w:rPr>
              <w:fldChar w:fldCharType="separate"/>
            </w:r>
            <w:r>
              <w:rPr>
                <w:noProof/>
                <w:webHidden/>
              </w:rPr>
              <w:t>38</w:t>
            </w:r>
            <w:r>
              <w:rPr>
                <w:noProof/>
                <w:webHidden/>
              </w:rPr>
              <w:fldChar w:fldCharType="end"/>
            </w:r>
          </w:hyperlink>
        </w:p>
        <w:p w14:paraId="0C4A2294" w14:textId="4615C861" w:rsidR="003E2BCB" w:rsidRDefault="006A47B9">
          <w:pPr>
            <w:rPr>
              <w:b/>
              <w:bCs/>
            </w:rPr>
          </w:pPr>
          <w:r>
            <w:rPr>
              <w:b/>
              <w:bCs/>
            </w:rPr>
            <w:fldChar w:fldCharType="end"/>
          </w:r>
        </w:p>
        <w:p w14:paraId="46B65323" w14:textId="402CA887" w:rsidR="006A47B9" w:rsidRDefault="00000000"/>
      </w:sdtContent>
    </w:sdt>
    <w:p w14:paraId="468CAC11" w14:textId="77777777" w:rsidR="00C17FC9" w:rsidRDefault="00C17FC9" w:rsidP="00DA52F0">
      <w:pPr>
        <w:mirrorIndents/>
        <w:rPr>
          <w:rFonts w:eastAsia="Arial Unicode MS" w:cs="Arial"/>
          <w:bCs/>
        </w:rPr>
      </w:pPr>
    </w:p>
    <w:p w14:paraId="4BDF6922" w14:textId="77777777" w:rsidR="00C17FC9" w:rsidRDefault="00C17FC9" w:rsidP="00DA52F0">
      <w:pPr>
        <w:mirrorIndents/>
        <w:rPr>
          <w:rFonts w:eastAsia="Arial Unicode MS" w:cs="Arial"/>
          <w:bCs/>
        </w:rPr>
      </w:pPr>
    </w:p>
    <w:p w14:paraId="76480F64" w14:textId="77777777" w:rsidR="00C17FC9" w:rsidRDefault="00C17FC9" w:rsidP="00DA52F0">
      <w:pPr>
        <w:mirrorIndents/>
        <w:rPr>
          <w:rFonts w:eastAsia="Arial Unicode MS" w:cs="Arial"/>
          <w:bCs/>
        </w:rPr>
      </w:pPr>
    </w:p>
    <w:p w14:paraId="62F74FDF" w14:textId="77777777" w:rsidR="005D3B9C" w:rsidRPr="005D3B9C" w:rsidRDefault="005D3B9C" w:rsidP="00DA52F0">
      <w:pPr>
        <w:mirrorIndents/>
        <w:rPr>
          <w:rFonts w:eastAsia="Arial Unicode MS" w:cs="Arial"/>
          <w:bCs/>
        </w:rPr>
      </w:pPr>
    </w:p>
    <w:p w14:paraId="56D84073" w14:textId="7AB98732" w:rsidR="005C2C7A" w:rsidRPr="00812591" w:rsidRDefault="005C2C7A" w:rsidP="00DA52F0">
      <w:pPr>
        <w:pStyle w:val="Heading1"/>
        <w:ind w:left="0"/>
        <w:mirrorIndents/>
        <w:jc w:val="center"/>
        <w:rPr>
          <w:b w:val="0"/>
        </w:rPr>
      </w:pPr>
      <w:bookmarkStart w:id="3" w:name="_Toc216612402"/>
      <w:r w:rsidRPr="00812591">
        <w:t>CHAPTE</w:t>
      </w:r>
      <w:r w:rsidR="00C764A3" w:rsidRPr="00812591">
        <w:t>R 1: INTRODUCTION</w:t>
      </w:r>
      <w:bookmarkEnd w:id="3"/>
      <w:r w:rsidR="00C764A3" w:rsidRPr="00812591">
        <w:t xml:space="preserve"> </w:t>
      </w:r>
    </w:p>
    <w:p w14:paraId="412D5026" w14:textId="77777777" w:rsidR="00766D97" w:rsidRPr="00812591" w:rsidRDefault="00766D97" w:rsidP="00DA52F0">
      <w:pPr>
        <w:mirrorIndents/>
        <w:jc w:val="both"/>
        <w:rPr>
          <w:rFonts w:eastAsia="Arial Unicode MS" w:cs="Arial"/>
        </w:rPr>
      </w:pPr>
    </w:p>
    <w:p w14:paraId="515AC35F" w14:textId="4177F11E" w:rsidR="002667F4" w:rsidRDefault="004D3EFF" w:rsidP="004D3EFF">
      <w:pPr>
        <w:pStyle w:val="Heading2"/>
      </w:pPr>
      <w:bookmarkStart w:id="4" w:name="_Toc216612403"/>
      <w:r>
        <w:t xml:space="preserve">1.1 </w:t>
      </w:r>
      <w:r w:rsidR="003E574C" w:rsidRPr="003E574C">
        <w:t>Definition of main concepts of the study</w:t>
      </w:r>
      <w:bookmarkEnd w:id="4"/>
    </w:p>
    <w:p w14:paraId="44DD2336" w14:textId="238D59DC" w:rsidR="00E775BB" w:rsidRPr="00E775BB" w:rsidRDefault="00E775BB" w:rsidP="00E775BB">
      <w:pPr>
        <w:widowControl w:val="0"/>
        <w:autoSpaceDE w:val="0"/>
        <w:autoSpaceDN w:val="0"/>
        <w:rPr>
          <w:rFonts w:cs="Arial"/>
        </w:rPr>
      </w:pPr>
      <w:r w:rsidRPr="00E775BB">
        <w:rPr>
          <w:rFonts w:cs="Arial"/>
        </w:rPr>
        <w:t>According to Marmot in 2010, health inequality means uneven consequences and length of life of single groups in a society in regard to overall standards. The deprivation that results from these inequalities is not accidental but is socially produced and closely linked with unequal distribution of power, income, resources and opportunities. In the United Kingdom, health inequalities are strongly tied to social determinants of health. It includes socioeconomic status, which is your social class, education level, employment status, living conditions or housing area and access to health services (Marmot et al., 2020).</w:t>
      </w:r>
    </w:p>
    <w:p w14:paraId="729CB0D8" w14:textId="6A33799C" w:rsidR="00E775BB" w:rsidRPr="00E775BB" w:rsidRDefault="00E775BB" w:rsidP="00E775BB">
      <w:pPr>
        <w:widowControl w:val="0"/>
        <w:autoSpaceDE w:val="0"/>
        <w:autoSpaceDN w:val="0"/>
        <w:rPr>
          <w:rFonts w:cs="Arial"/>
        </w:rPr>
      </w:pPr>
      <w:r w:rsidRPr="00E775BB">
        <w:rPr>
          <w:rFonts w:cs="Arial"/>
        </w:rPr>
        <w:t>The notion of health inequalities stretches beyond simply differences in illness or death rates to encompass quality of life, disability, mental health and people’s ability to get preventive care. Evidence consistently shows that individuals living in the most deprived areas of the UK have significantly worse health outcomes than their more well-off neighbours. For example, life expectancy and healthy life expectancy are much lower in deprived communities (ONS, 2022). People in these areas spend larger proportions of their lives with some ill health. These inequalities are also shaped by ethnic background, occupation, sex and where geographically you live, often reflecting disadvantages which are inherited over generations.</w:t>
      </w:r>
    </w:p>
    <w:p w14:paraId="003953B2" w14:textId="00BD0FC4" w:rsidR="00E775BB" w:rsidRPr="00E775BB" w:rsidRDefault="00E775BB" w:rsidP="00E775BB">
      <w:pPr>
        <w:widowControl w:val="0"/>
        <w:autoSpaceDE w:val="0"/>
        <w:autoSpaceDN w:val="0"/>
        <w:rPr>
          <w:rFonts w:cs="Arial"/>
        </w:rPr>
      </w:pPr>
      <w:r w:rsidRPr="00E775BB">
        <w:rPr>
          <w:rFonts w:cs="Arial"/>
        </w:rPr>
        <w:t>The concept of health access refers to the ability of people to obtain appropriate health care services quickly and effectively. in y need(Gulliford et al., 2002). Access is a multi-dimensional concept that covers the availability of health services, affordability of care for service-users, and stability and quality of treatment. While the UK’s National Health Service was built on the principle of providing care based in location and provided free at the point of delivery for everyone, in reality equal access is hard to achieve. Structural barriers such as long waits for service, shortage of healthcare workers, geographical distance from care, cultural and languages problems that may stand in the way, digital exclusion from the web of life all limit health access for certain groups</w:t>
      </w:r>
      <w:r>
        <w:rPr>
          <w:rFonts w:cs="Arial"/>
        </w:rPr>
        <w:t xml:space="preserve"> </w:t>
      </w:r>
      <w:r w:rsidRPr="00E775BB">
        <w:rPr>
          <w:rFonts w:cs="Arial"/>
        </w:rPr>
        <w:t>(The King’s Fund, 2021).</w:t>
      </w:r>
    </w:p>
    <w:p w14:paraId="324C85A4" w14:textId="7FFAD3B8" w:rsidR="00E775BB" w:rsidRPr="00E775BB" w:rsidRDefault="00E775BB" w:rsidP="00E775BB">
      <w:pPr>
        <w:widowControl w:val="0"/>
        <w:autoSpaceDE w:val="0"/>
        <w:autoSpaceDN w:val="0"/>
        <w:rPr>
          <w:rFonts w:cs="Arial"/>
        </w:rPr>
      </w:pPr>
      <w:r w:rsidRPr="00E775BB">
        <w:rPr>
          <w:rFonts w:cs="Arial"/>
        </w:rPr>
        <w:t>This thesis examines health inequalities together with access to health care, recognizing that unequal doesn’t just cause but is itself created by broader social inequality. It pays special attention to how structural, social and policy-related factors come together to shape adults' experiences of health care in the UK.</w:t>
      </w:r>
    </w:p>
    <w:p w14:paraId="5F4C9E2F" w14:textId="77777777" w:rsidR="00304A18" w:rsidRDefault="00304A18" w:rsidP="001B4E53">
      <w:pPr>
        <w:widowControl w:val="0"/>
        <w:autoSpaceDE w:val="0"/>
        <w:autoSpaceDN w:val="0"/>
        <w:rPr>
          <w:rFonts w:cs="Arial"/>
        </w:rPr>
      </w:pPr>
    </w:p>
    <w:p w14:paraId="0F746ED9" w14:textId="77777777" w:rsidR="00E775BB" w:rsidRDefault="00E775BB" w:rsidP="001B4E53">
      <w:pPr>
        <w:widowControl w:val="0"/>
        <w:autoSpaceDE w:val="0"/>
        <w:autoSpaceDN w:val="0"/>
        <w:rPr>
          <w:rFonts w:cs="Arial"/>
        </w:rPr>
      </w:pPr>
    </w:p>
    <w:p w14:paraId="5A98DCD1" w14:textId="77777777" w:rsidR="00E775BB" w:rsidRDefault="00E775BB" w:rsidP="001B4E53">
      <w:pPr>
        <w:widowControl w:val="0"/>
        <w:autoSpaceDE w:val="0"/>
        <w:autoSpaceDN w:val="0"/>
        <w:rPr>
          <w:rFonts w:cs="Arial"/>
        </w:rPr>
      </w:pPr>
    </w:p>
    <w:p w14:paraId="51031029" w14:textId="1B39EE10" w:rsidR="00514523" w:rsidRDefault="004D3EFF" w:rsidP="004D3EFF">
      <w:pPr>
        <w:pStyle w:val="Heading2"/>
      </w:pPr>
      <w:bookmarkStart w:id="5" w:name="_Toc216612404"/>
      <w:r>
        <w:lastRenderedPageBreak/>
        <w:t xml:space="preserve">1.2 </w:t>
      </w:r>
      <w:r w:rsidR="00514523" w:rsidRPr="00141A69">
        <w:t>Rationale of the study</w:t>
      </w:r>
      <w:bookmarkEnd w:id="5"/>
    </w:p>
    <w:p w14:paraId="1233316D" w14:textId="0CD3C4B3" w:rsidR="00A52F75" w:rsidRPr="00A52F75" w:rsidRDefault="00A52F75" w:rsidP="00A52F75">
      <w:pPr>
        <w:rPr>
          <w:rFonts w:cs="Arial"/>
        </w:rPr>
      </w:pPr>
      <w:r w:rsidRPr="00A52F75">
        <w:rPr>
          <w:rFonts w:cs="Arial"/>
        </w:rPr>
        <w:t>The UK has seen health inequalities documented over several decades. The Marmot Report (2010) gave a comprehensive assessment of the scale and causes of such inequality. It pointed out that from every stage in life onwards, the health result is worse for those in a lower social class than for those in a higher one.</w:t>
      </w:r>
      <w:r w:rsidR="00050497">
        <w:rPr>
          <w:rFonts w:cs="Arial"/>
        </w:rPr>
        <w:t xml:space="preserve"> </w:t>
      </w:r>
      <w:r w:rsidRPr="00A52F75">
        <w:rPr>
          <w:rFonts w:cs="Arial"/>
        </w:rPr>
        <w:t xml:space="preserve">Professor Michael Marmot, who headed the review, emphasising that these were, and have always been inevitable consequences of social-economic conditions, rather than victories of nature over </w:t>
      </w:r>
      <w:r w:rsidR="00050497" w:rsidRPr="00A52F75">
        <w:rPr>
          <w:rFonts w:cs="Arial"/>
        </w:rPr>
        <w:t>nurture. ‘In</w:t>
      </w:r>
      <w:r w:rsidRPr="00A52F75">
        <w:rPr>
          <w:rFonts w:cs="Arial"/>
        </w:rPr>
        <w:t xml:space="preserve"> Our Time'</w:t>
      </w:r>
      <w:r w:rsidR="00050497">
        <w:rPr>
          <w:rFonts w:cs="Arial"/>
        </w:rPr>
        <w:t xml:space="preserve"> </w:t>
      </w:r>
      <w:r w:rsidRPr="00A52F75">
        <w:rPr>
          <w:rFonts w:cs="Arial"/>
        </w:rPr>
        <w:t xml:space="preserve">The Marmot Review 10 Years On (Marmot et al., 2020), a follow-up to the earlier report, said that whilst some progress had been made in reducing health inequalities it is limited and in some cases actually going the wrong way. Improving life expectancy has stopped dead. The gap in healthy life expectancy between England's very wealthiest and its most deprived areas remains over 20 years (ONS, 2022). These findings highlight policy interventions have completely failed to address the underlying causes of inequality, especially when public spending is being cut and becoming a political </w:t>
      </w:r>
      <w:proofErr w:type="spellStart"/>
      <w:r w:rsidRPr="00A52F75">
        <w:rPr>
          <w:rFonts w:cs="Arial"/>
        </w:rPr>
        <w:t>matter.The</w:t>
      </w:r>
      <w:proofErr w:type="spellEnd"/>
      <w:r w:rsidRPr="00A52F75">
        <w:rPr>
          <w:rFonts w:cs="Arial"/>
        </w:rPr>
        <w:t xml:space="preserve"> COVID-19 pandemic exposed and exacerbated already existing health inequalities. Public Health England presented evidence (2020) that Black, Asian and minority ethnic adults, residents of deprived areas of London and occupations with less secure employment were excessively infected, hospitalized and died. A pandemic scarred these outcomes are the result of social factors such as bad housing conditions, workplace exposure to virulent strains and pre-existing health problems. This is why the pandemic got health inequalities wrong (Public Health England, 2020): Not only are they a problem with social injustice; they are also major threats to the resilience and sustainability of health system.uk In addition, healthcare services have been quickly digitized. While digital technologies, such as online GP consultations and NHS mobile applications, provide more convenience and efficiency, they also run the risk of excluding people without digital skills, access to the Internet or confidence in using technology. This is particularly true for older adults, disabled individuals and those from lower income households (Good Things Foundation 2021). It raises important for the future of equality questions about how innovation can be implemented without increasing existing </w:t>
      </w:r>
      <w:r w:rsidR="006E3255" w:rsidRPr="00A52F75">
        <w:rPr>
          <w:rFonts w:cs="Arial"/>
        </w:rPr>
        <w:t>inequalities</w:t>
      </w:r>
      <w:r w:rsidR="006E3255">
        <w:rPr>
          <w:rFonts w:cs="Arial"/>
        </w:rPr>
        <w:t xml:space="preserve">. </w:t>
      </w:r>
      <w:r w:rsidRPr="00A52F75">
        <w:rPr>
          <w:rFonts w:cs="Arial"/>
        </w:rPr>
        <w:t>More on this--'We Will Help the Aged--The Violence of Ageism ‘Such persistent challenges underscore a strong rationale for examining access to health and health inequalities among adults of all ages in the UK. Our research aims to integrate current evidence, review policy initiatives, and contribute to discussions about how to improve health equity in practice.</w:t>
      </w:r>
    </w:p>
    <w:p w14:paraId="37E8D384" w14:textId="77777777" w:rsidR="0005271E" w:rsidRDefault="0005271E" w:rsidP="006F447D">
      <w:pPr>
        <w:rPr>
          <w:rFonts w:cs="Arial"/>
        </w:rPr>
      </w:pPr>
    </w:p>
    <w:p w14:paraId="7F04D9C1" w14:textId="77777777" w:rsidR="006E3255" w:rsidRDefault="006E3255" w:rsidP="006F447D">
      <w:pPr>
        <w:rPr>
          <w:rFonts w:cs="Arial"/>
        </w:rPr>
      </w:pPr>
    </w:p>
    <w:p w14:paraId="650C3873" w14:textId="77777777" w:rsidR="006E3255" w:rsidRDefault="006E3255" w:rsidP="006F447D">
      <w:pPr>
        <w:rPr>
          <w:rFonts w:cs="Arial"/>
        </w:rPr>
      </w:pPr>
    </w:p>
    <w:p w14:paraId="3B61F73A" w14:textId="77777777" w:rsidR="006E3255" w:rsidRDefault="006E3255" w:rsidP="006F447D">
      <w:pPr>
        <w:rPr>
          <w:rFonts w:cs="Arial"/>
        </w:rPr>
      </w:pPr>
    </w:p>
    <w:p w14:paraId="6CDA51B4" w14:textId="286303EB" w:rsidR="00A707DA" w:rsidRDefault="003E5326" w:rsidP="00A707DA">
      <w:pPr>
        <w:pStyle w:val="Heading2"/>
      </w:pPr>
      <w:bookmarkStart w:id="6" w:name="_Toc216612405"/>
      <w:r>
        <w:lastRenderedPageBreak/>
        <w:t xml:space="preserve">1.3 </w:t>
      </w:r>
      <w:r w:rsidR="00A707DA" w:rsidRPr="00141A69">
        <w:t xml:space="preserve">Aim of </w:t>
      </w:r>
      <w:r w:rsidR="00A707DA">
        <w:t xml:space="preserve">the </w:t>
      </w:r>
      <w:r w:rsidR="00A707DA" w:rsidRPr="00141A69">
        <w:t>study</w:t>
      </w:r>
      <w:bookmarkEnd w:id="6"/>
    </w:p>
    <w:p w14:paraId="464502BE" w14:textId="77777777" w:rsidR="00B009C9" w:rsidRPr="00B009C9" w:rsidRDefault="00B009C9" w:rsidP="00B009C9">
      <w:pPr>
        <w:rPr>
          <w:rFonts w:cs="Arial"/>
        </w:rPr>
      </w:pPr>
      <w:r w:rsidRPr="00B009C9">
        <w:rPr>
          <w:rFonts w:cs="Arial"/>
        </w:rPr>
        <w:t>This study aims to investigate health access and inequalities among adults in the United Kingdom, emphasising the identification of primary barriers, evaluation of current policies' effectiveness, and exploration of proposals to mitigate disparities in health outcomes.</w:t>
      </w:r>
    </w:p>
    <w:p w14:paraId="27A9CC73" w14:textId="77777777" w:rsidR="003E5326" w:rsidRPr="003E5326" w:rsidRDefault="003E5326" w:rsidP="003E5326">
      <w:pPr>
        <w:rPr>
          <w:rFonts w:cs="Arial"/>
        </w:rPr>
      </w:pPr>
    </w:p>
    <w:p w14:paraId="76CF97C9" w14:textId="612AB7A2" w:rsidR="00E10605" w:rsidRDefault="002919E9" w:rsidP="008E3756">
      <w:pPr>
        <w:pStyle w:val="Heading2"/>
        <w:numPr>
          <w:ilvl w:val="1"/>
          <w:numId w:val="20"/>
        </w:numPr>
      </w:pPr>
      <w:r>
        <w:t xml:space="preserve"> </w:t>
      </w:r>
      <w:bookmarkStart w:id="7" w:name="_Toc216612406"/>
      <w:r w:rsidR="00E10605">
        <w:t>Objec</w:t>
      </w:r>
      <w:r w:rsidR="004E3AA3">
        <w:t>tives of the study</w:t>
      </w:r>
      <w:bookmarkEnd w:id="7"/>
      <w:r w:rsidR="004E3AA3">
        <w:t xml:space="preserve"> </w:t>
      </w:r>
    </w:p>
    <w:p w14:paraId="719ACDED" w14:textId="77777777" w:rsidR="008E3756" w:rsidRDefault="009F302F" w:rsidP="008E3756">
      <w:r w:rsidRPr="009F302F">
        <w:t>The objectives of this study are:</w:t>
      </w:r>
    </w:p>
    <w:p w14:paraId="7BCA6547" w14:textId="77777777" w:rsidR="00DE0C42" w:rsidRDefault="009F302F" w:rsidP="008E3756">
      <w:pPr>
        <w:pStyle w:val="ListParagraph"/>
        <w:numPr>
          <w:ilvl w:val="0"/>
          <w:numId w:val="21"/>
        </w:numPr>
      </w:pPr>
      <w:r w:rsidRPr="009F302F">
        <w:t>To delineate and rigorously analyse the notions of health access and health disparities within the UK framework.</w:t>
      </w:r>
    </w:p>
    <w:p w14:paraId="1D0F2B6A" w14:textId="77777777" w:rsidR="00DE0C42" w:rsidRDefault="009F302F" w:rsidP="008E3756">
      <w:pPr>
        <w:pStyle w:val="ListParagraph"/>
        <w:numPr>
          <w:ilvl w:val="0"/>
          <w:numId w:val="21"/>
        </w:numPr>
      </w:pPr>
      <w:r w:rsidRPr="009F302F">
        <w:t>To examine and integrate secondary literature and official data concerning adult health disparities in connection to socioeconomic, ethnic, and geographic determinants.</w:t>
      </w:r>
    </w:p>
    <w:p w14:paraId="0F8E958C" w14:textId="77777777" w:rsidR="00DE0C42" w:rsidRDefault="009F302F" w:rsidP="008E3756">
      <w:pPr>
        <w:pStyle w:val="ListParagraph"/>
        <w:numPr>
          <w:ilvl w:val="0"/>
          <w:numId w:val="21"/>
        </w:numPr>
      </w:pPr>
      <w:r w:rsidRPr="009F302F">
        <w:t>To evaluate the impacts of policy frameworks and national policies (e.g., NHS Long Term Plan, Core20PLUS5, Marmot Review recommendations) on addressing health inequalities.</w:t>
      </w:r>
    </w:p>
    <w:p w14:paraId="18744E80" w14:textId="77777777" w:rsidR="00DE0C42" w:rsidRDefault="009F302F" w:rsidP="008E3756">
      <w:pPr>
        <w:pStyle w:val="ListParagraph"/>
        <w:numPr>
          <w:ilvl w:val="0"/>
          <w:numId w:val="21"/>
        </w:numPr>
      </w:pPr>
      <w:r w:rsidRPr="009F302F">
        <w:t>To identify and analyse new concerns, such as digital exclusion and workforce shortages, that may intensify uneven access.</w:t>
      </w:r>
    </w:p>
    <w:p w14:paraId="425751B2" w14:textId="1F4E4330" w:rsidR="009F302F" w:rsidRDefault="009F302F" w:rsidP="008E3756">
      <w:pPr>
        <w:pStyle w:val="ListParagraph"/>
        <w:numPr>
          <w:ilvl w:val="0"/>
          <w:numId w:val="21"/>
        </w:numPr>
      </w:pPr>
      <w:r w:rsidRPr="009F302F">
        <w:t>To furnish evidence-based conclusions and suggestions for policies and practices designed to enhance equity in adult health access.</w:t>
      </w:r>
    </w:p>
    <w:p w14:paraId="494BF0A7" w14:textId="77777777" w:rsidR="004E3AA3" w:rsidRDefault="004E3AA3" w:rsidP="00F47094"/>
    <w:p w14:paraId="197DDA80" w14:textId="456FCE0F" w:rsidR="007A109E" w:rsidRDefault="007A109E" w:rsidP="007A109E">
      <w:pPr>
        <w:pStyle w:val="Heading2"/>
        <w:numPr>
          <w:ilvl w:val="1"/>
          <w:numId w:val="20"/>
        </w:numPr>
      </w:pPr>
      <w:r>
        <w:t xml:space="preserve"> </w:t>
      </w:r>
      <w:bookmarkStart w:id="8" w:name="_Toc216612407"/>
      <w:r w:rsidR="00853000">
        <w:t>Structure of the dissertatio</w:t>
      </w:r>
      <w:r>
        <w:t>n</w:t>
      </w:r>
      <w:bookmarkEnd w:id="8"/>
    </w:p>
    <w:p w14:paraId="4F1AC30B" w14:textId="43D63978" w:rsidR="00451E30" w:rsidRPr="00054D61" w:rsidRDefault="00451E30" w:rsidP="00451E30">
      <w:r w:rsidRPr="00054D61">
        <w:t>This dissertation is structured into five chapters</w:t>
      </w:r>
      <w:r w:rsidR="000E252A">
        <w:t>:</w:t>
      </w:r>
    </w:p>
    <w:p w14:paraId="2ECDD435" w14:textId="77777777" w:rsidR="00120082" w:rsidRPr="00054D61" w:rsidRDefault="00451E30" w:rsidP="00451E30">
      <w:pPr>
        <w:pStyle w:val="ListParagraph"/>
        <w:numPr>
          <w:ilvl w:val="0"/>
          <w:numId w:val="22"/>
        </w:numPr>
        <w:rPr>
          <w:b/>
          <w:bCs/>
        </w:rPr>
      </w:pPr>
      <w:r w:rsidRPr="00054D61">
        <w:rPr>
          <w:b/>
          <w:bCs/>
        </w:rPr>
        <w:t xml:space="preserve">Chapter 1: </w:t>
      </w:r>
      <w:r w:rsidRPr="00054D61">
        <w:t>Introduction – presents the principal principles of the study, delineates the reasoning, aims, and objectives, and offers a synopsis of the dissertation.</w:t>
      </w:r>
    </w:p>
    <w:p w14:paraId="09DFAE65" w14:textId="77777777" w:rsidR="00054D61" w:rsidRPr="00054D61" w:rsidRDefault="00451E30" w:rsidP="00451E30">
      <w:pPr>
        <w:pStyle w:val="ListParagraph"/>
        <w:numPr>
          <w:ilvl w:val="0"/>
          <w:numId w:val="22"/>
        </w:numPr>
        <w:rPr>
          <w:b/>
          <w:bCs/>
        </w:rPr>
      </w:pPr>
      <w:r w:rsidRPr="00054D61">
        <w:rPr>
          <w:b/>
          <w:bCs/>
        </w:rPr>
        <w:t xml:space="preserve">Chapter 2: </w:t>
      </w:r>
      <w:r w:rsidRPr="00054D61">
        <w:t>Background – delineates the broader context of health disparities and accessibility in the UK, utilising essential reports, policies, and literature to provide the groundwork for the study.</w:t>
      </w:r>
    </w:p>
    <w:p w14:paraId="373C69F9" w14:textId="77777777" w:rsidR="00054D61" w:rsidRPr="00054D61" w:rsidRDefault="00451E30" w:rsidP="00054D61">
      <w:pPr>
        <w:pStyle w:val="ListParagraph"/>
        <w:numPr>
          <w:ilvl w:val="0"/>
          <w:numId w:val="22"/>
        </w:numPr>
        <w:rPr>
          <w:b/>
          <w:bCs/>
        </w:rPr>
      </w:pPr>
      <w:r w:rsidRPr="00054D61">
        <w:rPr>
          <w:b/>
          <w:bCs/>
        </w:rPr>
        <w:t xml:space="preserve">Chapter 3: </w:t>
      </w:r>
      <w:r w:rsidRPr="00054D61">
        <w:t>Methods - delineates the research design and methodological framework, emphasising the utilisation of secondary data and literature, while addressing the reasons, constraints, and ethical considerations.</w:t>
      </w:r>
    </w:p>
    <w:p w14:paraId="6C7C4A38" w14:textId="187E101A" w:rsidR="00054D61" w:rsidRPr="00054D61" w:rsidRDefault="00451E30" w:rsidP="00054D61">
      <w:pPr>
        <w:pStyle w:val="ListParagraph"/>
        <w:numPr>
          <w:ilvl w:val="0"/>
          <w:numId w:val="22"/>
        </w:numPr>
        <w:rPr>
          <w:b/>
          <w:bCs/>
        </w:rPr>
      </w:pPr>
      <w:r w:rsidRPr="00054D61">
        <w:rPr>
          <w:b/>
          <w:bCs/>
        </w:rPr>
        <w:t xml:space="preserve">Chapter 4: </w:t>
      </w:r>
      <w:r w:rsidRPr="00054D61">
        <w:t>Results and Discussion - delineates the findings from the secondary research, systematically grouped topically, and offers a critical analysis of these findings in connection to prevailing policies, literature, and the study objectives.</w:t>
      </w:r>
    </w:p>
    <w:p w14:paraId="70ACCA18" w14:textId="1C00F9CF" w:rsidR="007A109E" w:rsidRPr="000E252A" w:rsidRDefault="00451E30" w:rsidP="00451E30">
      <w:pPr>
        <w:pStyle w:val="ListParagraph"/>
        <w:numPr>
          <w:ilvl w:val="0"/>
          <w:numId w:val="22"/>
        </w:numPr>
        <w:rPr>
          <w:b/>
          <w:bCs/>
        </w:rPr>
      </w:pPr>
      <w:r w:rsidRPr="00054D61">
        <w:rPr>
          <w:b/>
          <w:bCs/>
        </w:rPr>
        <w:lastRenderedPageBreak/>
        <w:t xml:space="preserve">Chapter 5: </w:t>
      </w:r>
      <w:r w:rsidRPr="00054D61">
        <w:t>recommendations and Conclusion — encapsulates the principal findings, evaluates the research aim and objectives, presents evidence-based suggestions for policy and practice, and delineates prospective areas for future research.</w:t>
      </w:r>
    </w:p>
    <w:p w14:paraId="7DA939CD" w14:textId="2B2BDE19" w:rsidR="000E252A" w:rsidRPr="00054D61" w:rsidRDefault="000E252A" w:rsidP="00451E30">
      <w:pPr>
        <w:pStyle w:val="ListParagraph"/>
        <w:numPr>
          <w:ilvl w:val="0"/>
          <w:numId w:val="22"/>
        </w:numPr>
        <w:rPr>
          <w:b/>
          <w:bCs/>
        </w:rPr>
      </w:pPr>
      <w:r>
        <w:rPr>
          <w:b/>
          <w:bCs/>
        </w:rPr>
        <w:t>References</w:t>
      </w:r>
      <w:r w:rsidR="00FE4EE0">
        <w:rPr>
          <w:b/>
          <w:bCs/>
        </w:rPr>
        <w:t>.</w:t>
      </w:r>
    </w:p>
    <w:p w14:paraId="579B4060" w14:textId="77777777" w:rsidR="002919E9" w:rsidRDefault="002919E9" w:rsidP="002919E9"/>
    <w:p w14:paraId="70AD4215" w14:textId="77777777" w:rsidR="002919E9" w:rsidRPr="006F447D" w:rsidRDefault="002919E9" w:rsidP="00853000">
      <w:pPr>
        <w:pStyle w:val="Heading2"/>
      </w:pPr>
    </w:p>
    <w:p w14:paraId="743E9202" w14:textId="77777777" w:rsidR="0019130B" w:rsidRPr="0019130B" w:rsidRDefault="0019130B" w:rsidP="0019130B">
      <w:pPr>
        <w:rPr>
          <w:rFonts w:cs="Arial"/>
        </w:rPr>
      </w:pPr>
    </w:p>
    <w:p w14:paraId="4376BFF7" w14:textId="77777777" w:rsidR="00B96B18" w:rsidRPr="0019130B" w:rsidRDefault="00B96B18" w:rsidP="00B96B18">
      <w:pPr>
        <w:rPr>
          <w:rFonts w:cs="Arial"/>
        </w:rPr>
      </w:pPr>
    </w:p>
    <w:p w14:paraId="2122DE9A" w14:textId="77777777" w:rsidR="00514523" w:rsidRPr="001B4E53" w:rsidRDefault="00514523" w:rsidP="00514523">
      <w:pPr>
        <w:pStyle w:val="Heading2"/>
      </w:pPr>
    </w:p>
    <w:p w14:paraId="45086EAE" w14:textId="77777777" w:rsidR="00E3457E" w:rsidRPr="001B4E53" w:rsidRDefault="00E3457E" w:rsidP="00E3457E">
      <w:pPr>
        <w:rPr>
          <w:rFonts w:cs="Arial"/>
        </w:rPr>
      </w:pPr>
    </w:p>
    <w:p w14:paraId="49CC0DB4" w14:textId="77777777" w:rsidR="0056169E" w:rsidRDefault="0056169E" w:rsidP="0056169E">
      <w:pPr>
        <w:pStyle w:val="Heading2"/>
        <w:ind w:left="0"/>
      </w:pPr>
    </w:p>
    <w:p w14:paraId="728B8922" w14:textId="77777777" w:rsidR="002667F4" w:rsidRPr="003E574C" w:rsidRDefault="002667F4" w:rsidP="002667F4">
      <w:pPr>
        <w:pStyle w:val="Heading2"/>
        <w:ind w:left="0"/>
        <w:rPr>
          <w:b w:val="0"/>
        </w:rPr>
      </w:pPr>
    </w:p>
    <w:p w14:paraId="65CC7BDF" w14:textId="77777777" w:rsidR="00DA52F0" w:rsidRPr="00141A69" w:rsidRDefault="00DA52F0" w:rsidP="00DA52F0">
      <w:pPr>
        <w:mirrorIndents/>
        <w:jc w:val="both"/>
        <w:rPr>
          <w:rFonts w:eastAsia="Arial Unicode MS" w:cs="Arial"/>
        </w:rPr>
      </w:pPr>
    </w:p>
    <w:p w14:paraId="7F7039E8" w14:textId="77777777" w:rsidR="00766D97" w:rsidRPr="00141A69" w:rsidRDefault="00766D97" w:rsidP="00DA52F0">
      <w:pPr>
        <w:mirrorIndents/>
        <w:jc w:val="both"/>
        <w:rPr>
          <w:rFonts w:eastAsia="Arial Unicode MS" w:cs="Arial"/>
        </w:rPr>
      </w:pPr>
    </w:p>
    <w:p w14:paraId="0F6A78E4"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sz w:val="28"/>
          <w:szCs w:val="28"/>
        </w:rPr>
      </w:pPr>
    </w:p>
    <w:p w14:paraId="02AC73C3"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i/>
        </w:rPr>
      </w:pPr>
    </w:p>
    <w:p w14:paraId="49BCB2A1" w14:textId="77777777" w:rsidR="00585286" w:rsidRPr="00141A69" w:rsidRDefault="00585286" w:rsidP="00DA52F0">
      <w:pPr>
        <w:mirrorIndents/>
        <w:jc w:val="both"/>
        <w:rPr>
          <w:rFonts w:eastAsia="Arial Unicode MS" w:cs="Arial"/>
          <w:b/>
          <w:u w:val="single"/>
        </w:rPr>
      </w:pPr>
    </w:p>
    <w:p w14:paraId="0B4C91FF" w14:textId="77777777" w:rsidR="003F2B6D" w:rsidRPr="00141A69" w:rsidRDefault="003F2B6D" w:rsidP="00DA52F0">
      <w:pPr>
        <w:mirrorIndents/>
        <w:rPr>
          <w:b/>
          <w:sz w:val="32"/>
          <w:szCs w:val="32"/>
        </w:rPr>
      </w:pPr>
      <w:r w:rsidRPr="00141A69">
        <w:br w:type="page"/>
      </w:r>
    </w:p>
    <w:p w14:paraId="4D91CDA7" w14:textId="4AA73943" w:rsidR="003F2B6D" w:rsidRPr="00DB5F3B" w:rsidRDefault="003F2B6D" w:rsidP="00DB5F3B">
      <w:pPr>
        <w:pStyle w:val="Heading1"/>
        <w:ind w:left="0"/>
        <w:mirrorIndents/>
        <w:jc w:val="center"/>
      </w:pPr>
      <w:bookmarkStart w:id="9" w:name="_Toc216612408"/>
      <w:r w:rsidRPr="00141A69">
        <w:lastRenderedPageBreak/>
        <w:t>CHAPTER 2: BACKGROUND</w:t>
      </w:r>
      <w:bookmarkEnd w:id="9"/>
    </w:p>
    <w:p w14:paraId="61E1801B" w14:textId="35F59442" w:rsidR="00114BFD" w:rsidRPr="00141A69" w:rsidRDefault="00114BFD" w:rsidP="00DA52F0">
      <w:pPr>
        <w:mirrorIndents/>
        <w:jc w:val="both"/>
        <w:rPr>
          <w:rFonts w:eastAsia="Arial Unicode MS" w:cs="Arial"/>
          <w:bCs/>
        </w:rPr>
      </w:pPr>
    </w:p>
    <w:p w14:paraId="641BD936" w14:textId="2ED198A4" w:rsidR="00114BFD" w:rsidRDefault="00896929" w:rsidP="00896929">
      <w:pPr>
        <w:pStyle w:val="Heading2"/>
        <w:numPr>
          <w:ilvl w:val="1"/>
          <w:numId w:val="24"/>
        </w:numPr>
      </w:pPr>
      <w:bookmarkStart w:id="10" w:name="_Toc216612409"/>
      <w:r>
        <w:t>Historical background</w:t>
      </w:r>
      <w:bookmarkEnd w:id="10"/>
    </w:p>
    <w:p w14:paraId="2A62B6BE" w14:textId="77777777" w:rsidR="006236D8" w:rsidRPr="006236D8" w:rsidRDefault="006236D8" w:rsidP="006236D8">
      <w:r w:rsidRPr="006236D8">
        <w:t>The evolution of health services and the rise of health inequalities in the United Kingdom are fundamentally linked to the nation’s social and political history.  The establishment of the National Health Service (NHS) in 1948 marked a significant advancement in social policy, providing universal healthcare access at no cost at the point of delivery (Rivett, 1998).  The foundational principle was equity: services provided to all based on need rather than ability to pay.  Despite the NHS eliminating financial barriers, structural inequalities in health outcomes continued to exist, primarily influenced by socioeconomic conditions and broader determinants of health.</w:t>
      </w:r>
    </w:p>
    <w:p w14:paraId="0505F429" w14:textId="77777777" w:rsidR="004E2C09" w:rsidRDefault="004E2C09" w:rsidP="006236D8"/>
    <w:p w14:paraId="08FD10D9" w14:textId="1EA6EE05" w:rsidR="006236D8" w:rsidRPr="006236D8" w:rsidRDefault="006236D8" w:rsidP="006236D8">
      <w:r w:rsidRPr="006236D8">
        <w:t xml:space="preserve"> The Black Report (1980) was one of the earliest and most significant evaluations of health disparities, emphasising the ongoing health inequalities across social classes, even with the establishment of the NHS (Townsend and Davidson, 1982).  The study found that mortality and morbidity rates were significantly elevated in manual working-class populations relative to non-manual groups.  It was emphasised that these inequalities cannot be attributed solely to healthcare provision, but rather to underlying social and economic conditions.</w:t>
      </w:r>
    </w:p>
    <w:p w14:paraId="0201AB46" w14:textId="48522FFA" w:rsidR="006236D8" w:rsidRPr="006236D8" w:rsidRDefault="006236D8" w:rsidP="006236D8">
      <w:r w:rsidRPr="006236D8">
        <w:t>The Acheson Report (1998) reinforced this perspective by examining health outcome inequalities and recommending comprehensive policy actions to address social determinants, including income, education, housing, and employment.  Twenty years later, the Marmot Review (2010) established a significant framework by explicitly addressing the social determinants of health and outlining six objectives aimed at reducing health inequalities.  Although its recommendations are widely acknowledged, progress has been constrained.  The follow-up review, Health Equity in England: The Marmot Review 10 Years On (2020), indicated increasing inequalities, especially in life expectancy, with reductions observed in certain highly deprived communities.</w:t>
      </w:r>
    </w:p>
    <w:p w14:paraId="208C11E9" w14:textId="77777777" w:rsidR="004E2C09" w:rsidRDefault="004E2C09" w:rsidP="006236D8"/>
    <w:p w14:paraId="4938B2B6" w14:textId="4547879B" w:rsidR="006236D8" w:rsidRPr="006236D8" w:rsidRDefault="006236D8" w:rsidP="006236D8">
      <w:r w:rsidRPr="006236D8">
        <w:t xml:space="preserve"> Austerity policies implemented following the 2008 financial crisis significantly influenced the development of health inequalities in the UK. Decreased funding for local government, reductions in public health budgets, and stagnant investment in social services have disproportionately impacted deprived communities (Health Foundation, 2020).  The observed trends resulted in a deceleration of life expectancy advancements, particularly affecting the most disadvantaged populations.</w:t>
      </w:r>
    </w:p>
    <w:p w14:paraId="1F2CCE3B" w14:textId="77777777" w:rsidR="006236D8" w:rsidRPr="006236D8" w:rsidRDefault="006236D8" w:rsidP="006236D8"/>
    <w:p w14:paraId="7DECE0EB" w14:textId="14F0664F" w:rsidR="00C41672" w:rsidRDefault="006236D8" w:rsidP="006236D8">
      <w:r w:rsidRPr="006236D8">
        <w:lastRenderedPageBreak/>
        <w:t xml:space="preserve"> The COVID-19 pandemic recently highlighted the persistence of these inequalities.  Public Health England (2020) reported that individuals in deprived areas, ethnic minority groups, and those with insecure employment or inadequate housing conditions face disproportionate risks.  This represents a continuation of the historical trend indicating that health inequalities, although long recognised, persist despite policy interventions.</w:t>
      </w:r>
    </w:p>
    <w:p w14:paraId="7A2207E3" w14:textId="77777777" w:rsidR="00D8005E" w:rsidRPr="006236D8" w:rsidRDefault="00D8005E" w:rsidP="006236D8"/>
    <w:p w14:paraId="36957C29" w14:textId="0EE3B7EB" w:rsidR="00896929" w:rsidRDefault="00896929" w:rsidP="00896929">
      <w:pPr>
        <w:pStyle w:val="Heading2"/>
        <w:numPr>
          <w:ilvl w:val="1"/>
          <w:numId w:val="24"/>
        </w:numPr>
      </w:pPr>
      <w:bookmarkStart w:id="11" w:name="_Toc216612410"/>
      <w:r>
        <w:t>Theorical background</w:t>
      </w:r>
      <w:bookmarkEnd w:id="11"/>
    </w:p>
    <w:p w14:paraId="664EC3C6" w14:textId="77777777" w:rsidR="00D8005E" w:rsidRDefault="00D8005E" w:rsidP="00D8005E">
      <w:r>
        <w:t>Health inequalities are most effectively comprehended through several theoretical frameworks that elucidate how structural and social circumstances influence health outcomes.</w:t>
      </w:r>
    </w:p>
    <w:p w14:paraId="76B97544" w14:textId="77777777" w:rsidR="00D8005E" w:rsidRDefault="00D8005E" w:rsidP="00D8005E"/>
    <w:p w14:paraId="43D4B8F3" w14:textId="77777777" w:rsidR="00D8005E" w:rsidRDefault="00D8005E" w:rsidP="00D8005E">
      <w:r>
        <w:t xml:space="preserve"> The social determinants of health concept, endorsed by the World Health Organisation (Solar and Irwin, 2010) and incorporated in the Marmot Review (2010), emphasises the impact of the environments in which individuals are born, develop, reside, engage in employment, and age on health outcomes.  The determinants encompass socioeconomic status, education, housing, environment, and healthcare accessibility.  Inequalities stem not from biological disparities but from the inequitable allocation of resources and opportunity.</w:t>
      </w:r>
    </w:p>
    <w:p w14:paraId="52C816DF" w14:textId="77777777" w:rsidR="00D8005E" w:rsidRDefault="00D8005E" w:rsidP="00D8005E"/>
    <w:p w14:paraId="6122459F" w14:textId="77777777" w:rsidR="00D8005E" w:rsidRDefault="00D8005E" w:rsidP="00D8005E">
      <w:r>
        <w:t xml:space="preserve"> The inverse care law, initially proposed by Tudor Hart in 1971, continues to serve as a fundamental theoretical framework for comprehending access.  It posits that "the accessibility of quality medical care generally decreases as the demand for it increases."  Consequently, individuals with the most significant health requirements frequently encounter the most substantial obstacles to obtaining adequate healthcare.  Notwithstanding the universal character of the NHS, data persists indicating that disadvantaged populations encounter a deficit of healthcare professionals, extended waiting periods, and inferior health outcomes (The King’s Fund, 2021).</w:t>
      </w:r>
    </w:p>
    <w:p w14:paraId="7AD5D214" w14:textId="77777777" w:rsidR="00D8005E" w:rsidRDefault="00D8005E" w:rsidP="00D8005E"/>
    <w:p w14:paraId="77E949FD" w14:textId="5E0A27F0" w:rsidR="00D8005E" w:rsidRDefault="00D8005E" w:rsidP="00D8005E">
      <w:r>
        <w:t xml:space="preserve"> Another significant paradigm is intersectionality (Crenshaw, 1989), which elucidates how intersecting types of disadvantage — including socioeconomic position, ethnicity, gender, and disability — converge to create distinct experiences of inequality. In the UK, intersectionality is manifested in inequities, exemplified by the elevated maternal mortality rates among Black women relative to White women, and the disproportionate effects of COVID-19 on ethnic minority communities (NHS Race and Health Observatory, 2021).</w:t>
      </w:r>
    </w:p>
    <w:p w14:paraId="4BC87183" w14:textId="77777777" w:rsidR="00D8005E" w:rsidRDefault="00D8005E" w:rsidP="00D8005E"/>
    <w:p w14:paraId="72E72625" w14:textId="4902D1F3" w:rsidR="00D8005E" w:rsidRDefault="00D8005E" w:rsidP="00D8005E">
      <w:r>
        <w:t xml:space="preserve"> Theories of structural inequality and social fairness (Rawls, 1971; Whitehead, 1992) serve as the foundation for policy discussions about health access. These theories contend that </w:t>
      </w:r>
      <w:r>
        <w:lastRenderedPageBreak/>
        <w:t>health disparities signify wider injustices in the allocation of resources and authority.  From this viewpoint, healthcare constitutes not merely a service but also a social entitlement, and rectifying disparities necessitates systemic reform beyond the healthcare industry.</w:t>
      </w:r>
    </w:p>
    <w:p w14:paraId="2F400CB4" w14:textId="77777777" w:rsidR="00D8005E" w:rsidRDefault="00D8005E" w:rsidP="00D8005E"/>
    <w:p w14:paraId="445CB3BE" w14:textId="173DA657" w:rsidR="007F2581" w:rsidRDefault="007F2581" w:rsidP="00896929">
      <w:pPr>
        <w:pStyle w:val="Heading2"/>
        <w:numPr>
          <w:ilvl w:val="1"/>
          <w:numId w:val="24"/>
        </w:numPr>
      </w:pPr>
      <w:bookmarkStart w:id="12" w:name="_Toc216612411"/>
      <w:r>
        <w:t>International context</w:t>
      </w:r>
      <w:bookmarkEnd w:id="12"/>
    </w:p>
    <w:p w14:paraId="095F542C" w14:textId="1000145B" w:rsidR="00DB5F3B" w:rsidRDefault="00DB5F3B" w:rsidP="00DB5F3B">
      <w:r>
        <w:t>Health inequalities represent a worldwide issue, with variations among countries in their effectiveness in addressing these disparities. The World Health Organization’s Commission on Social Determinants of Health (WHO, 2008) advocated for initiatives addressing social determinants to eliminate the “health gap within a generation.”  It highlighted that inequities are socially constructed, systematic, and preventable.</w:t>
      </w:r>
    </w:p>
    <w:p w14:paraId="292CE14B" w14:textId="77777777" w:rsidR="00DB5F3B" w:rsidRDefault="00DB5F3B" w:rsidP="00DB5F3B"/>
    <w:p w14:paraId="39CBD4C3" w14:textId="6E199284" w:rsidR="00DB5F3B" w:rsidRDefault="00DB5F3B" w:rsidP="00DB5F3B">
      <w:r>
        <w:t xml:space="preserve"> The UK holds a mixed position relative to other high-income countries. The NHS offers universal coverage, eliminating numerous financial barriers found in market-based systems like that of the United States.  In the United States, disparities are pronounced: uninsured populations experience markedly poorer access and outcomes (Bambra et al., 2019). Nordic countries, including Sweden and Norway, demonstrate narrower health inequalities compared to the UK, attributed to their robust welfare systems and more generous social policies.</w:t>
      </w:r>
    </w:p>
    <w:p w14:paraId="5BAE0080" w14:textId="77777777" w:rsidR="00DB5F3B" w:rsidRDefault="00DB5F3B" w:rsidP="00DB5F3B"/>
    <w:p w14:paraId="3D56092A" w14:textId="4A8606D5" w:rsidR="00DB5F3B" w:rsidRDefault="00DB5F3B" w:rsidP="00DB5F3B">
      <w:r>
        <w:t xml:space="preserve"> Cross-national comparisons indicate that universal healthcare systems are crucial for mitigating inequalities; however, they are inadequate in isolation and must be complemented by comprehensive social and economic policies to tackle structural determinants. Research indicates that nations with strong welfare systems generally achieve superior health equity results (Beckfield and Bambra, 2016).  The enduring inequalities in the UK, despite the presence of universal coverage, underscore the limitations of healthcare provision in mitigating disparities.</w:t>
      </w:r>
    </w:p>
    <w:p w14:paraId="28AA61DB" w14:textId="77777777" w:rsidR="00DB5F3B" w:rsidRDefault="00DB5F3B" w:rsidP="00DB5F3B"/>
    <w:p w14:paraId="4CA145D7" w14:textId="1CE2F963" w:rsidR="00960831" w:rsidRDefault="00DB5F3B" w:rsidP="00DB5F3B">
      <w:r>
        <w:t xml:space="preserve"> International evidence during the COVID-19 pandemic indicated that disadvantaged groups were disproportionately affected across most countries. The extent varied based on welfare protections, housing systems, and labour market policies (Bambra et al., 2021). This situates the UK within the wider global efforts to mitigate inequities, simultaneously highlighting the distinct challenges arising from its socioeconomic and policy environment.</w:t>
      </w:r>
    </w:p>
    <w:p w14:paraId="2B5C3231" w14:textId="77777777" w:rsidR="00275E41" w:rsidRDefault="00275E41" w:rsidP="00DB5F3B"/>
    <w:p w14:paraId="76E1B74D" w14:textId="77777777" w:rsidR="0017746E" w:rsidRDefault="0017746E" w:rsidP="00DB5F3B"/>
    <w:p w14:paraId="1AFB8A9D" w14:textId="77777777" w:rsidR="0017746E" w:rsidRDefault="0017746E" w:rsidP="00DB5F3B"/>
    <w:p w14:paraId="33637276" w14:textId="77777777" w:rsidR="0017746E" w:rsidRDefault="0017746E" w:rsidP="00DB5F3B"/>
    <w:p w14:paraId="614D833B" w14:textId="3720AD3B" w:rsidR="007F2581" w:rsidRDefault="00C41672" w:rsidP="00896929">
      <w:pPr>
        <w:pStyle w:val="Heading2"/>
        <w:numPr>
          <w:ilvl w:val="1"/>
          <w:numId w:val="24"/>
        </w:numPr>
      </w:pPr>
      <w:bookmarkStart w:id="13" w:name="_Toc216612412"/>
      <w:r>
        <w:lastRenderedPageBreak/>
        <w:t>National/Local context</w:t>
      </w:r>
      <w:bookmarkEnd w:id="13"/>
    </w:p>
    <w:p w14:paraId="54A01744" w14:textId="2390750F" w:rsidR="00DA52F0" w:rsidRDefault="00DA52F0">
      <w:pPr>
        <w:rPr>
          <w:rFonts w:eastAsia="Arial Unicode MS" w:cs="Arial"/>
          <w:b/>
        </w:rPr>
      </w:pPr>
    </w:p>
    <w:p w14:paraId="573162AE" w14:textId="77777777" w:rsidR="00EF4D87" w:rsidRDefault="005D0C87" w:rsidP="005D0C87">
      <w:r w:rsidRPr="005D0C87">
        <w:t>At the national level, addressing health inequalities has been a stated policy priority. The NHS Long Term Plan (2019) aims to mitigate health disparities through an emphasis on prevention, mental health, and community-oriented services. NHS England recently introduced the Core20PLUS5 framework, aimed at the most deprived 20% of the population, focussing on five priority clinical areas: maternity, severe mental illness, chronic respiratory disease, early cancer diagnosis, and cardiovascular disease (NHS England, 2021). These initiatives signify attempts to integrate inequality reduction into the operational framework of the NHS.</w:t>
      </w:r>
      <w:r w:rsidRPr="005D0C87">
        <w:br/>
      </w:r>
      <w:r w:rsidRPr="005D0C87">
        <w:br/>
        <w:t xml:space="preserve">Notwithstanding these commitments, advancements have been constrained. The Health Foundation (2022) indicates that inequalities persist and, in certain instances, have expanded. The disparity in life expectancy between the most and least deprived regions exceeds nine years for men and seven years for women, with the gap in healthy life expectancy approaching two decades (ONS, 2022). These disparities encompass not only </w:t>
      </w:r>
    </w:p>
    <w:p w14:paraId="63004D2B" w14:textId="77777777" w:rsidR="00130601" w:rsidRDefault="00130601" w:rsidP="005D0C87"/>
    <w:p w14:paraId="3208B4D6" w14:textId="7BC22B33" w:rsidR="005D0C87" w:rsidRPr="005D0C87" w:rsidRDefault="005D0C87" w:rsidP="005D0C87">
      <w:r w:rsidRPr="005D0C87">
        <w:br/>
        <w:t>Integrated Care Systems (ICSs), established in 2022, are responsible for coordinating health and social care services at the local level to mitigate inequalities. Local authorities possess statutory obligations regarding public health. This localised emphasis indicates an understanding that solutions should be customised to meet the specific needs of the community. Urban areas in Northern England encounter issues related to industrial decline, unemployment, and inadequate housing, whereas rural communities experience shortages of general practitioners and transportation obstacles (The King’s Fund, 2021).</w:t>
      </w:r>
      <w:r w:rsidRPr="005D0C87">
        <w:br/>
      </w:r>
      <w:r w:rsidRPr="005D0C87">
        <w:br/>
        <w:t>The COVID-19 pandemic exerted significant strain on local systems while simultaneously underscoring the critical role of community-level interventions. Local councils, charities, and voluntary organisations significantly contributed to the support of vulnerable adults through initiatives such as food parcel delivery and assistance with digital access. This indicates that although national policy establishes the framework, local initiatives are essential for implementing commitments effectively.</w:t>
      </w:r>
    </w:p>
    <w:p w14:paraId="4048B115" w14:textId="77777777" w:rsidR="009953E7" w:rsidRDefault="009953E7" w:rsidP="009953E7"/>
    <w:p w14:paraId="5BBAB26C" w14:textId="77777777" w:rsidR="0019537B" w:rsidRDefault="0019537B" w:rsidP="009953E7"/>
    <w:p w14:paraId="6F645561" w14:textId="77777777" w:rsidR="0019537B" w:rsidRDefault="0019537B" w:rsidP="009953E7"/>
    <w:p w14:paraId="7B83DF3F" w14:textId="77777777" w:rsidR="0019537B" w:rsidRPr="005D0C87" w:rsidRDefault="0019537B" w:rsidP="009953E7"/>
    <w:p w14:paraId="6D7FB415" w14:textId="554A8649" w:rsidR="005C2C7A" w:rsidRPr="00141A69" w:rsidRDefault="005C2C7A" w:rsidP="00114BFD">
      <w:pPr>
        <w:pStyle w:val="Heading1"/>
        <w:ind w:left="0"/>
        <w:jc w:val="center"/>
      </w:pPr>
      <w:bookmarkStart w:id="14" w:name="_Toc216612413"/>
      <w:r w:rsidRPr="00141A69">
        <w:lastRenderedPageBreak/>
        <w:t xml:space="preserve">CHAPTER </w:t>
      </w:r>
      <w:r w:rsidR="00114BFD" w:rsidRPr="00141A69">
        <w:t>3</w:t>
      </w:r>
      <w:r w:rsidRPr="00141A69">
        <w:t xml:space="preserve">: </w:t>
      </w:r>
      <w:r w:rsidR="00114BFD" w:rsidRPr="00141A69">
        <w:t>METHODS</w:t>
      </w:r>
      <w:bookmarkEnd w:id="14"/>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rPr>
      </w:pPr>
    </w:p>
    <w:p w14:paraId="4738F78A" w14:textId="5681CFBE" w:rsidR="00114BFD" w:rsidRDefault="00327C72"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pPr>
      <w:r>
        <w:t xml:space="preserve">This chapter presents the research methodology employed to examine </w:t>
      </w:r>
      <w:r w:rsidR="002351AE">
        <w:t xml:space="preserve">issue in </w:t>
      </w:r>
      <w:r>
        <w:t xml:space="preserve">health access and </w:t>
      </w:r>
      <w:r w:rsidR="00B73918">
        <w:t xml:space="preserve">inequalities </w:t>
      </w:r>
      <w:r w:rsidR="005F32F1">
        <w:t xml:space="preserve">in </w:t>
      </w:r>
      <w:r>
        <w:t>adults in the United Kingdom. It provides a clear justification for the adoption of a secondary research approach, outlines the procedures for data collection and analysis, and explores the ethical considerations associated with the study. The overarching aim is to ensure transparency, reliability, and methodological rigour in the interpretation and synthesis of existing evidence.</w:t>
      </w:r>
    </w:p>
    <w:p w14:paraId="015180C8" w14:textId="77777777" w:rsidR="00D623F3" w:rsidRDefault="00D623F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pPr>
    </w:p>
    <w:p w14:paraId="17727DB6" w14:textId="77777777" w:rsidR="00D623F3" w:rsidRDefault="00D623F3" w:rsidP="00D623F3">
      <w:r>
        <w:t>This dissertation employs a secondary research design, focussing on the analysis and synthesis of existing data and literature instead of gathering primary data through surveys or interviews.  Johnston (2017) defines secondary research as a systematic method for identifying, evaluating, and interpreting data collected by other researchers, institutions, or organisations.  This design was selected for its capacity to integrate various high-quality data sources—including government reports, peer-reviewed journals, and policy documents—to furnish a comprehensive understanding of health inequalities and access within the UK context.</w:t>
      </w:r>
    </w:p>
    <w:p w14:paraId="0310CC1B" w14:textId="77777777" w:rsidR="00D623F3" w:rsidRDefault="00D623F3" w:rsidP="00D623F3"/>
    <w:p w14:paraId="1A8F524C" w14:textId="42F84D6F" w:rsidR="00D623F3" w:rsidRDefault="00D623F3" w:rsidP="00D623F3">
      <w:r>
        <w:t>The secondary research methodology is especially appropriate for this subject for three primary reasons:</w:t>
      </w:r>
    </w:p>
    <w:p w14:paraId="613CF8C7" w14:textId="1E8A4CAF" w:rsidR="00D623F3" w:rsidRDefault="00D623F3" w:rsidP="00D623F3">
      <w:pPr>
        <w:pStyle w:val="ListParagraph"/>
        <w:numPr>
          <w:ilvl w:val="0"/>
          <w:numId w:val="26"/>
        </w:numPr>
      </w:pPr>
      <w:r>
        <w:t>A substantial body of published evidence and official statistics regarding health inequalities in the UK already exists.</w:t>
      </w:r>
    </w:p>
    <w:p w14:paraId="37EAE628" w14:textId="25DBD1CC" w:rsidR="00D623F3" w:rsidRDefault="00D623F3" w:rsidP="00D623F3">
      <w:pPr>
        <w:pStyle w:val="ListParagraph"/>
        <w:numPr>
          <w:ilvl w:val="0"/>
          <w:numId w:val="26"/>
        </w:numPr>
      </w:pPr>
      <w:r>
        <w:t>The study intends to examine existing knowledge and the effects of policy rather than gather new personal data.</w:t>
      </w:r>
    </w:p>
    <w:p w14:paraId="217C8DAA" w14:textId="7A725C15" w:rsidR="00273797" w:rsidRDefault="00D623F3" w:rsidP="00D623F3">
      <w:pPr>
        <w:pStyle w:val="ListParagraph"/>
        <w:numPr>
          <w:ilvl w:val="0"/>
          <w:numId w:val="26"/>
        </w:numPr>
      </w:pPr>
      <w:r>
        <w:t>Ethical and practical limitations, including time and resources, render secondary analysis a more viable and ethical method for undergraduate and postgraduate research (Saunders, Lewis, and Thornhill, 2019).</w:t>
      </w:r>
    </w:p>
    <w:p w14:paraId="7245DB8E" w14:textId="77777777" w:rsidR="00814E4E" w:rsidRDefault="00814E4E" w:rsidP="00D623F3">
      <w:pPr>
        <w:pStyle w:val="ListParagraph"/>
        <w:ind w:left="778" w:firstLine="0"/>
      </w:pPr>
    </w:p>
    <w:p w14:paraId="4F46DA51" w14:textId="77777777" w:rsidR="00F21BAA" w:rsidRDefault="00F21BAA" w:rsidP="00D623F3">
      <w:pPr>
        <w:pStyle w:val="ListParagraph"/>
        <w:ind w:left="778" w:firstLine="0"/>
      </w:pPr>
    </w:p>
    <w:p w14:paraId="5DD023EA" w14:textId="77777777" w:rsidR="00F21BAA" w:rsidRDefault="00F21BAA" w:rsidP="00D623F3">
      <w:pPr>
        <w:pStyle w:val="ListParagraph"/>
        <w:ind w:left="778" w:firstLine="0"/>
      </w:pPr>
    </w:p>
    <w:p w14:paraId="0A62732D" w14:textId="77777777" w:rsidR="00F21BAA" w:rsidRDefault="00F21BAA" w:rsidP="00D623F3">
      <w:pPr>
        <w:pStyle w:val="ListParagraph"/>
        <w:ind w:left="778" w:firstLine="0"/>
      </w:pPr>
    </w:p>
    <w:p w14:paraId="77F93F87" w14:textId="77777777" w:rsidR="00F21BAA" w:rsidRDefault="00F21BAA" w:rsidP="00D623F3">
      <w:pPr>
        <w:pStyle w:val="ListParagraph"/>
        <w:ind w:left="778" w:firstLine="0"/>
      </w:pPr>
    </w:p>
    <w:p w14:paraId="1A543D54" w14:textId="77777777" w:rsidR="00F21BAA" w:rsidRDefault="00F21BAA" w:rsidP="00D623F3">
      <w:pPr>
        <w:pStyle w:val="ListParagraph"/>
        <w:ind w:left="778" w:firstLine="0"/>
      </w:pPr>
    </w:p>
    <w:p w14:paraId="16735448" w14:textId="77777777" w:rsidR="00F21BAA" w:rsidRDefault="00F21BAA" w:rsidP="00D623F3">
      <w:pPr>
        <w:pStyle w:val="ListParagraph"/>
        <w:ind w:left="778" w:firstLine="0"/>
      </w:pPr>
    </w:p>
    <w:p w14:paraId="62B23FAA" w14:textId="77777777" w:rsidR="00F21BAA" w:rsidRDefault="00F21BAA" w:rsidP="00D623F3">
      <w:pPr>
        <w:pStyle w:val="ListParagraph"/>
        <w:ind w:left="778" w:firstLine="0"/>
      </w:pPr>
    </w:p>
    <w:p w14:paraId="44A3C608" w14:textId="77777777" w:rsidR="00F21BAA" w:rsidRPr="000B5F85" w:rsidRDefault="00F21BAA" w:rsidP="00D623F3">
      <w:pPr>
        <w:pStyle w:val="ListParagraph"/>
        <w:ind w:left="778" w:firstLine="0"/>
      </w:pPr>
    </w:p>
    <w:p w14:paraId="057C46D2" w14:textId="7434DF3B" w:rsidR="00A56968" w:rsidRDefault="00273797" w:rsidP="00A56968">
      <w:pPr>
        <w:pStyle w:val="Heading2"/>
        <w:numPr>
          <w:ilvl w:val="0"/>
          <w:numId w:val="25"/>
        </w:numPr>
      </w:pPr>
      <w:bookmarkStart w:id="15" w:name="_Toc216612414"/>
      <w:r>
        <w:lastRenderedPageBreak/>
        <w:t>Data Collection</w:t>
      </w:r>
      <w:bookmarkEnd w:id="15"/>
    </w:p>
    <w:p w14:paraId="38950686" w14:textId="2E66CC84" w:rsidR="00CA57D2" w:rsidRPr="009B2902" w:rsidRDefault="000876C5" w:rsidP="009B2902">
      <w:pPr>
        <w:pStyle w:val="Heading3"/>
      </w:pPr>
      <w:bookmarkStart w:id="16" w:name="_Toc216612415"/>
      <w:r w:rsidRPr="009B2902">
        <w:t xml:space="preserve">1.1 </w:t>
      </w:r>
      <w:r w:rsidR="00CA57D2" w:rsidRPr="009B2902">
        <w:t>Data Sour</w:t>
      </w:r>
      <w:r w:rsidR="00F21BAA" w:rsidRPr="009B2902">
        <w:t>ce</w:t>
      </w:r>
      <w:bookmarkEnd w:id="16"/>
    </w:p>
    <w:p w14:paraId="482826A2" w14:textId="77777777" w:rsidR="00CA57D2" w:rsidRDefault="00CA57D2" w:rsidP="002073C5">
      <w:r>
        <w:t>This study draws upon a range of secondary data sources to explore health access and disparities among adults in the United Kingdom. These include:</w:t>
      </w:r>
    </w:p>
    <w:p w14:paraId="101AFD93" w14:textId="77777777" w:rsidR="00CA57D2" w:rsidRDefault="00CA57D2" w:rsidP="002073C5">
      <w:pPr>
        <w:pStyle w:val="ListParagraph"/>
        <w:numPr>
          <w:ilvl w:val="0"/>
          <w:numId w:val="32"/>
        </w:numPr>
      </w:pPr>
      <w:r>
        <w:t>Scholarly Literature: Peer-reviewed journal articles and academic books that provide both theoretical frameworks—such as the social determinants of health and intersectionality—and empirical evidence on health inequalities.</w:t>
      </w:r>
    </w:p>
    <w:p w14:paraId="03F4362A" w14:textId="77777777" w:rsidR="00CA57D2" w:rsidRDefault="00CA57D2" w:rsidP="002073C5">
      <w:pPr>
        <w:pStyle w:val="ListParagraph"/>
        <w:numPr>
          <w:ilvl w:val="0"/>
          <w:numId w:val="32"/>
        </w:numPr>
      </w:pPr>
      <w:r>
        <w:t>Government and Official Publications: Reports and datasets from authoritative bodies including the Office for National Statistics (ONS), Public Health England, NHS England, and the Department of Health and Social Care.</w:t>
      </w:r>
    </w:p>
    <w:p w14:paraId="4F95C7E4" w14:textId="77777777" w:rsidR="00CA57D2" w:rsidRDefault="00CA57D2" w:rsidP="002073C5">
      <w:pPr>
        <w:pStyle w:val="ListParagraph"/>
        <w:numPr>
          <w:ilvl w:val="0"/>
          <w:numId w:val="32"/>
        </w:numPr>
      </w:pPr>
      <w:r>
        <w:t>Independent Research Organisations and Think Tanks: Analyses and policy briefs from institutions such as The King’s Fund, The Health Foundation, and the Institute of Health Equity, which offer critical insights into systemic issues and policy responses.</w:t>
      </w:r>
    </w:p>
    <w:p w14:paraId="190D2950" w14:textId="6C928303" w:rsidR="00CA57D2" w:rsidRDefault="00CA57D2" w:rsidP="00B715D5">
      <w:pPr>
        <w:pStyle w:val="ListParagraph"/>
        <w:numPr>
          <w:ilvl w:val="0"/>
          <w:numId w:val="32"/>
        </w:numPr>
      </w:pPr>
      <w:r>
        <w:t>International Sources: Key documents from global organisations such as the World Health Organization (WHO) and The Commonwealth Fund were reviewed to provide comparative international perspectives on health equity.</w:t>
      </w:r>
    </w:p>
    <w:p w14:paraId="2EE3C416" w14:textId="77777777" w:rsidR="00A56968" w:rsidRDefault="00A56968" w:rsidP="00A56968">
      <w:pPr>
        <w:pStyle w:val="ListParagraph"/>
        <w:ind w:left="720" w:firstLine="0"/>
      </w:pPr>
    </w:p>
    <w:p w14:paraId="78F79ED8" w14:textId="77C74875" w:rsidR="00CA57D2" w:rsidRDefault="009941DB" w:rsidP="009B2902">
      <w:pPr>
        <w:pStyle w:val="Heading3"/>
      </w:pPr>
      <w:bookmarkStart w:id="17" w:name="_Toc216612416"/>
      <w:r>
        <w:t>1.2 Inclusion and exclusion criteria</w:t>
      </w:r>
      <w:bookmarkEnd w:id="17"/>
    </w:p>
    <w:p w14:paraId="73A54D6D" w14:textId="77777777" w:rsidR="009E7BA6" w:rsidRDefault="009E7BA6" w:rsidP="009E7BA6">
      <w:r w:rsidRPr="009E7BA6">
        <w:rPr>
          <w:b/>
          <w:bCs/>
        </w:rPr>
        <w:t>Inclusion criteria</w:t>
      </w:r>
      <w:r>
        <w:t xml:space="preserve"> </w:t>
      </w:r>
    </w:p>
    <w:p w14:paraId="5B11A37C" w14:textId="42C3FBF2" w:rsidR="009E7BA6" w:rsidRDefault="009E7BA6" w:rsidP="009E7BA6">
      <w:r>
        <w:t>were implemented during data selection to guarantee relevance and quality.  Sources were incorporated if they:</w:t>
      </w:r>
    </w:p>
    <w:p w14:paraId="463CE32F" w14:textId="771668FE" w:rsidR="009E7BA6" w:rsidRDefault="009E7BA6" w:rsidP="00F40262">
      <w:pPr>
        <w:pStyle w:val="ListParagraph"/>
        <w:numPr>
          <w:ilvl w:val="0"/>
          <w:numId w:val="33"/>
        </w:numPr>
      </w:pPr>
      <w:r>
        <w:t>Published in English from 2010 to 2025</w:t>
      </w:r>
      <w:r w:rsidR="00F40262">
        <w:t>.</w:t>
      </w:r>
    </w:p>
    <w:p w14:paraId="3887F295" w14:textId="7E18BD3B" w:rsidR="00F40262" w:rsidRDefault="009E7BA6" w:rsidP="009E7BA6">
      <w:pPr>
        <w:pStyle w:val="ListParagraph"/>
        <w:numPr>
          <w:ilvl w:val="0"/>
          <w:numId w:val="33"/>
        </w:numPr>
      </w:pPr>
      <w:r>
        <w:t>Concentrated on health access or health disparities among UK adults (aged 18 and older)</w:t>
      </w:r>
      <w:r w:rsidR="00F40262">
        <w:t>.</w:t>
      </w:r>
    </w:p>
    <w:p w14:paraId="55FBC81F" w14:textId="77777777" w:rsidR="00F40262" w:rsidRDefault="009E7BA6" w:rsidP="009E7BA6">
      <w:pPr>
        <w:pStyle w:val="ListParagraph"/>
        <w:numPr>
          <w:ilvl w:val="0"/>
          <w:numId w:val="33"/>
        </w:numPr>
      </w:pPr>
      <w:r>
        <w:t>Originated from credible, peer-reviewed, or authoritative sources</w:t>
      </w:r>
      <w:r w:rsidR="00F40262">
        <w:t>.</w:t>
      </w:r>
    </w:p>
    <w:p w14:paraId="68E19EA6" w14:textId="5B93F3C6" w:rsidR="009E7BA6" w:rsidRDefault="009E7BA6" w:rsidP="009E7BA6">
      <w:pPr>
        <w:pStyle w:val="ListParagraph"/>
        <w:numPr>
          <w:ilvl w:val="0"/>
          <w:numId w:val="33"/>
        </w:numPr>
      </w:pPr>
      <w:r>
        <w:t>Provided empirical data, systematic reviews, or significant policy evaluations.</w:t>
      </w:r>
    </w:p>
    <w:p w14:paraId="32902C22" w14:textId="77777777" w:rsidR="009E7BA6" w:rsidRDefault="009E7BA6" w:rsidP="009E7BA6"/>
    <w:p w14:paraId="5FF9E86B" w14:textId="6E21AFCF" w:rsidR="009E7BA6" w:rsidRPr="00671AD7" w:rsidRDefault="00165E8E" w:rsidP="009E7BA6">
      <w:pPr>
        <w:rPr>
          <w:b/>
          <w:bCs/>
        </w:rPr>
      </w:pPr>
      <w:r w:rsidRPr="00671AD7">
        <w:rPr>
          <w:b/>
          <w:bCs/>
        </w:rPr>
        <w:t>Exclusio</w:t>
      </w:r>
      <w:r w:rsidR="00671AD7" w:rsidRPr="00671AD7">
        <w:rPr>
          <w:b/>
          <w:bCs/>
        </w:rPr>
        <w:t>n criteria</w:t>
      </w:r>
      <w:r w:rsidR="009E7BA6" w:rsidRPr="00671AD7">
        <w:rPr>
          <w:b/>
          <w:bCs/>
        </w:rPr>
        <w:t>:</w:t>
      </w:r>
    </w:p>
    <w:p w14:paraId="364BE4C4" w14:textId="4281C4D4" w:rsidR="009E7BA6" w:rsidRDefault="009E7BA6" w:rsidP="00671AD7">
      <w:pPr>
        <w:pStyle w:val="ListParagraph"/>
        <w:numPr>
          <w:ilvl w:val="0"/>
          <w:numId w:val="34"/>
        </w:numPr>
      </w:pPr>
      <w:r>
        <w:t>Concentrated exclusively on paediatric or adolescent health</w:t>
      </w:r>
      <w:r w:rsidR="00671AD7">
        <w:t>.</w:t>
      </w:r>
    </w:p>
    <w:p w14:paraId="19959474" w14:textId="5E49C408" w:rsidR="00671AD7" w:rsidRDefault="009E7BA6" w:rsidP="009E7BA6">
      <w:pPr>
        <w:pStyle w:val="ListParagraph"/>
        <w:numPr>
          <w:ilvl w:val="0"/>
          <w:numId w:val="34"/>
        </w:numPr>
      </w:pPr>
      <w:r>
        <w:t>Were opinion articles devoid of evidence</w:t>
      </w:r>
      <w:r w:rsidR="00671AD7">
        <w:t>.</w:t>
      </w:r>
    </w:p>
    <w:p w14:paraId="74AFF454" w14:textId="3A3B8CCE" w:rsidR="00AA5F4A" w:rsidRDefault="009E7BA6" w:rsidP="009E7BA6">
      <w:pPr>
        <w:pStyle w:val="ListParagraph"/>
        <w:numPr>
          <w:ilvl w:val="0"/>
          <w:numId w:val="34"/>
        </w:numPr>
      </w:pPr>
      <w:r>
        <w:t>Considered outdated if published prior to 2010, unless they possess historical significance (e.g., Black Report, 1980).</w:t>
      </w:r>
    </w:p>
    <w:p w14:paraId="72185320" w14:textId="77777777" w:rsidR="000342AD" w:rsidRDefault="000342AD" w:rsidP="000342AD"/>
    <w:p w14:paraId="0B53699D" w14:textId="77777777" w:rsidR="00634B89" w:rsidRPr="00141A69" w:rsidRDefault="00634B89" w:rsidP="000342AD"/>
    <w:p w14:paraId="32FD418E" w14:textId="1FF00AB0" w:rsidR="009E648A" w:rsidRPr="009E648A" w:rsidRDefault="00634B89" w:rsidP="009E648A">
      <w:pPr>
        <w:pStyle w:val="Heading3"/>
      </w:pPr>
      <w:bookmarkStart w:id="18" w:name="_Toc216612417"/>
      <w:r>
        <w:lastRenderedPageBreak/>
        <w:t>1.3 Sea</w:t>
      </w:r>
      <w:r w:rsidR="00C80A1C">
        <w:t>rch strategy</w:t>
      </w:r>
      <w:bookmarkEnd w:id="18"/>
    </w:p>
    <w:p w14:paraId="38C8AFD1" w14:textId="77777777" w:rsidR="009E648A" w:rsidRPr="009E648A" w:rsidRDefault="009E648A" w:rsidP="009E648A">
      <w:r w:rsidRPr="009E648A">
        <w:t>Data were collected through a systematic search of academic databases and institutional repositories. Key databases included PubMed, ScienceDirect, Google Scholar, and SAGE Journals Online. Grey literature was sourced from official websites such as the Office for National Statistics, NHS England, and The King’s Fund.</w:t>
      </w:r>
    </w:p>
    <w:p w14:paraId="060DA67E" w14:textId="77777777" w:rsidR="009E648A" w:rsidRPr="009E648A" w:rsidRDefault="009E648A" w:rsidP="009E648A">
      <w:r w:rsidRPr="009E648A">
        <w:t>Search strategies combined relevant keywords with Boolean operators, such as:</w:t>
      </w:r>
    </w:p>
    <w:p w14:paraId="54B8E0C7" w14:textId="48B4287B" w:rsidR="009E648A" w:rsidRPr="009E648A" w:rsidRDefault="009E648A" w:rsidP="009E648A">
      <w:pPr>
        <w:numPr>
          <w:ilvl w:val="0"/>
          <w:numId w:val="35"/>
        </w:numPr>
      </w:pPr>
      <w:r w:rsidRPr="009E648A">
        <w:t>“</w:t>
      </w:r>
      <w:r w:rsidR="00E9247C" w:rsidRPr="009E648A">
        <w:t>Health</w:t>
      </w:r>
      <w:r w:rsidRPr="009E648A">
        <w:t xml:space="preserve"> disparities” AND “adults” AND “United Kingdom” </w:t>
      </w:r>
    </w:p>
    <w:p w14:paraId="53940430" w14:textId="0BA799A5" w:rsidR="009E648A" w:rsidRPr="009E648A" w:rsidRDefault="009E648A" w:rsidP="009E648A">
      <w:pPr>
        <w:numPr>
          <w:ilvl w:val="0"/>
          <w:numId w:val="35"/>
        </w:numPr>
      </w:pPr>
      <w:r w:rsidRPr="009E648A">
        <w:t>“</w:t>
      </w:r>
      <w:r w:rsidR="00E9247C" w:rsidRPr="009E648A">
        <w:t>Healthcare</w:t>
      </w:r>
      <w:r w:rsidRPr="009E648A">
        <w:t xml:space="preserve"> accessibility” OR “obstacles to health” AND “United Kingdom” </w:t>
      </w:r>
    </w:p>
    <w:p w14:paraId="707193BB" w14:textId="103E8B3C" w:rsidR="009E648A" w:rsidRPr="009E648A" w:rsidRDefault="009E648A" w:rsidP="009E648A">
      <w:pPr>
        <w:numPr>
          <w:ilvl w:val="0"/>
          <w:numId w:val="35"/>
        </w:numPr>
      </w:pPr>
      <w:r w:rsidRPr="009E648A">
        <w:t>“</w:t>
      </w:r>
      <w:r w:rsidR="00E9247C" w:rsidRPr="009E648A">
        <w:t>Social</w:t>
      </w:r>
      <w:r w:rsidRPr="009E648A">
        <w:t xml:space="preserve"> determinants of health” AND “inequity” AND “policy”</w:t>
      </w:r>
    </w:p>
    <w:p w14:paraId="503D5528" w14:textId="77777777" w:rsidR="009E648A" w:rsidRDefault="009E648A" w:rsidP="009E648A">
      <w:r w:rsidRPr="009E648A">
        <w:t>Searches were refined by publication date, relevance, and full-text availability. Reference lists of key studies were reviewed to identify additional sources. All materials were organised and managed using Zotero reference software.</w:t>
      </w:r>
    </w:p>
    <w:p w14:paraId="13714DF5" w14:textId="77777777" w:rsidR="00F8010C" w:rsidRDefault="00F8010C" w:rsidP="009E648A"/>
    <w:p w14:paraId="32438454" w14:textId="461FE333" w:rsidR="00F8010C" w:rsidRDefault="007F473B" w:rsidP="00735619">
      <w:pPr>
        <w:pStyle w:val="Heading2"/>
        <w:numPr>
          <w:ilvl w:val="0"/>
          <w:numId w:val="25"/>
        </w:numPr>
      </w:pPr>
      <w:bookmarkStart w:id="19" w:name="_Toc216612418"/>
      <w:r>
        <w:t>Data Analysis</w:t>
      </w:r>
      <w:bookmarkEnd w:id="19"/>
    </w:p>
    <w:p w14:paraId="77B23C5F" w14:textId="77777777" w:rsidR="00A31D12" w:rsidRDefault="00C37DDD" w:rsidP="00C37DDD">
      <w:r>
        <w:t>The data analysis employed a thematic synthesis methodology, frequently utilised in secondary qualitative research (Thomas and Harden, 2008).  Thematic synthesis entails recognising consistent patterns, themes, and relationships across various studies to produce cohesive insights.</w:t>
      </w:r>
    </w:p>
    <w:p w14:paraId="5568A09B" w14:textId="0BC30293" w:rsidR="00C37DDD" w:rsidRDefault="00C37DDD" w:rsidP="00C37DDD">
      <w:r>
        <w:t>The procedure encompassed three primary phases:</w:t>
      </w:r>
    </w:p>
    <w:p w14:paraId="0D81C492" w14:textId="77777777" w:rsidR="00A31D12" w:rsidRDefault="00C37DDD" w:rsidP="00C37DDD">
      <w:pPr>
        <w:pStyle w:val="ListParagraph"/>
        <w:numPr>
          <w:ilvl w:val="0"/>
          <w:numId w:val="36"/>
        </w:numPr>
      </w:pPr>
      <w:r>
        <w:t>Data familiarisation – All included documents were meticulously reviewed to comprehend their content, research objectives, methodologies, and principal findings.</w:t>
      </w:r>
    </w:p>
    <w:p w14:paraId="3C2AC753" w14:textId="77777777" w:rsidR="00A31D12" w:rsidRDefault="00C37DDD" w:rsidP="00C37DDD">
      <w:pPr>
        <w:pStyle w:val="ListParagraph"/>
        <w:numPr>
          <w:ilvl w:val="0"/>
          <w:numId w:val="36"/>
        </w:numPr>
      </w:pPr>
      <w:r>
        <w:t>Thematic coding involved the manual categorisation of data to discern recurring concepts, including "barriers to healthcare access," "socioeconomic inequality," "digital exclusion," and "policy interventions."</w:t>
      </w:r>
    </w:p>
    <w:p w14:paraId="1E4BAB42" w14:textId="6D24E9D0" w:rsidR="00C37DDD" w:rsidRDefault="00C37DDD" w:rsidP="00C37DDD">
      <w:pPr>
        <w:pStyle w:val="ListParagraph"/>
        <w:numPr>
          <w:ilvl w:val="0"/>
          <w:numId w:val="36"/>
        </w:numPr>
      </w:pPr>
      <w:r>
        <w:t>The identified themes were compared and synthesised across sources to create a coherent narrative elucidating the intricate relationship between health access and inequalities among adults in the UK.</w:t>
      </w:r>
    </w:p>
    <w:p w14:paraId="57F5CAE8" w14:textId="77777777" w:rsidR="00C37DDD" w:rsidRDefault="00C37DDD" w:rsidP="00C37DDD"/>
    <w:p w14:paraId="0B760E83" w14:textId="71862C79" w:rsidR="00C37DDD" w:rsidRDefault="00C37DDD" w:rsidP="00C37DDD">
      <w:r>
        <w:t>This process facilitated a methodical and organised comparison of evidence across diverse materials, uncovering both areas of agreement and contradictory findings in the literature.</w:t>
      </w:r>
    </w:p>
    <w:p w14:paraId="381341CC" w14:textId="2DB64DAF" w:rsidR="007203FA" w:rsidRDefault="00C37DDD" w:rsidP="00C37DDD">
      <w:r>
        <w:t>Quantitative data, including statistical trends from ONS or NHS reports, were utilised to enhance the qualitative synthesis.  Descriptive statistics, such as life expectancy disparities and deprivation indices, were incorporated to enhance the interpretation of qualitative results.  The utilisation of both qualitative and quantitative secondary data facilitated a more thorough, mixed-methods comprehension of the subject (Bryman, 2016).</w:t>
      </w:r>
    </w:p>
    <w:p w14:paraId="696A2CD9" w14:textId="11900E0E" w:rsidR="007203FA" w:rsidRPr="009E648A" w:rsidRDefault="007203FA" w:rsidP="00735619">
      <w:pPr>
        <w:pStyle w:val="Heading2"/>
        <w:numPr>
          <w:ilvl w:val="0"/>
          <w:numId w:val="25"/>
        </w:numPr>
      </w:pPr>
      <w:bookmarkStart w:id="20" w:name="_Toc216612419"/>
      <w:r>
        <w:lastRenderedPageBreak/>
        <w:t>Ethical Considerations</w:t>
      </w:r>
      <w:bookmarkEnd w:id="20"/>
    </w:p>
    <w:p w14:paraId="1D13CFBC" w14:textId="77777777" w:rsidR="0029250A" w:rsidRDefault="0029250A" w:rsidP="0029250A">
      <w:r>
        <w:t>Ethical considerations were crucial to the research design, despite the absence of direct contact with participants in this study.  Integrity, transparency, and respect for intellectual property are guaranteed by ethical research (Creswell and Creswell, 2018).</w:t>
      </w:r>
    </w:p>
    <w:p w14:paraId="70D41836" w14:textId="4CC4E3D7" w:rsidR="0029250A" w:rsidRDefault="0029250A" w:rsidP="0029250A">
      <w:r>
        <w:t>As follows were the primary ethical principles observed:</w:t>
      </w:r>
    </w:p>
    <w:p w14:paraId="36A48F2C" w14:textId="77777777" w:rsidR="00E870D8" w:rsidRDefault="0029250A" w:rsidP="0029250A">
      <w:pPr>
        <w:pStyle w:val="ListParagraph"/>
        <w:numPr>
          <w:ilvl w:val="0"/>
          <w:numId w:val="37"/>
        </w:numPr>
      </w:pPr>
      <w:r>
        <w:t>Utilisation of verifiable and credible data: All data were sourced from publicly accessible, authoritative sources, including government reports and peer-reviewed journals.  No sensitive or confidential information was accessed.</w:t>
      </w:r>
    </w:p>
    <w:p w14:paraId="6B365C77" w14:textId="77777777" w:rsidR="00E870D8" w:rsidRDefault="0029250A" w:rsidP="0029250A">
      <w:pPr>
        <w:pStyle w:val="ListParagraph"/>
        <w:numPr>
          <w:ilvl w:val="0"/>
          <w:numId w:val="37"/>
        </w:numPr>
      </w:pPr>
      <w:r>
        <w:t>Accurate citation and referencing: The Harvard referencing style was employed to ensure that all ideas, quotations, and data were accurately referenced in order to prevent plagiarism.</w:t>
      </w:r>
    </w:p>
    <w:p w14:paraId="48FA1397" w14:textId="77777777" w:rsidR="000C677E" w:rsidRDefault="0029250A" w:rsidP="0029250A">
      <w:pPr>
        <w:pStyle w:val="ListParagraph"/>
        <w:numPr>
          <w:ilvl w:val="0"/>
          <w:numId w:val="37"/>
        </w:numPr>
      </w:pPr>
      <w:r>
        <w:t>Research integrity and transparency: The methodology, which encompassed the data selection and analysis processes, was meticulously documented to facilitate reproducibility and verification.</w:t>
      </w:r>
    </w:p>
    <w:p w14:paraId="06D571A0" w14:textId="77777777" w:rsidR="000C677E" w:rsidRDefault="0029250A" w:rsidP="0029250A">
      <w:pPr>
        <w:pStyle w:val="ListParagraph"/>
        <w:numPr>
          <w:ilvl w:val="0"/>
          <w:numId w:val="37"/>
        </w:numPr>
      </w:pPr>
      <w:r>
        <w:t>Bias Avoidance: The findings were presented objectively and incorporated a variety of perspectives from across the UK, rather than concentrating solely on one region or demographic group.</w:t>
      </w:r>
    </w:p>
    <w:p w14:paraId="6A6968B8" w14:textId="67D58ED5" w:rsidR="0029250A" w:rsidRDefault="0029250A" w:rsidP="0029250A">
      <w:pPr>
        <w:pStyle w:val="ListParagraph"/>
        <w:numPr>
          <w:ilvl w:val="0"/>
          <w:numId w:val="37"/>
        </w:numPr>
      </w:pPr>
      <w:r>
        <w:t>Copyright and data protection: In accordance with academic integrity policies and copyright regulations, only materials that were either open-access or properly cited were employed.</w:t>
      </w:r>
    </w:p>
    <w:p w14:paraId="275EACE0" w14:textId="77777777" w:rsidR="000C677E" w:rsidRDefault="000C677E" w:rsidP="0029250A"/>
    <w:p w14:paraId="7721E0C5" w14:textId="0D12DAC0" w:rsidR="00C80A1C" w:rsidRDefault="0029250A" w:rsidP="0029250A">
      <w:r>
        <w:t>The study did not necessitate ethical approval from a university research ethics committee, as it did not involve the collection of new personal data or human participants.  However, the researcher followed the institutional policies regarding the ethical utilisation of secondary data.</w:t>
      </w:r>
    </w:p>
    <w:p w14:paraId="5FB3E486" w14:textId="3E515C36" w:rsidR="00C764A3" w:rsidRPr="00141A69" w:rsidRDefault="00C764A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2E9D4ABC" w14:textId="77777777" w:rsidR="009565F3" w:rsidRPr="00141A69" w:rsidRDefault="009565F3" w:rsidP="00DA52F0">
      <w:pPr>
        <w:mirrorIndents/>
        <w:jc w:val="both"/>
        <w:rPr>
          <w:rFonts w:eastAsia="Arial Unicode MS" w:cs="Arial"/>
        </w:rPr>
      </w:pPr>
    </w:p>
    <w:p w14:paraId="6348CB83" w14:textId="77777777" w:rsidR="009565F3" w:rsidRPr="00141A69" w:rsidRDefault="009565F3" w:rsidP="00DA52F0">
      <w:pPr>
        <w:mirrorIndents/>
        <w:jc w:val="both"/>
        <w:rPr>
          <w:rFonts w:eastAsia="Arial Unicode MS" w:cs="Arial"/>
        </w:rPr>
      </w:pPr>
    </w:p>
    <w:p w14:paraId="7FD5CEAB" w14:textId="77777777" w:rsidR="00114BFD" w:rsidRPr="00141A69" w:rsidRDefault="00114BFD">
      <w:pPr>
        <w:rPr>
          <w:rFonts w:eastAsia="Arial Unicode MS" w:cs="Arial"/>
          <w:b/>
        </w:rPr>
      </w:pPr>
      <w:r w:rsidRPr="00141A69">
        <w:rPr>
          <w:rFonts w:eastAsia="Arial Unicode MS" w:cs="Arial"/>
          <w:b/>
        </w:rPr>
        <w:br w:type="page"/>
      </w:r>
    </w:p>
    <w:p w14:paraId="7AB449C9" w14:textId="4D1E44D8" w:rsidR="005C2C7A" w:rsidRPr="00812591" w:rsidRDefault="005C2C7A" w:rsidP="00114BFD">
      <w:pPr>
        <w:pStyle w:val="Heading1"/>
        <w:ind w:left="0"/>
        <w:jc w:val="center"/>
      </w:pPr>
      <w:bookmarkStart w:id="21" w:name="_Toc216612420"/>
      <w:r w:rsidRPr="00812591">
        <w:lastRenderedPageBreak/>
        <w:t xml:space="preserve">CHAPTER </w:t>
      </w:r>
      <w:r w:rsidR="00114BFD">
        <w:t>4</w:t>
      </w:r>
      <w:r w:rsidRPr="00812591">
        <w:t xml:space="preserve">: </w:t>
      </w:r>
      <w:r w:rsidR="00114BFD">
        <w:t>RESULTS AND DISCUSSION</w:t>
      </w:r>
      <w:bookmarkEnd w:id="21"/>
    </w:p>
    <w:p w14:paraId="41C9AB83" w14:textId="053CCF46" w:rsidR="004921B6" w:rsidRPr="00367B10" w:rsidRDefault="004921B6" w:rsidP="00FF2050">
      <w:pPr>
        <w:pStyle w:val="Heading3"/>
        <w:ind w:left="0"/>
      </w:pPr>
    </w:p>
    <w:p w14:paraId="2222F6E9" w14:textId="0F3C722C" w:rsidR="00FF2050" w:rsidRPr="00367B10" w:rsidRDefault="00367B10" w:rsidP="001862B5">
      <w:pPr>
        <w:pStyle w:val="Heading2"/>
        <w:numPr>
          <w:ilvl w:val="1"/>
          <w:numId w:val="35"/>
        </w:numPr>
      </w:pPr>
      <w:bookmarkStart w:id="22" w:name="_Toc216612421"/>
      <w:r w:rsidRPr="00367B10">
        <w:t>INTRODUCTION</w:t>
      </w:r>
      <w:bookmarkEnd w:id="22"/>
    </w:p>
    <w:p w14:paraId="3503D2E5" w14:textId="77777777" w:rsidR="00E83D49" w:rsidRPr="00E83D49" w:rsidRDefault="005E0D09" w:rsidP="00E83D49">
      <w:r w:rsidRPr="005E0D09">
        <w:t>This chapter presents and discusses the findings derived from the secondary research undertaken to explore issues of health access and inequalities among adults in the United Kingdom.</w:t>
      </w:r>
      <w:r w:rsidR="00E83D49">
        <w:t xml:space="preserve"> </w:t>
      </w:r>
      <w:r w:rsidR="00E83D49" w:rsidRPr="00E83D49">
        <w:t>The initial segment delineates the attributes of the literature chosen for examination, succeeded by an exhaustive thematic analysis of the findings. The second section critically analyses these findings, connecting them to prior research and pertinent theoretical frameworks. The chapter ends with a look at the research's strengths and limitations.</w:t>
      </w:r>
    </w:p>
    <w:p w14:paraId="140AB561" w14:textId="6EBE679E" w:rsidR="00611EE9" w:rsidRDefault="00611EE9" w:rsidP="005E0D09"/>
    <w:p w14:paraId="334FA0AB" w14:textId="5D5E22CD" w:rsidR="0086777F" w:rsidRDefault="006A41BF" w:rsidP="001862B5">
      <w:pPr>
        <w:pStyle w:val="Heading2"/>
        <w:numPr>
          <w:ilvl w:val="1"/>
          <w:numId w:val="35"/>
        </w:numPr>
      </w:pPr>
      <w:bookmarkStart w:id="23" w:name="_Toc216612422"/>
      <w:r>
        <w:t>RESULTS</w:t>
      </w:r>
      <w:bookmarkEnd w:id="23"/>
    </w:p>
    <w:p w14:paraId="5778B781" w14:textId="2ED41109" w:rsidR="00E20CA1" w:rsidRDefault="007D7837" w:rsidP="006A41BF">
      <w:pPr>
        <w:pStyle w:val="Heading3"/>
      </w:pPr>
      <w:bookmarkStart w:id="24" w:name="_Toc216612423"/>
      <w:r>
        <w:t xml:space="preserve">2.1 </w:t>
      </w:r>
      <w:r w:rsidR="00367B10" w:rsidRPr="00367B10">
        <w:t>CHARACTERISTICS OF THE LITERATURE SELECTED FOR ANALYSIS</w:t>
      </w:r>
      <w:bookmarkEnd w:id="24"/>
    </w:p>
    <w:p w14:paraId="12D70CD5" w14:textId="74D981BB" w:rsidR="00E20CA1" w:rsidRDefault="00A3212E" w:rsidP="00A3212E">
      <w:r w:rsidRPr="00A3212E">
        <w:t>This study reviewed over ten secondary sources, including government reports, policy documents, peer-reviewed journal articles, and research outputs from independent organisations such as The King's Fund, The Health Foundation, and the Institute of Health Equity.  The inclusion criteria, as delineated in Chapter 3, guaranteed that only credible and pertinent sources published between 2010 and 2025 were included.</w:t>
      </w:r>
    </w:p>
    <w:p w14:paraId="4067F3D3" w14:textId="593CCBCD" w:rsidR="004D746E" w:rsidRDefault="004D746E" w:rsidP="004D746E">
      <w:r w:rsidRPr="004D746E">
        <w:t>Approximately 60% of the literature was composed of academic studies that utilised quantitative or mixed methods approaches to evaluate health determinants and inequalities across social, ethnic, and geographical dimensions. Approximately 25% of the findings were official reports from national bodies, including the Office for National Statistics (ONS), Public Health England (PHE), and NHS England. Think tank publications and policy evaluations comprised the remaining 15%, which provided interpretive and evaluative analyses of policy impacts and inequality trends.</w:t>
      </w:r>
    </w:p>
    <w:p w14:paraId="4A05258A" w14:textId="77777777" w:rsidR="00AC02E1" w:rsidRPr="004D746E" w:rsidRDefault="00AC02E1" w:rsidP="004D746E"/>
    <w:p w14:paraId="00D5BC2D" w14:textId="77777777" w:rsidR="00AC02E1" w:rsidRDefault="00610503" w:rsidP="00AC02E1">
      <w:r w:rsidRPr="00610503">
        <w:t>The literature was analysed to identify four primary themes:</w:t>
      </w:r>
    </w:p>
    <w:p w14:paraId="29BE4431" w14:textId="77777777" w:rsidR="00AC02E1" w:rsidRDefault="00610503" w:rsidP="00610503">
      <w:pPr>
        <w:pStyle w:val="ListParagraph"/>
        <w:numPr>
          <w:ilvl w:val="0"/>
          <w:numId w:val="39"/>
        </w:numPr>
      </w:pPr>
      <w:r w:rsidRPr="00580B9B">
        <w:rPr>
          <w:b/>
          <w:bCs/>
        </w:rPr>
        <w:t>Deprivation and socioeconomic inequalities</w:t>
      </w:r>
      <w:r w:rsidRPr="00610503">
        <w:t>, with an emphasis on education, employment, and income.</w:t>
      </w:r>
    </w:p>
    <w:p w14:paraId="5CA1D805" w14:textId="77777777" w:rsidR="00AC02E1" w:rsidRDefault="00610503" w:rsidP="00610503">
      <w:pPr>
        <w:pStyle w:val="ListParagraph"/>
        <w:numPr>
          <w:ilvl w:val="0"/>
          <w:numId w:val="39"/>
        </w:numPr>
      </w:pPr>
      <w:r w:rsidRPr="00013B9F">
        <w:t>Discrimination and differential access</w:t>
      </w:r>
      <w:r w:rsidRPr="00610503">
        <w:t xml:space="preserve">: an </w:t>
      </w:r>
      <w:r w:rsidRPr="00013B9F">
        <w:rPr>
          <w:b/>
          <w:bCs/>
        </w:rPr>
        <w:t>examination of ethnic and cultural disparities</w:t>
      </w:r>
      <w:r w:rsidRPr="00610503">
        <w:t>.</w:t>
      </w:r>
    </w:p>
    <w:p w14:paraId="469FCB0D" w14:textId="77777777" w:rsidR="00AC02E1" w:rsidRDefault="00610503" w:rsidP="00610503">
      <w:pPr>
        <w:pStyle w:val="ListParagraph"/>
        <w:numPr>
          <w:ilvl w:val="0"/>
          <w:numId w:val="39"/>
        </w:numPr>
      </w:pPr>
      <w:r w:rsidRPr="00610503">
        <w:t>Examining regional and local disparities in access and outcomes—</w:t>
      </w:r>
      <w:r w:rsidRPr="00E6392D">
        <w:rPr>
          <w:b/>
          <w:bCs/>
        </w:rPr>
        <w:t>geographic inequalities.</w:t>
      </w:r>
    </w:p>
    <w:p w14:paraId="53027011" w14:textId="77777777" w:rsidR="00AC02E1" w:rsidRDefault="00610503" w:rsidP="00610503">
      <w:pPr>
        <w:pStyle w:val="ListParagraph"/>
        <w:numPr>
          <w:ilvl w:val="0"/>
          <w:numId w:val="39"/>
        </w:numPr>
      </w:pPr>
      <w:r w:rsidRPr="00E6392D">
        <w:rPr>
          <w:b/>
          <w:bCs/>
        </w:rPr>
        <w:t>Digital exclusion and emerging barriers</w:t>
      </w:r>
      <w:r w:rsidRPr="00610503">
        <w:t>: emphasising disparities in digital health access.</w:t>
      </w:r>
    </w:p>
    <w:p w14:paraId="26989FD5" w14:textId="5DA9B7F1" w:rsidR="00610503" w:rsidRDefault="00610503" w:rsidP="00AC02E1">
      <w:r w:rsidRPr="00610503">
        <w:lastRenderedPageBreak/>
        <w:t>Collectively, these themes encapsulate the multifaceted character of health inequalities in the adult population of the United Kingdom.</w:t>
      </w:r>
    </w:p>
    <w:p w14:paraId="6634F99A" w14:textId="77777777" w:rsidR="00880081" w:rsidRDefault="00880081" w:rsidP="00AC02E1"/>
    <w:p w14:paraId="3FB5A587" w14:textId="2B083726" w:rsidR="007201D5" w:rsidRDefault="00DC4BE7" w:rsidP="007D7837">
      <w:pPr>
        <w:pStyle w:val="Heading3"/>
      </w:pPr>
      <w:bookmarkStart w:id="25" w:name="_Toc216612424"/>
      <w:r>
        <w:t xml:space="preserve">2.2 </w:t>
      </w:r>
      <w:r w:rsidR="00880081" w:rsidRPr="00880081">
        <w:t>ANALYSIS OF RESULTS / THEMES FOUND</w:t>
      </w:r>
      <w:bookmarkEnd w:id="25"/>
    </w:p>
    <w:p w14:paraId="13BC9A97" w14:textId="77777777" w:rsidR="003B2337" w:rsidRPr="007A0733" w:rsidRDefault="003B2337" w:rsidP="007A0733">
      <w:pPr>
        <w:pStyle w:val="Heading4"/>
        <w:rPr>
          <w:rFonts w:cs="Arial"/>
          <w:szCs w:val="24"/>
        </w:rPr>
      </w:pPr>
    </w:p>
    <w:p w14:paraId="69349F0D" w14:textId="40A2F958" w:rsidR="00B42CAC" w:rsidRPr="007A0733" w:rsidRDefault="007A0733" w:rsidP="007A0733">
      <w:pPr>
        <w:pStyle w:val="Heading4"/>
        <w:rPr>
          <w:rFonts w:cs="Arial"/>
          <w:szCs w:val="24"/>
        </w:rPr>
      </w:pPr>
      <w:r>
        <w:rPr>
          <w:rFonts w:cs="Arial"/>
          <w:szCs w:val="24"/>
        </w:rPr>
        <w:t>2.</w:t>
      </w:r>
      <w:r w:rsidR="008D7791">
        <w:rPr>
          <w:rFonts w:cs="Arial"/>
          <w:szCs w:val="24"/>
        </w:rPr>
        <w:t>2.</w:t>
      </w:r>
      <w:r w:rsidR="003B2337" w:rsidRPr="007A0733">
        <w:rPr>
          <w:rFonts w:cs="Arial"/>
          <w:szCs w:val="24"/>
        </w:rPr>
        <w:t>1</w:t>
      </w:r>
      <w:r w:rsidR="008D7791">
        <w:rPr>
          <w:rFonts w:cs="Arial"/>
          <w:szCs w:val="24"/>
        </w:rPr>
        <w:t xml:space="preserve"> </w:t>
      </w:r>
      <w:r w:rsidR="003B2337" w:rsidRPr="007A0733">
        <w:rPr>
          <w:rFonts w:cs="Arial"/>
          <w:szCs w:val="24"/>
        </w:rPr>
        <w:t xml:space="preserve"> Deprivation and socioeconomic inequalities</w:t>
      </w:r>
    </w:p>
    <w:p w14:paraId="7EE69A18" w14:textId="3A78CF89" w:rsidR="009D6DF0" w:rsidRDefault="009D6DF0" w:rsidP="009D6DF0">
      <w:r w:rsidRPr="009D6DF0">
        <w:t>Socioeconomic inequality continues to be the greatest enduring factor influencing health access and outcomes in the UK. Many studies have demonstrated that individuals from lower-income backgrounds face inferior health outcomes, reduced life expectancy, and restricted access to preventive treatment (Marmot et al., 2020; The King’s Fund, 2021).</w:t>
      </w:r>
      <w:r w:rsidRPr="009D6DF0">
        <w:br/>
        <w:t>The ONS (2022) reports that adults living in the most and least deprived parts of England have a difference of about 19 years in their healthy life expectancy. This means that people who live in disadvantaged places spend a lot more of their lives in bad health. These disparities are intricately connected to the socioeconomic determinants of health, encompassing housing quality, employment conditions, income stability, and educational access (Solar and Irwin, 2010).</w:t>
      </w:r>
      <w:r w:rsidRPr="009D6DF0">
        <w:br/>
        <w:t>Socioeconomic hardship also has an impact on how easy it is to get healthcare. The inverse care law (Hart, 1971) is still in effect, which means that places that require care the most often have the least access to it. For instance, places that are poor often have fewer GPs, higher wait times, and less access to specialist treatments (Health Foundation, 2022). Also, austerity measures that were put in place after 2010 led to large cuts in the budgets of local governments and public health, which hurt poor areas the most (Bambra et al., 2019).</w:t>
      </w:r>
      <w:r w:rsidRPr="009D6DF0">
        <w:br/>
        <w:t>The COVID-19 pandemic made these differences even worse. People with lower incomes were more likely to have the virus because they worked on the front lines, lived in crowded housing, or had health problems before the epidemic. Public Health England (2020) said that the death rate was twice as high in the poorest districts as it was in the richest places. This strengthens the persistent link between social poverty and health susceptibility.</w:t>
      </w:r>
    </w:p>
    <w:p w14:paraId="40C1F579" w14:textId="77777777" w:rsidR="00DF5FE0" w:rsidRDefault="00DF5FE0" w:rsidP="009D6DF0"/>
    <w:p w14:paraId="4FCE9FA8" w14:textId="587929DD" w:rsidR="00620237" w:rsidRDefault="004437A4" w:rsidP="00083BA8">
      <w:pPr>
        <w:pStyle w:val="Heading4"/>
        <w:rPr>
          <w:bCs/>
        </w:rPr>
      </w:pPr>
      <w:r>
        <w:t xml:space="preserve">2.2.2 </w:t>
      </w:r>
      <w:r w:rsidR="00EB5DBB">
        <w:t xml:space="preserve"> </w:t>
      </w:r>
      <w:r w:rsidR="00252A9F">
        <w:t>E</w:t>
      </w:r>
      <w:r w:rsidR="00252A9F" w:rsidRPr="00252A9F">
        <w:t>thnicity, Culture, and Discrimination in Health Access</w:t>
      </w:r>
    </w:p>
    <w:p w14:paraId="3D353A8C" w14:textId="77777777" w:rsidR="00D019C5" w:rsidRDefault="00337668" w:rsidP="007906B6">
      <w:r w:rsidRPr="00337668">
        <w:t>The NHS was set up to promote equality in all societies, but adults from Black, Asian, and minority ethnic (BAME) backgrounds still face discrimination and barriers when trying to get healthcare. This makes it harder for them to get fair health outcomes (NHS Race and Health Observatory, 2021).</w:t>
      </w:r>
    </w:p>
    <w:p w14:paraId="415A02CB" w14:textId="77777777" w:rsidR="00310B79" w:rsidRDefault="00310B79" w:rsidP="007906B6"/>
    <w:p w14:paraId="0EB1E34B" w14:textId="6E334E91" w:rsidR="007906B6" w:rsidRDefault="007906B6" w:rsidP="007906B6">
      <w:r w:rsidRPr="007906B6">
        <w:br/>
      </w:r>
      <w:r w:rsidRPr="007906B6">
        <w:br/>
      </w:r>
      <w:r w:rsidRPr="007906B6">
        <w:lastRenderedPageBreak/>
        <w:t>These inequalities can be observed when considering that patients from minority groups report lower satisfaction with their experiences in primary care services due to long waiting times and communication barriers (The King’s Fund, 2021). Similarly, research shows that Black women in the United Kingdom are four times more likely to die during childbirth than white women (Knight et al., 2021).</w:t>
      </w:r>
    </w:p>
    <w:p w14:paraId="501AED2C" w14:textId="77777777" w:rsidR="00486B09" w:rsidRPr="00486B09" w:rsidRDefault="00486B09" w:rsidP="00486B09">
      <w:r w:rsidRPr="00486B09">
        <w:t>The main factors contributing to these inequalities are communication problems between health departments, which hinder effective communication and, consequently, effective outcomes (Salway et al., 2020). Institutional discrimination, coupled with the absence of culturally responsive services, has emerged as a major obstacle to equitable healthcare access (Nazroo, Bhui, &amp; Rhodes, 2020). Moreover, ethnic minority groups are disproportionately concentrated in economically disadvantaged regions, intensifying the intersecting challenges of both socioeconomic hardship and racial inequality.</w:t>
      </w:r>
    </w:p>
    <w:p w14:paraId="5B4D5BB5" w14:textId="77777777" w:rsidR="00753476" w:rsidRDefault="00753476" w:rsidP="00753476">
      <w:r w:rsidRPr="00753476">
        <w:t>During the COVID-19 pandemic, these inequalities became evident, with minority groups experiencing high rates of mortality, infection, and hospitalization (Public Health England, 2020). Another notable observation was that discrimination and the persistent underrepresentation in healthcare leadership contributed to inequalities in access and health outcomes, according to NHS Race and Health (2021).</w:t>
      </w:r>
    </w:p>
    <w:p w14:paraId="39C148EF" w14:textId="77777777" w:rsidR="005E65A7" w:rsidRDefault="005E65A7" w:rsidP="00753476"/>
    <w:p w14:paraId="798363B5" w14:textId="7F42A952" w:rsidR="005E65A7" w:rsidRPr="00753476" w:rsidRDefault="004437A4" w:rsidP="004437A4">
      <w:pPr>
        <w:pStyle w:val="Heading4"/>
      </w:pPr>
      <w:r>
        <w:t xml:space="preserve">2.2.3  </w:t>
      </w:r>
      <w:r w:rsidR="00960311">
        <w:t>G</w:t>
      </w:r>
      <w:r w:rsidR="005E65A7" w:rsidRPr="00E6392D">
        <w:t>eographic inequalities.</w:t>
      </w:r>
    </w:p>
    <w:p w14:paraId="55FE9EFE" w14:textId="2759FEBF" w:rsidR="00B52A12" w:rsidRPr="00B52A12" w:rsidRDefault="00B52A12" w:rsidP="00B52A12">
      <w:r w:rsidRPr="00B52A12">
        <w:t xml:space="preserve">Disparities in healthcare and health outcomes are geographically determined: urban areas struggle to provide high-demand medical services with limited numbers of healthcare providers, leading to long wait times for care; rural areas face challenges such as lack of transportation, few or no health centres, and increased travel distance to care that </w:t>
      </w:r>
      <w:r w:rsidR="006F4A73" w:rsidRPr="00B52A12">
        <w:t>disadvantaged</w:t>
      </w:r>
      <w:r w:rsidRPr="00B52A12">
        <w:t xml:space="preserve"> individuals and compromised the population’s health at</w:t>
      </w:r>
      <w:r w:rsidRPr="00B52A12">
        <w:t> </w:t>
      </w:r>
      <w:r w:rsidRPr="00B52A12">
        <w:t>large</w:t>
      </w:r>
      <w:r w:rsidR="006F4A73">
        <w:t xml:space="preserve"> </w:t>
      </w:r>
      <w:r w:rsidR="00134767" w:rsidRPr="00134767">
        <w:t>(The King’s Fund, 2021)</w:t>
      </w:r>
      <w:r w:rsidRPr="00B52A12">
        <w:t>.</w:t>
      </w:r>
    </w:p>
    <w:p w14:paraId="7F059277" w14:textId="77777777" w:rsidR="00AF3353" w:rsidRPr="00AF3353" w:rsidRDefault="00AF3353" w:rsidP="00AF3353">
      <w:r w:rsidRPr="00AF3353">
        <w:t>There are huge disparities in health outcomes</w:t>
      </w:r>
      <w:r w:rsidRPr="00AF3353">
        <w:t> </w:t>
      </w:r>
      <w:r w:rsidRPr="00AF3353">
        <w:t>and availability of services around the country. Leeds is part of a “north-south divide” in health that is growing worse</w:t>
      </w:r>
      <w:r w:rsidRPr="00AF3353">
        <w:t> </w:t>
      </w:r>
      <w:r w:rsidRPr="00AF3353">
        <w:t>and life expectancy is not improving in many northern areas, according to The Marmot Review 10 Years On (2020). Adults living in the North East, North West and some areas of</w:t>
      </w:r>
      <w:r w:rsidRPr="00AF3353">
        <w:t> </w:t>
      </w:r>
      <w:r w:rsidRPr="00AF3353">
        <w:t>Yorkshire are significantly unhealthier than those living in the South East and London (ONS, 2022).</w:t>
      </w:r>
    </w:p>
    <w:p w14:paraId="6CF69039" w14:textId="32D399F5" w:rsidR="00DF5FE0" w:rsidRPr="009D6DF0" w:rsidRDefault="00271B53" w:rsidP="00DF5FE0">
      <w:r w:rsidRPr="00271B53">
        <w:t>2022</w:t>
      </w:r>
      <w:r w:rsidRPr="00271B53">
        <w:t> </w:t>
      </w:r>
      <w:r w:rsidRPr="00271B53">
        <w:t>saw the arrival of Integrated Care Systems (ICSs) which were designed to reduce regional gaps by encouraging NHS regions, councils and community organisations to work together more effectively. Early indications are that ISCs</w:t>
      </w:r>
      <w:r w:rsidRPr="00271B53">
        <w:t> </w:t>
      </w:r>
      <w:r w:rsidRPr="00271B53">
        <w:t>have difficulty addressing some of the deeper financial issues, even though they work to make care more coordinated (Health Foundation 2023).</w:t>
      </w:r>
      <w:r w:rsidRPr="00271B53">
        <w:br/>
      </w:r>
      <w:r w:rsidRPr="00271B53">
        <w:br/>
      </w:r>
      <w:r w:rsidRPr="00271B53">
        <w:lastRenderedPageBreak/>
        <w:t>These geographical inequalities are compounded by environmental factors such as housing quality, air pollution and access to green spaces, which are also</w:t>
      </w:r>
      <w:r w:rsidRPr="00271B53">
        <w:t> </w:t>
      </w:r>
      <w:r w:rsidRPr="00271B53">
        <w:t>unequal across the UK. Despite the existence of these determinants, there is interaction with social and economic, which creates complex</w:t>
      </w:r>
      <w:r w:rsidRPr="00271B53">
        <w:t> </w:t>
      </w:r>
      <w:r w:rsidRPr="00271B53">
        <w:t>networks of inequality (Bambra et al., 2019).</w:t>
      </w:r>
    </w:p>
    <w:p w14:paraId="58FCF33D" w14:textId="77777777" w:rsidR="003B2337" w:rsidRDefault="003B2337" w:rsidP="003B2337"/>
    <w:p w14:paraId="079F6ED5" w14:textId="193E1F0C" w:rsidR="006A476B" w:rsidRDefault="004437A4" w:rsidP="004437A4">
      <w:pPr>
        <w:pStyle w:val="Heading4"/>
      </w:pPr>
      <w:r>
        <w:t>2.2.4</w:t>
      </w:r>
      <w:r w:rsidR="00DE1A6A">
        <w:t xml:space="preserve"> </w:t>
      </w:r>
      <w:r w:rsidR="00404404" w:rsidRPr="00E6392D">
        <w:t>Digital exclusion and emerging barriers</w:t>
      </w:r>
    </w:p>
    <w:p w14:paraId="01357CB0" w14:textId="6B6C8811" w:rsidR="009F7805" w:rsidRDefault="009F7805" w:rsidP="009F7805">
      <w:r w:rsidRPr="009F7805">
        <w:t xml:space="preserve">Again and again we see in literature today that where there is digital exclusion, people argue that medical technologies only offer a solution for those who can access or use them digitally. If these new techniques are successful, then the health digital divide could be bridged. It is now also possible to see a doctor online and use mobile health apps via N.H.S. services. So the new tools might be effective and more convenient for users, such as older people and younger individuals, </w:t>
      </w:r>
      <w:r w:rsidR="0074480A" w:rsidRPr="009F7805">
        <w:t>but</w:t>
      </w:r>
      <w:r w:rsidRPr="009F7805">
        <w:t xml:space="preserve"> adults who are not tech-savvy can’t go online for more knowledge than what their TV channels offer them or are disabled computer illiterate--they will be left out (Good Things Foundation,2021).</w:t>
      </w:r>
    </w:p>
    <w:p w14:paraId="176B731A" w14:textId="170BDBAD" w:rsidR="00220CD2" w:rsidRPr="00220CD2" w:rsidRDefault="00220CD2" w:rsidP="00220CD2">
      <w:r w:rsidRPr="00220CD2">
        <w:t>As they are more vulnerable to begin with, elder people, individuals with disabilities and those coming from low-income groups are more easily affected. One in five adults aged over 65 remains off-line and one in five does not use the internet at all according to Ofcom</w:t>
      </w:r>
      <w:r w:rsidR="009600CF">
        <w:rPr>
          <w:rFonts w:ascii="MS Gothic" w:eastAsia="MS Gothic" w:hAnsi="MS Gothic" w:cs="MS Gothic"/>
        </w:rPr>
        <w:t xml:space="preserve"> (</w:t>
      </w:r>
      <w:r w:rsidRPr="00220CD2">
        <w:t>2022</w:t>
      </w:r>
      <w:r w:rsidR="009600CF">
        <w:rPr>
          <w:rFonts w:ascii="MS Gothic" w:eastAsia="MS Gothic" w:hAnsi="MS Gothic" w:cs="MS Gothic"/>
        </w:rPr>
        <w:t>)</w:t>
      </w:r>
      <w:r w:rsidRPr="00220CD2">
        <w:t xml:space="preserve"> As a result, digital exclusion intersects with already existing social inequalities, with huge impact on the health gap (Watts et al., 2021).</w:t>
      </w:r>
    </w:p>
    <w:p w14:paraId="102B5AFB" w14:textId="00BEE5F3" w:rsidR="00220CD2" w:rsidRPr="00220CD2" w:rsidRDefault="00220CD2" w:rsidP="00220CD2">
      <w:r w:rsidRPr="00220CD2">
        <w:t xml:space="preserve">While the COVID-19 crisis did speed up the trend for digital medical care, it also highlighted hard choices that emerge from leaving such a huge group out in the cold. According to Healthwatch England (2021), there are adults who have difficulty in booking online appointments, getting their test results and engaging with telehealth services. This issue is picked up by the NHS Long Term Plan (2019), which includes pledges to help support digital inclusion Campaigning, </w:t>
      </w:r>
      <w:r w:rsidR="006D4003" w:rsidRPr="00220CD2">
        <w:t>manque</w:t>
      </w:r>
      <w:r w:rsidRPr="00220CD2">
        <w:t xml:space="preserve"> this has indeed become a problem of regional imbalance.</w:t>
      </w:r>
    </w:p>
    <w:p w14:paraId="6A4DFAF1" w14:textId="77777777" w:rsidR="00220CD2" w:rsidRDefault="00220CD2" w:rsidP="00220CD2">
      <w:r w:rsidRPr="00220CD2">
        <w:t>Hence digital exclusion marks a new form of inequality in health access that may impact ordinary people as a twist of fate resulting from raw technology, social status and aging.</w:t>
      </w:r>
    </w:p>
    <w:p w14:paraId="26E6042E" w14:textId="77777777" w:rsidR="00310B79" w:rsidRDefault="00310B79" w:rsidP="00220CD2"/>
    <w:p w14:paraId="35B34C8B" w14:textId="77777777" w:rsidR="00310B79" w:rsidRDefault="00310B79" w:rsidP="00220CD2"/>
    <w:p w14:paraId="3135BA0C" w14:textId="454B29ED" w:rsidR="009C736E" w:rsidRDefault="00267545" w:rsidP="00267545">
      <w:pPr>
        <w:pStyle w:val="Heading2"/>
        <w:ind w:left="720"/>
      </w:pPr>
      <w:bookmarkStart w:id="26" w:name="_Toc216612425"/>
      <w:r w:rsidRPr="00267545">
        <w:t xml:space="preserve">3. </w:t>
      </w:r>
      <w:r w:rsidR="00C507E4" w:rsidRPr="00267545">
        <w:t>DISCUSSION</w:t>
      </w:r>
      <w:bookmarkEnd w:id="26"/>
    </w:p>
    <w:p w14:paraId="10922642" w14:textId="77777777" w:rsidR="00BA11E9" w:rsidRDefault="00BA11E9" w:rsidP="00267545">
      <w:pPr>
        <w:pStyle w:val="Heading2"/>
        <w:ind w:left="720"/>
      </w:pPr>
    </w:p>
    <w:p w14:paraId="73A474E2" w14:textId="2AA803AD" w:rsidR="002464D4" w:rsidRPr="00267545" w:rsidRDefault="002464D4" w:rsidP="002464D4">
      <w:pPr>
        <w:pStyle w:val="Heading3"/>
      </w:pPr>
      <w:bookmarkStart w:id="27" w:name="_Toc216612426"/>
      <w:r w:rsidRPr="002464D4">
        <w:t>3.1 DISCUSSION OF THE FINDINGS</w:t>
      </w:r>
      <w:bookmarkEnd w:id="27"/>
    </w:p>
    <w:p w14:paraId="14C04278" w14:textId="6883CDBA" w:rsidR="009F43DA" w:rsidRDefault="00AF69BE" w:rsidP="00651FDB">
      <w:r w:rsidRPr="00AF69BE">
        <w:t xml:space="preserve">This research coincides with research which is already very extensive, and which demonstrates that health inequalities in the UK are systemic, complex and continuous. Despite the National Health Service’s declared devotion to universality, the results depend </w:t>
      </w:r>
      <w:r w:rsidRPr="00AF69BE">
        <w:lastRenderedPageBreak/>
        <w:t>on social, economic and structural factors: access to care varies between different geographical areas not far from each other.</w:t>
      </w:r>
    </w:p>
    <w:p w14:paraId="7AA140D2" w14:textId="77777777" w:rsidR="00214243" w:rsidRDefault="00214243" w:rsidP="00651FDB"/>
    <w:p w14:paraId="2A17BE55" w14:textId="77777777" w:rsidR="00214243" w:rsidRDefault="00214243" w:rsidP="00651FDB"/>
    <w:p w14:paraId="6DA8176B" w14:textId="214B1BD3" w:rsidR="0082471C" w:rsidRDefault="00CC5A7D" w:rsidP="00CC5A7D">
      <w:pPr>
        <w:pStyle w:val="Heading4"/>
      </w:pPr>
      <w:r>
        <w:t>3.1</w:t>
      </w:r>
      <w:r w:rsidR="004B47F0">
        <w:t>.1</w:t>
      </w:r>
      <w:r w:rsidR="00FE0613">
        <w:t xml:space="preserve"> </w:t>
      </w:r>
      <w:r w:rsidR="00FE0613" w:rsidRPr="00FE0613">
        <w:t>Recurrent Structural Inequality</w:t>
      </w:r>
    </w:p>
    <w:p w14:paraId="637E8F0F" w14:textId="2A808885" w:rsidR="009746C9" w:rsidRPr="009746C9" w:rsidRDefault="009746C9" w:rsidP="009746C9">
      <w:r w:rsidRPr="009746C9">
        <w:t>The research confirms that inequalities are products of society, not people's biology(Solar and Irwin 2010).The inverse care law (Hart, 1971) is defined by saying let the private sector take care of rich people and the public sector should provide healthcare for everyone else.</w:t>
      </w:r>
      <w:r>
        <w:t xml:space="preserve"> </w:t>
      </w:r>
      <w:r w:rsidRPr="009746C9">
        <w:t>Meanwhile, policies such as The NHS Long-Term Plan (2019) and core 20 PLUS5 (England, NHS 2021) have increased its consciousness but not yet eliminated inequality (Health Foundation 2022).</w:t>
      </w:r>
    </w:p>
    <w:p w14:paraId="36FA20E6" w14:textId="77777777" w:rsidR="0082471C" w:rsidRPr="00FE0613" w:rsidRDefault="0082471C" w:rsidP="0082471C"/>
    <w:p w14:paraId="7685554A" w14:textId="4233E487" w:rsidR="009F7805" w:rsidRDefault="004B47F0" w:rsidP="004B47F0">
      <w:pPr>
        <w:pStyle w:val="Heading4"/>
      </w:pPr>
      <w:r>
        <w:t>3.</w:t>
      </w:r>
      <w:r w:rsidR="00175E55">
        <w:t>1</w:t>
      </w:r>
      <w:r w:rsidR="00FE0613">
        <w:t>.2</w:t>
      </w:r>
      <w:r w:rsidR="00004CBC">
        <w:t xml:space="preserve"> </w:t>
      </w:r>
      <w:r w:rsidR="00004CBC" w:rsidRPr="00004CBC">
        <w:t>Intersectionality and Multiple Disadvantages</w:t>
      </w:r>
    </w:p>
    <w:p w14:paraId="78E9EFAB" w14:textId="1792680F" w:rsidR="005D3009" w:rsidRPr="005D3009" w:rsidRDefault="005D3009" w:rsidP="005D3009">
      <w:r w:rsidRPr="005D3009">
        <w:t xml:space="preserve">The findings come from the understanding of intersectional perspectives (Crenshaw, 1989), which show that health inequalities come from overlapping disadvantages such as ethnic minority status, income at the bottom of society s scale, bad housing and digital exclusion. As well as </w:t>
      </w:r>
      <w:r w:rsidR="00E66C8F" w:rsidRPr="005D3009">
        <w:t>a</w:t>
      </w:r>
      <w:r w:rsidR="00E66C8F">
        <w:t>nalyse</w:t>
      </w:r>
      <w:r w:rsidRPr="005D3009">
        <w:t xml:space="preserve"> the social implications of the pandemic,, these factors bring structural racism to light (see Chambers).Alongside the neglect and ignorance of marginalised people by society also are these factors (Nazroo et al., 2020).</w:t>
      </w:r>
    </w:p>
    <w:p w14:paraId="1ABD1813" w14:textId="77777777" w:rsidR="00F8435D" w:rsidRDefault="00F8435D" w:rsidP="00F8435D"/>
    <w:p w14:paraId="190C7816" w14:textId="2CF02964" w:rsidR="00004CBC" w:rsidRDefault="00175E55" w:rsidP="00175E55">
      <w:pPr>
        <w:pStyle w:val="Heading4"/>
      </w:pPr>
      <w:r>
        <w:t>3.1</w:t>
      </w:r>
      <w:r w:rsidR="00004CBC">
        <w:t xml:space="preserve">.3 </w:t>
      </w:r>
      <w:r w:rsidR="007949BA" w:rsidRPr="007949BA">
        <w:t>Policy Gaps and Implementation Challenges</w:t>
      </w:r>
    </w:p>
    <w:p w14:paraId="0167D391" w14:textId="3F1C9855" w:rsidR="00FB6992" w:rsidRPr="00FB6992" w:rsidRDefault="00FB6992" w:rsidP="00FB6992">
      <w:r w:rsidRPr="00FB6992">
        <w:t>Health policies in the UK pay attention to inequality, but do not implement it well.</w:t>
      </w:r>
      <w:r>
        <w:t xml:space="preserve"> </w:t>
      </w:r>
      <w:r w:rsidRPr="00FB6992">
        <w:t>The Marmot Review (2010) outlined a strategy, but when austerity era funding cuts hit, the effectiveness was limited (Bambra et al., 2019).To make health inequality a thing of the past, The Health Foundation (2022) insists on cross-sector investment in education, housing and employment.</w:t>
      </w:r>
      <w:r>
        <w:t xml:space="preserve"> </w:t>
      </w:r>
      <w:r w:rsidRPr="00FB6992">
        <w:t>Finally, welfare policies are decisive for health equity. This is true when we compare different countries internationally (Beckfield and Bambra, 2016).</w:t>
      </w:r>
    </w:p>
    <w:p w14:paraId="6A51AE61" w14:textId="77777777" w:rsidR="00FB6992" w:rsidRDefault="00FB6992" w:rsidP="00D2285A">
      <w:pPr>
        <w:pStyle w:val="Heading4"/>
      </w:pPr>
    </w:p>
    <w:p w14:paraId="046BB189" w14:textId="7AAE5896" w:rsidR="007949BA" w:rsidRPr="003B2337" w:rsidRDefault="00D2285A" w:rsidP="00D2285A">
      <w:pPr>
        <w:pStyle w:val="Heading4"/>
      </w:pPr>
      <w:r>
        <w:t>3.1.</w:t>
      </w:r>
      <w:r w:rsidR="007949BA">
        <w:t xml:space="preserve">4 </w:t>
      </w:r>
      <w:r w:rsidR="0082471C" w:rsidRPr="0082471C">
        <w:t>New Frontiers of Inequality: Digital and Environmental Dimensions</w:t>
      </w:r>
    </w:p>
    <w:p w14:paraId="753563DE" w14:textId="09D5E91E" w:rsidR="000B5F85" w:rsidRDefault="00B26936"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r w:rsidRPr="00B26936">
        <w:rPr>
          <w:rFonts w:eastAsia="Arial Unicode MS" w:cs="Arial"/>
        </w:rPr>
        <w:t>Although digital exclusion was not technically an emerging issue, digital disparity could be traced to the late 20th century. Without digital inclusion policies, public health policies will simply deepen this digital divide (Watts et al.,2021). Marmot et al (2020) also found that environmental and climate disparities those of exposure to pollutants, as well as extreme weather conditions- all have an unequal effect on the health of adults in poor areas.</w:t>
      </w:r>
    </w:p>
    <w:p w14:paraId="6AAEE31B" w14:textId="77777777" w:rsidR="00D2285A" w:rsidRDefault="00D2285A"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3D0FD247" w14:textId="77777777" w:rsidR="00E67203" w:rsidRDefault="00E6720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3CAE83A7" w14:textId="77777777" w:rsidR="00E67203" w:rsidRDefault="00E6720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7DA1F33A" w14:textId="2B6906DD" w:rsidR="001D46A0" w:rsidRDefault="001D46A0" w:rsidP="001D46A0">
      <w:pPr>
        <w:pStyle w:val="Heading3"/>
      </w:pPr>
      <w:bookmarkStart w:id="28" w:name="_Toc216612427"/>
      <w:r>
        <w:t>3.2 STRE</w:t>
      </w:r>
      <w:r w:rsidR="000F6941">
        <w:t xml:space="preserve">NGTHS </w:t>
      </w:r>
      <w:r w:rsidR="00F35558">
        <w:t>OF THIS RESEARCH</w:t>
      </w:r>
      <w:bookmarkEnd w:id="28"/>
    </w:p>
    <w:p w14:paraId="003FF8A9" w14:textId="77777777" w:rsidR="00890C78" w:rsidRPr="00890C78" w:rsidRDefault="00890C78" w:rsidP="00890C78">
      <w:r w:rsidRPr="00890C78">
        <w:t>The power of this research lies in its comprehensive synthesis of a wide range of secondary data sources, which serve to validate and deepen our findings. The analysis provides a holistic overview of health inequalities among adults in the UK through combining synthesis and analyses based on information found in national reports with material from excellent articles written by other people. In this way, not only is the synthesis balanced and fair, but it gives detail as well.</w:t>
      </w:r>
    </w:p>
    <w:p w14:paraId="31330DDD" w14:textId="77777777" w:rsidR="00890C78" w:rsidRPr="00890C78" w:rsidRDefault="00890C78" w:rsidP="00890C78">
      <w:r w:rsidRPr="00890C78">
        <w:t>The thematic synthesis method combines quantitative, qualitative data that capture measurable trends and social dynamics. Findings are interpreted through established theoretical frameworks which have been validated by data, such as social determinants of health and intersectionality theory.</w:t>
      </w:r>
    </w:p>
    <w:p w14:paraId="46D7FC15" w14:textId="77777777" w:rsidR="00F815B0" w:rsidRDefault="00F815B0" w:rsidP="00F815B0"/>
    <w:p w14:paraId="6655ECD9" w14:textId="654F82B3" w:rsidR="00F35558" w:rsidRDefault="00F35558" w:rsidP="001D46A0">
      <w:pPr>
        <w:pStyle w:val="Heading3"/>
      </w:pPr>
      <w:bookmarkStart w:id="29" w:name="_Toc216612428"/>
      <w:r>
        <w:t>3.3 LIMITATIONS OF THE RESEACHR</w:t>
      </w:r>
      <w:bookmarkEnd w:id="29"/>
      <w:r>
        <w:t xml:space="preserve"> </w:t>
      </w:r>
    </w:p>
    <w:p w14:paraId="52FC1646" w14:textId="77777777" w:rsidR="00323936" w:rsidRDefault="00323936" w:rsidP="003239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r w:rsidRPr="00323936">
        <w:rPr>
          <w:rFonts w:eastAsia="Arial Unicode MS" w:cs="Arial"/>
        </w:rPr>
        <w:t>This study is subject to limitations because of its dependence on existing data, which may vary in both quality and thoroughness. Reports can be distorted by political or institutional bias--for instance, government-run documents from the first phase of policy reform. Since there is no primary data, lived experiences or new issues that are in the process of being published cannot be captured. Thematic synthesis makes the claim for a wide coverage but is not able to determine any causal relationship. Recent developments in the field of public health, such as post-pandemic recovery and NHS Reform, might soon alter some findings.</w:t>
      </w:r>
    </w:p>
    <w:p w14:paraId="07C896B4" w14:textId="77777777" w:rsidR="00A72B3F" w:rsidRDefault="00A72B3F" w:rsidP="0032393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1A9C5E7F" w14:textId="5EB40632" w:rsidR="000B5F85" w:rsidRPr="00A72B3F" w:rsidRDefault="00C70E6D" w:rsidP="00A72B3F">
      <w:pPr>
        <w:pStyle w:val="Heading3"/>
      </w:pPr>
      <w:bookmarkStart w:id="30" w:name="_Toc216612429"/>
      <w:r>
        <w:t>3.</w:t>
      </w:r>
      <w:r w:rsidR="00A72B3F">
        <w:t xml:space="preserve">4 </w:t>
      </w:r>
      <w:r>
        <w:t>CONCLUSION</w:t>
      </w:r>
      <w:bookmarkEnd w:id="30"/>
    </w:p>
    <w:p w14:paraId="577F22C2" w14:textId="77777777" w:rsidR="009F446E" w:rsidRPr="009F446E" w:rsidRDefault="009F446E" w:rsidP="009F446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r w:rsidRPr="009F446E">
        <w:rPr>
          <w:rFonts w:eastAsia="Arial Unicode MS" w:cs="Arial"/>
        </w:rPr>
        <w:t>In the UK, health inequities are both complex and persistent. Such disparities are compounded by poverty, racial discrimination and regional inequality. There is a growing problem of digital exclusion Recent policies offer some hope, but if these are to achieve widespread impact, local factors must be given equal consideration alongside health care. A whole-system approach is necessary, with nationally coordinated leadership as well as solutions guided or generated by the community. The next chapter will make suggestions for research and policy in an effort to move this issue further forward.</w:t>
      </w:r>
    </w:p>
    <w:p w14:paraId="32D6D706" w14:textId="77777777" w:rsidR="00286203" w:rsidRDefault="00286203"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4BBE4161"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5CDF0D31"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7409E5C4"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3AC08FA8"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0853F8D3" w14:textId="77777777" w:rsidR="005C2C7A" w:rsidRPr="00141A69"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mirrorIndents/>
        <w:rPr>
          <w:rFonts w:eastAsia="Arial Unicode MS" w:cs="Arial"/>
        </w:rPr>
      </w:pPr>
    </w:p>
    <w:p w14:paraId="0C004309" w14:textId="039910E9" w:rsidR="00C17E2F" w:rsidRPr="00141A69" w:rsidRDefault="00C17E2F">
      <w:pPr>
        <w:rPr>
          <w:rFonts w:eastAsia="Arial Unicode MS" w:cs="Arial"/>
          <w:b/>
        </w:rPr>
      </w:pPr>
    </w:p>
    <w:p w14:paraId="7A6C59BD" w14:textId="0F692DA6" w:rsidR="005C2C7A" w:rsidRPr="00812591" w:rsidRDefault="005C2C7A" w:rsidP="00C17E2F">
      <w:pPr>
        <w:pStyle w:val="Heading1"/>
        <w:ind w:left="0"/>
        <w:jc w:val="center"/>
      </w:pPr>
      <w:bookmarkStart w:id="31" w:name="_Toc216612430"/>
      <w:r w:rsidRPr="00812591">
        <w:t xml:space="preserve">CHAPTER </w:t>
      </w:r>
      <w:r w:rsidR="002B4534">
        <w:t>5</w:t>
      </w:r>
      <w:r w:rsidRPr="00812591">
        <w:t>: RECOMMENDATIONS</w:t>
      </w:r>
      <w:r w:rsidR="00141A69">
        <w:t xml:space="preserve"> AND CONCLUSION</w:t>
      </w:r>
      <w:bookmarkEnd w:id="31"/>
    </w:p>
    <w:p w14:paraId="437BAD91" w14:textId="29A1238C" w:rsidR="002C4DB6" w:rsidRDefault="00B56F4D"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color w:val="000000" w:themeColor="text1"/>
        </w:rPr>
      </w:pPr>
      <w:r w:rsidRPr="00B56F4D">
        <w:rPr>
          <w:rFonts w:eastAsia="Arial Unicode MS" w:cs="Arial"/>
          <w:color w:val="000000" w:themeColor="text1"/>
        </w:rPr>
        <w:t>This chapter provides summary of the findings, recommendations for policy and practice, research implications and conclusion to research. The examination in previous chapters has clearly shown that adult health inequalities and access barriers in the UK are firmly rooted social phenomena shaped by ethnicity, region and new digital divides. Despite the depth of its commitment to treatment equality, inequality remains a challenge in the NHS where it is eroding the scope for universal access. We gather those insights in this chapter and suggest directions.</w:t>
      </w:r>
    </w:p>
    <w:p w14:paraId="3EA70AD0" w14:textId="77777777" w:rsidR="00B56F4D" w:rsidRPr="00B56F4D" w:rsidRDefault="00B56F4D" w:rsidP="00B56F4D"/>
    <w:p w14:paraId="47DBF870" w14:textId="1E7E6A99" w:rsidR="005C2C7A" w:rsidRDefault="00CC1298" w:rsidP="002B2206">
      <w:pPr>
        <w:pStyle w:val="Heading2"/>
        <w:numPr>
          <w:ilvl w:val="0"/>
          <w:numId w:val="43"/>
        </w:numPr>
        <w:rPr>
          <w:caps/>
        </w:rPr>
      </w:pPr>
      <w:bookmarkStart w:id="32" w:name="_Toc216612431"/>
      <w:r w:rsidRPr="00CC1298">
        <w:rPr>
          <w:caps/>
        </w:rPr>
        <w:t>Summary of Main Findings</w:t>
      </w:r>
      <w:bookmarkEnd w:id="32"/>
    </w:p>
    <w:p w14:paraId="095E166A" w14:textId="3687B5D1" w:rsidR="00C80B36" w:rsidRDefault="00BD4515" w:rsidP="00BD4515">
      <w:r w:rsidRPr="00BD4515">
        <w:t>Health inequalities in the UK were described as systemic, persistent and multilayered in this study. Despite the universalist principle of the NHS, parity of access is not synonymous with equality in outcomes. The following key findings emerged:</w:t>
      </w:r>
    </w:p>
    <w:p w14:paraId="5A7C44D5" w14:textId="77777777" w:rsidR="00BD4515" w:rsidRDefault="00BD4515" w:rsidP="00BD4515"/>
    <w:p w14:paraId="25002F28" w14:textId="0CBF52CF" w:rsidR="00BD4515" w:rsidRDefault="00235A01" w:rsidP="00235A01">
      <w:pPr>
        <w:pStyle w:val="Heading3"/>
        <w:numPr>
          <w:ilvl w:val="1"/>
          <w:numId w:val="43"/>
        </w:numPr>
      </w:pPr>
      <w:bookmarkStart w:id="33" w:name="_Toc216612432"/>
      <w:r w:rsidRPr="00235A01">
        <w:t>Socioeconomic Factors Remain the Strongest Predictors of Inequality</w:t>
      </w:r>
      <w:bookmarkEnd w:id="33"/>
    </w:p>
    <w:p w14:paraId="5BA6B4A4" w14:textId="77777777" w:rsidR="002D50CE" w:rsidRPr="002D50CE" w:rsidRDefault="002D50CE" w:rsidP="002D50CE">
      <w:r w:rsidRPr="002D50CE">
        <w:t>Social</w:t>
      </w:r>
      <w:r w:rsidRPr="002D50CE">
        <w:t> </w:t>
      </w:r>
      <w:r w:rsidRPr="002D50CE">
        <w:t xml:space="preserve">deprivation still the strongest predictor of ill health. 14 Adu </w:t>
      </w:r>
      <w:proofErr w:type="spellStart"/>
      <w:r w:rsidRPr="002D50CE">
        <w:t>lts</w:t>
      </w:r>
      <w:proofErr w:type="spellEnd"/>
      <w:r w:rsidRPr="002D50CE">
        <w:t> </w:t>
      </w:r>
      <w:r w:rsidRPr="002D50CE">
        <w:t>in deprived areas have much lower life expectancy and healthy life expectancy than those living in more affluent areas (ONS, 2022). The social determinants of health, such as income, housing, employment and education continue to play a significant</w:t>
      </w:r>
      <w:r w:rsidRPr="002D50CE">
        <w:t> </w:t>
      </w:r>
      <w:r w:rsidRPr="002D50CE">
        <w:t>role in determining inequality (Solar &amp; Irwin 2010; Marmot et al., 2020).</w:t>
      </w:r>
    </w:p>
    <w:p w14:paraId="256CD0D2" w14:textId="77777777" w:rsidR="002D50CE" w:rsidRPr="002D50CE" w:rsidRDefault="002D50CE" w:rsidP="002D50CE">
      <w:r w:rsidRPr="002D50CE">
        <w:t>The inverse care law (Hart, 1971) remains and deprived areas have under provision of GPs, longer waits, restricted specialist</w:t>
      </w:r>
      <w:r w:rsidRPr="002D50CE">
        <w:t> </w:t>
      </w:r>
      <w:r w:rsidRPr="002D50CE">
        <w:t>access and a stretched public health service (Health Foundation, 2023).</w:t>
      </w:r>
    </w:p>
    <w:p w14:paraId="73E0763D" w14:textId="77777777" w:rsidR="0085638C" w:rsidRDefault="0085638C" w:rsidP="0085638C"/>
    <w:p w14:paraId="5D331BD3" w14:textId="796DDF2B" w:rsidR="00235A01" w:rsidRDefault="00E45864" w:rsidP="00235A01">
      <w:pPr>
        <w:pStyle w:val="Heading3"/>
        <w:numPr>
          <w:ilvl w:val="1"/>
          <w:numId w:val="43"/>
        </w:numPr>
      </w:pPr>
      <w:bookmarkStart w:id="34" w:name="_Toc216612433"/>
      <w:r w:rsidRPr="00E45864">
        <w:t>Ethnic Inequalities Persist Across Multiple Health Indicators</w:t>
      </w:r>
      <w:bookmarkEnd w:id="34"/>
    </w:p>
    <w:p w14:paraId="1613A15E" w14:textId="6779A071" w:rsidR="007B2E60" w:rsidRDefault="007B2E60" w:rsidP="007B2E60">
      <w:r>
        <w:t>The results highlighted the large ethnic inequalities, not only in access but also in outcomes. We also know that research consistently highlights lower quality care, communication difficulties and prolonged waiting times for those with black, Asian and minority ethnic backgrounds as well as greater risks of severe illness or dying (NHS Race and Health Observatory; 2021; Nazroo, Bhui &amp; Rhodes, 2020).</w:t>
      </w:r>
    </w:p>
    <w:p w14:paraId="1727C9F7" w14:textId="1970A1AE" w:rsidR="002D50CE" w:rsidRDefault="007B2E60" w:rsidP="007B2E60">
      <w:r>
        <w:t>For instance, Black women are still four times more likely to die in pregnancy or childbirth than White counterparts (Knight et al., 2021). Factors related to structural, cultural and language barriers were found to contribute to this (Salway et al., 2020).</w:t>
      </w:r>
    </w:p>
    <w:p w14:paraId="5275362A" w14:textId="77777777" w:rsidR="00254C87" w:rsidRDefault="00254C87" w:rsidP="007B2E60"/>
    <w:p w14:paraId="3BAED6AD" w14:textId="77777777" w:rsidR="00254C87" w:rsidRDefault="00254C87" w:rsidP="007B2E60"/>
    <w:p w14:paraId="2A53EF8A" w14:textId="3128EF50" w:rsidR="00E45864" w:rsidRDefault="00E45864" w:rsidP="00235A01">
      <w:pPr>
        <w:pStyle w:val="Heading3"/>
        <w:numPr>
          <w:ilvl w:val="1"/>
          <w:numId w:val="43"/>
        </w:numPr>
      </w:pPr>
      <w:bookmarkStart w:id="35" w:name="_Toc216612434"/>
      <w:r w:rsidRPr="00E45864">
        <w:t>Geographical Inequalities Reflect Regional Economic Divides</w:t>
      </w:r>
      <w:bookmarkEnd w:id="35"/>
    </w:p>
    <w:p w14:paraId="52F03E66" w14:textId="75C542AB" w:rsidR="00840991" w:rsidRDefault="00840991" w:rsidP="00840991">
      <w:r w:rsidRPr="00840991">
        <w:t>Health depends a lot on where you live. The north and coastal regions fare much worse in health, life expectancy, workforce availability and access to specialist services (The King’s Fund, 2021). Rural parts of the country face GP shortages and transport challenges, while major urban centres come under severe demand pressures. Integrated care systems (ICSs) have the potential to help address this, but progress has been patchy (Health Foundation, 2022).</w:t>
      </w:r>
    </w:p>
    <w:p w14:paraId="4D771249" w14:textId="77777777" w:rsidR="00500569" w:rsidRDefault="00500569" w:rsidP="00840991"/>
    <w:p w14:paraId="682F3124" w14:textId="49B47E17" w:rsidR="000543F3" w:rsidRDefault="000543F3" w:rsidP="00235A01">
      <w:pPr>
        <w:pStyle w:val="Heading3"/>
        <w:numPr>
          <w:ilvl w:val="1"/>
          <w:numId w:val="43"/>
        </w:numPr>
      </w:pPr>
      <w:bookmarkStart w:id="36" w:name="_Toc216612435"/>
      <w:r w:rsidRPr="000543F3">
        <w:t>Digital Exclusion is an Emerging and Significant Barrier</w:t>
      </w:r>
      <w:bookmarkEnd w:id="36"/>
    </w:p>
    <w:p w14:paraId="233D2233" w14:textId="2689F41B" w:rsidR="00500569" w:rsidRDefault="00500569" w:rsidP="00500569">
      <w:r w:rsidRPr="00500569">
        <w:t>Digital transformation within the NHS has created new inequalities for adults who lack internet access, devices, or digital literacy (Good Things Foundation, 2021). Online GP appointments and telehealth disproportionately disadvantage older adults, disabled people, and low-income groups (Ofcom, 2022).</w:t>
      </w:r>
      <w:r w:rsidRPr="00500569">
        <w:br/>
        <w:t>While digital health technologies offer efficiency, they risk widening the existing inequality gap if alternative, non-digital routes are not strengthened.</w:t>
      </w:r>
    </w:p>
    <w:p w14:paraId="1DABC0E0" w14:textId="77777777" w:rsidR="008866FD" w:rsidRDefault="008866FD" w:rsidP="00500569"/>
    <w:p w14:paraId="0E1E6E99" w14:textId="2E86E5E5" w:rsidR="000543F3" w:rsidRDefault="000543F3" w:rsidP="00235A01">
      <w:pPr>
        <w:pStyle w:val="Heading3"/>
        <w:numPr>
          <w:ilvl w:val="1"/>
          <w:numId w:val="43"/>
        </w:numPr>
      </w:pPr>
      <w:bookmarkStart w:id="37" w:name="_Toc216612436"/>
      <w:r w:rsidRPr="000543F3">
        <w:t>Policy Efforts Have Not Fully Addressed Structural Inequities</w:t>
      </w:r>
      <w:bookmarkEnd w:id="37"/>
    </w:p>
    <w:p w14:paraId="31B6907B" w14:textId="74BAC579" w:rsidR="008866FD" w:rsidRDefault="00F46401" w:rsidP="008866FD">
      <w:r w:rsidRPr="00F46401">
        <w:t>Programmes like The NHS Long Term Plan (NHS England, 2019) and Core20PLUS5 (NHS England, 2021) show a commitment to addressing disparities. But the effectiveness is curtailed by austerity, patchy implementation, gaps in the workforce and underfunding of local services (Marmot et al., 2020; Health Foundation, 2022).</w:t>
      </w:r>
    </w:p>
    <w:p w14:paraId="748BCC21" w14:textId="77777777" w:rsidR="00CC1298" w:rsidRPr="00072054" w:rsidRDefault="00CC1298" w:rsidP="00CC1298">
      <w:pPr>
        <w:pStyle w:val="Heading2"/>
        <w:ind w:left="580"/>
        <w:rPr>
          <w:caps/>
        </w:rPr>
      </w:pPr>
    </w:p>
    <w:p w14:paraId="5AD5B2BF" w14:textId="0CC833A1" w:rsidR="000B5F85" w:rsidRPr="00072054" w:rsidRDefault="00072054" w:rsidP="00D95025">
      <w:pPr>
        <w:pStyle w:val="Heading2"/>
        <w:numPr>
          <w:ilvl w:val="0"/>
          <w:numId w:val="43"/>
        </w:numPr>
        <w:rPr>
          <w:caps/>
        </w:rPr>
      </w:pPr>
      <w:bookmarkStart w:id="38" w:name="_Toc216612437"/>
      <w:r w:rsidRPr="00072054">
        <w:rPr>
          <w:caps/>
        </w:rPr>
        <w:t>Recommendations for Practice and Policy</w:t>
      </w:r>
      <w:bookmarkEnd w:id="38"/>
    </w:p>
    <w:p w14:paraId="2AFD1051" w14:textId="165939B3" w:rsidR="000B5F85" w:rsidRDefault="006D794B" w:rsidP="006D794B">
      <w:r w:rsidRPr="006D794B">
        <w:t>Following the analysis, the subsequent evidence-based recommendations are suggested to enhance health equity in the UK.</w:t>
      </w:r>
    </w:p>
    <w:p w14:paraId="76734C22" w14:textId="6D9C9830" w:rsidR="006D794B" w:rsidRDefault="001A3E4F" w:rsidP="001A3E4F">
      <w:pPr>
        <w:pStyle w:val="Heading3"/>
        <w:numPr>
          <w:ilvl w:val="1"/>
          <w:numId w:val="43"/>
        </w:numPr>
      </w:pPr>
      <w:bookmarkStart w:id="39" w:name="_Toc216612438"/>
      <w:r w:rsidRPr="001A3E4F">
        <w:t>Strengthen Investment in Deprived Communities</w:t>
      </w:r>
      <w:bookmarkEnd w:id="39"/>
    </w:p>
    <w:p w14:paraId="5CD8C657" w14:textId="4E2F0D51" w:rsidR="00F712F9" w:rsidRDefault="00F712F9" w:rsidP="00F712F9">
      <w:r>
        <w:t>Arguably targeted investment in deprived areas should focus primarily on housing improvements, local public health and social care but also employment support and community outreach. It has also been that targeting social determinants produces long-term declines in health inequality (Marmot et al, 2010; Beckfield and Bambra, 2016).</w:t>
      </w:r>
      <w:r w:rsidR="00154C70">
        <w:t xml:space="preserve"> </w:t>
      </w:r>
      <w:r w:rsidRPr="00154C70">
        <w:rPr>
          <w:b/>
          <w:bCs/>
        </w:rPr>
        <w:t>Recommendations:</w:t>
      </w:r>
    </w:p>
    <w:p w14:paraId="7739A155" w14:textId="77777777" w:rsidR="00F712F9" w:rsidRDefault="00F712F9" w:rsidP="00154C70">
      <w:pPr>
        <w:pStyle w:val="ListParagraph"/>
        <w:numPr>
          <w:ilvl w:val="0"/>
          <w:numId w:val="44"/>
        </w:numPr>
      </w:pPr>
      <w:r>
        <w:t>Rebuild and grow local public health funding to give power back to local authorities.</w:t>
      </w:r>
    </w:p>
    <w:p w14:paraId="0932E74F" w14:textId="77777777" w:rsidR="00F712F9" w:rsidRDefault="00F712F9" w:rsidP="00154C70">
      <w:pPr>
        <w:pStyle w:val="ListParagraph"/>
        <w:numPr>
          <w:ilvl w:val="0"/>
          <w:numId w:val="44"/>
        </w:numPr>
      </w:pPr>
      <w:r>
        <w:t>Boost GP recruitment payments in poorer areas.</w:t>
      </w:r>
    </w:p>
    <w:p w14:paraId="7E08C703" w14:textId="3F88BF2C" w:rsidR="00FF2267" w:rsidRDefault="00F712F9" w:rsidP="00154C70">
      <w:pPr>
        <w:pStyle w:val="ListParagraph"/>
        <w:numPr>
          <w:ilvl w:val="0"/>
          <w:numId w:val="44"/>
        </w:numPr>
      </w:pPr>
      <w:r>
        <w:lastRenderedPageBreak/>
        <w:t>Focus NHS provision on areas of greatest need, in line with the Core20PLUS5 template.</w:t>
      </w:r>
    </w:p>
    <w:p w14:paraId="082AD0E5" w14:textId="6FD40867" w:rsidR="001A3E4F" w:rsidRDefault="00291F7D" w:rsidP="001A3E4F">
      <w:pPr>
        <w:pStyle w:val="Heading3"/>
        <w:numPr>
          <w:ilvl w:val="1"/>
          <w:numId w:val="43"/>
        </w:numPr>
      </w:pPr>
      <w:bookmarkStart w:id="40" w:name="_Toc216612439"/>
      <w:r w:rsidRPr="00291F7D">
        <w:t>Enhance Culturally Competent Healthcare</w:t>
      </w:r>
      <w:bookmarkEnd w:id="40"/>
    </w:p>
    <w:p w14:paraId="4B230968" w14:textId="77777777" w:rsidR="0017655D" w:rsidRDefault="0017655D" w:rsidP="0017655D">
      <w:r>
        <w:t>Structural and clinical interventions are needed to address ethnic injustices.</w:t>
      </w:r>
    </w:p>
    <w:p w14:paraId="3DF50223" w14:textId="77777777" w:rsidR="0017655D" w:rsidRPr="0017655D" w:rsidRDefault="0017655D" w:rsidP="0017655D">
      <w:pPr>
        <w:rPr>
          <w:b/>
          <w:bCs/>
        </w:rPr>
      </w:pPr>
      <w:r w:rsidRPr="0017655D">
        <w:rPr>
          <w:b/>
          <w:bCs/>
        </w:rPr>
        <w:t>Recommendations:</w:t>
      </w:r>
    </w:p>
    <w:p w14:paraId="234623FB" w14:textId="77777777" w:rsidR="0017655D" w:rsidRDefault="0017655D" w:rsidP="0017655D">
      <w:pPr>
        <w:pStyle w:val="ListParagraph"/>
        <w:numPr>
          <w:ilvl w:val="0"/>
          <w:numId w:val="45"/>
        </w:numPr>
      </w:pPr>
      <w:r>
        <w:t>The NHS Race and Health Observatory released compulsory anti-racism, cultural safety training for NHS staff (NHS Race and Health Observatory 2021).</w:t>
      </w:r>
    </w:p>
    <w:p w14:paraId="0C2CE4F3" w14:textId="77777777" w:rsidR="0017655D" w:rsidRDefault="0017655D" w:rsidP="0017655D">
      <w:pPr>
        <w:pStyle w:val="ListParagraph"/>
        <w:numPr>
          <w:ilvl w:val="0"/>
          <w:numId w:val="45"/>
        </w:numPr>
      </w:pPr>
      <w:r>
        <w:t>Hiring a multilingual health workers and interpreters.</w:t>
      </w:r>
    </w:p>
    <w:p w14:paraId="1295E87B" w14:textId="77777777" w:rsidR="0017655D" w:rsidRDefault="0017655D" w:rsidP="0017655D">
      <w:pPr>
        <w:pStyle w:val="ListParagraph"/>
        <w:numPr>
          <w:ilvl w:val="0"/>
          <w:numId w:val="45"/>
        </w:numPr>
      </w:pPr>
      <w:r>
        <w:t>Better data on ethnicity in order to address those most at risk.</w:t>
      </w:r>
    </w:p>
    <w:p w14:paraId="0A8BC9F8" w14:textId="088C89FA" w:rsidR="007B3642" w:rsidRDefault="0017655D" w:rsidP="0017655D">
      <w:pPr>
        <w:pStyle w:val="ListParagraph"/>
        <w:numPr>
          <w:ilvl w:val="0"/>
          <w:numId w:val="45"/>
        </w:numPr>
      </w:pPr>
      <w:r>
        <w:t>Work with ethnic minority communities to coproduce services to increase engagement.</w:t>
      </w:r>
    </w:p>
    <w:p w14:paraId="1E2DB8B4" w14:textId="77777777" w:rsidR="0036445B" w:rsidRDefault="0036445B" w:rsidP="0036445B">
      <w:pPr>
        <w:pStyle w:val="ListParagraph"/>
        <w:ind w:left="720" w:firstLine="0"/>
      </w:pPr>
    </w:p>
    <w:p w14:paraId="399407EF" w14:textId="4ACE9D38" w:rsidR="00291F7D" w:rsidRDefault="00291F7D" w:rsidP="001A3E4F">
      <w:pPr>
        <w:pStyle w:val="Heading3"/>
        <w:numPr>
          <w:ilvl w:val="1"/>
          <w:numId w:val="43"/>
        </w:numPr>
      </w:pPr>
      <w:bookmarkStart w:id="41" w:name="_Toc216612440"/>
      <w:r w:rsidRPr="00291F7D">
        <w:t>Strengthen Regional Health Equity Through Integrated Care Systems</w:t>
      </w:r>
      <w:bookmarkEnd w:id="41"/>
    </w:p>
    <w:p w14:paraId="244DDEAF" w14:textId="77777777" w:rsidR="00313925" w:rsidRDefault="00313925" w:rsidP="00313925">
      <w:r>
        <w:t>ICSs are an opportunity to join up local public health, NHS bodies, councils and voluntary organisations.</w:t>
      </w:r>
    </w:p>
    <w:p w14:paraId="5F6FEB22" w14:textId="77777777" w:rsidR="00313925" w:rsidRPr="00313925" w:rsidRDefault="00313925" w:rsidP="00313925">
      <w:pPr>
        <w:rPr>
          <w:b/>
          <w:bCs/>
        </w:rPr>
      </w:pPr>
      <w:r w:rsidRPr="00313925">
        <w:rPr>
          <w:b/>
          <w:bCs/>
        </w:rPr>
        <w:t>Recommendations:</w:t>
      </w:r>
    </w:p>
    <w:p w14:paraId="0355E343" w14:textId="77777777" w:rsidR="00313925" w:rsidRDefault="00313925" w:rsidP="00313925">
      <w:pPr>
        <w:pStyle w:val="ListParagraph"/>
        <w:numPr>
          <w:ilvl w:val="0"/>
          <w:numId w:val="46"/>
        </w:numPr>
      </w:pPr>
      <w:r>
        <w:t>Make sure that renewable response mechanisms are resourced through ICSs work in the long-term reduce inequality.</w:t>
      </w:r>
    </w:p>
    <w:p w14:paraId="391829DA" w14:textId="77777777" w:rsidR="00313925" w:rsidRDefault="00313925" w:rsidP="00313925">
      <w:pPr>
        <w:pStyle w:val="ListParagraph"/>
        <w:numPr>
          <w:ilvl w:val="0"/>
          <w:numId w:val="46"/>
        </w:numPr>
      </w:pPr>
      <w:r>
        <w:t>Enhance access for transportation in accessing rural/remote health facilities.</w:t>
      </w:r>
    </w:p>
    <w:p w14:paraId="1A975F63" w14:textId="448DBF0B" w:rsidR="0036445B" w:rsidRDefault="00313925" w:rsidP="00313925">
      <w:pPr>
        <w:pStyle w:val="ListParagraph"/>
        <w:numPr>
          <w:ilvl w:val="0"/>
          <w:numId w:val="46"/>
        </w:numPr>
      </w:pPr>
      <w:r>
        <w:t>Expand mobile clinics and community-based health hubs in underserved areas.</w:t>
      </w:r>
    </w:p>
    <w:p w14:paraId="0D1C45B2" w14:textId="77777777" w:rsidR="00115F25" w:rsidRDefault="00115F25" w:rsidP="00115F25">
      <w:pPr>
        <w:pStyle w:val="ListParagraph"/>
        <w:ind w:left="720" w:firstLine="0"/>
      </w:pPr>
    </w:p>
    <w:p w14:paraId="31E16D53" w14:textId="4E57D814" w:rsidR="00291F7D" w:rsidRDefault="001057E8" w:rsidP="001A3E4F">
      <w:pPr>
        <w:pStyle w:val="Heading3"/>
        <w:numPr>
          <w:ilvl w:val="1"/>
          <w:numId w:val="43"/>
        </w:numPr>
      </w:pPr>
      <w:bookmarkStart w:id="42" w:name="_Toc216612441"/>
      <w:r w:rsidRPr="001057E8">
        <w:t>Address Digital Inequality in NHS Access</w:t>
      </w:r>
      <w:bookmarkEnd w:id="42"/>
    </w:p>
    <w:p w14:paraId="0ED4ADBE" w14:textId="77777777" w:rsidR="00115F25" w:rsidRDefault="00115F25" w:rsidP="00115F25">
      <w:r>
        <w:t>Digital non-inclusion is the most quickly increasing access barrier.</w:t>
      </w:r>
    </w:p>
    <w:p w14:paraId="4F916559" w14:textId="77777777" w:rsidR="00115F25" w:rsidRPr="00115F25" w:rsidRDefault="00115F25" w:rsidP="00115F25">
      <w:pPr>
        <w:rPr>
          <w:b/>
          <w:bCs/>
        </w:rPr>
      </w:pPr>
      <w:r w:rsidRPr="00115F25">
        <w:rPr>
          <w:b/>
          <w:bCs/>
        </w:rPr>
        <w:t>Recommendations:</w:t>
      </w:r>
    </w:p>
    <w:p w14:paraId="00FA7779" w14:textId="77777777" w:rsidR="00115F25" w:rsidRDefault="00115F25" w:rsidP="00115F25">
      <w:pPr>
        <w:pStyle w:val="ListParagraph"/>
        <w:numPr>
          <w:ilvl w:val="0"/>
          <w:numId w:val="47"/>
        </w:numPr>
      </w:pPr>
      <w:r>
        <w:t>Make sure that whatever services are available online can also be reached through telephone or face­-to-face paths.</w:t>
      </w:r>
    </w:p>
    <w:p w14:paraId="3DB08527" w14:textId="2154C7D2" w:rsidR="00115F25" w:rsidRDefault="00115F25" w:rsidP="00115F25">
      <w:pPr>
        <w:pStyle w:val="ListParagraph"/>
        <w:numPr>
          <w:ilvl w:val="0"/>
          <w:numId w:val="47"/>
        </w:numPr>
      </w:pPr>
      <w:r>
        <w:t>Invest in digital literacy schemes, specifically for older people (Good Things Foundation 2021).</w:t>
      </w:r>
    </w:p>
    <w:p w14:paraId="37F0FD0D" w14:textId="77777777" w:rsidR="00115F25" w:rsidRDefault="00115F25" w:rsidP="00115F25">
      <w:pPr>
        <w:pStyle w:val="ListParagraph"/>
        <w:numPr>
          <w:ilvl w:val="0"/>
          <w:numId w:val="47"/>
        </w:numPr>
      </w:pPr>
      <w:r>
        <w:t>Offer free public Wi-Fi in health centres and libraries to increase access.</w:t>
      </w:r>
    </w:p>
    <w:p w14:paraId="77EB2AEB" w14:textId="3D0EF85F" w:rsidR="00115F25" w:rsidRDefault="00115F25" w:rsidP="00115F25">
      <w:pPr>
        <w:pStyle w:val="ListParagraph"/>
        <w:numPr>
          <w:ilvl w:val="0"/>
          <w:numId w:val="47"/>
        </w:numPr>
      </w:pPr>
      <w:r>
        <w:t>Make NHS apps useful for disabled people.</w:t>
      </w:r>
    </w:p>
    <w:p w14:paraId="41E31D9B" w14:textId="77777777" w:rsidR="00310B79" w:rsidRDefault="00310B79" w:rsidP="00310B79"/>
    <w:p w14:paraId="53C66157" w14:textId="77777777" w:rsidR="00310B79" w:rsidRDefault="00310B79" w:rsidP="00310B79"/>
    <w:p w14:paraId="65DE8F5C" w14:textId="77777777" w:rsidR="00310B79" w:rsidRDefault="00310B79" w:rsidP="00310B79"/>
    <w:p w14:paraId="6943A097" w14:textId="77777777" w:rsidR="00310B79" w:rsidRDefault="00310B79" w:rsidP="00310B79"/>
    <w:p w14:paraId="31977050" w14:textId="77777777" w:rsidR="00115F25" w:rsidRDefault="00115F25" w:rsidP="00115F25">
      <w:pPr>
        <w:pStyle w:val="ListParagraph"/>
        <w:ind w:left="720" w:firstLine="0"/>
      </w:pPr>
    </w:p>
    <w:p w14:paraId="6E03B24A" w14:textId="31C19D73" w:rsidR="001057E8" w:rsidRDefault="00FF2267" w:rsidP="001A3E4F">
      <w:pPr>
        <w:pStyle w:val="Heading3"/>
        <w:numPr>
          <w:ilvl w:val="1"/>
          <w:numId w:val="43"/>
        </w:numPr>
      </w:pPr>
      <w:bookmarkStart w:id="43" w:name="_Toc216612442"/>
      <w:r w:rsidRPr="00FF2267">
        <w:lastRenderedPageBreak/>
        <w:t>Rebuild Public Health Infrastructure</w:t>
      </w:r>
      <w:bookmarkEnd w:id="43"/>
    </w:p>
    <w:p w14:paraId="7BEC4AFB" w14:textId="63F04005" w:rsidR="00343FC0" w:rsidRDefault="00343FC0" w:rsidP="00343FC0">
      <w:r>
        <w:t>Austerity-crippled public health services are inadequate to take on inequality.</w:t>
      </w:r>
    </w:p>
    <w:p w14:paraId="33056AEE" w14:textId="77777777" w:rsidR="00343FC0" w:rsidRPr="0055182D" w:rsidRDefault="00343FC0" w:rsidP="00343FC0">
      <w:pPr>
        <w:rPr>
          <w:b/>
          <w:bCs/>
        </w:rPr>
      </w:pPr>
      <w:r w:rsidRPr="0055182D">
        <w:rPr>
          <w:b/>
          <w:bCs/>
        </w:rPr>
        <w:t>Recommendations:</w:t>
      </w:r>
    </w:p>
    <w:p w14:paraId="54FD7C32" w14:textId="77777777" w:rsidR="00343FC0" w:rsidRDefault="00343FC0" w:rsidP="0055182D">
      <w:pPr>
        <w:pStyle w:val="ListParagraph"/>
        <w:numPr>
          <w:ilvl w:val="0"/>
          <w:numId w:val="48"/>
        </w:numPr>
      </w:pPr>
      <w:r>
        <w:t>Sustain and expand long-term public health investments that concentrate on prevention, not only treatment.</w:t>
      </w:r>
    </w:p>
    <w:p w14:paraId="1B925D1D" w14:textId="77777777" w:rsidR="00343FC0" w:rsidRDefault="00343FC0" w:rsidP="00343FC0"/>
    <w:p w14:paraId="590AD7EF" w14:textId="77777777" w:rsidR="00343FC0" w:rsidRDefault="00343FC0" w:rsidP="0055182D">
      <w:pPr>
        <w:pStyle w:val="ListParagraph"/>
        <w:numPr>
          <w:ilvl w:val="0"/>
          <w:numId w:val="48"/>
        </w:numPr>
      </w:pPr>
      <w:r>
        <w:t>Favour mental health services, maternal health and the prevention of chronic diseases in poorest areas.</w:t>
      </w:r>
    </w:p>
    <w:p w14:paraId="70CF5ABE" w14:textId="079024F8" w:rsidR="00115F25" w:rsidRDefault="00343FC0" w:rsidP="0055182D">
      <w:pPr>
        <w:pStyle w:val="ListParagraph"/>
        <w:numPr>
          <w:ilvl w:val="0"/>
          <w:numId w:val="48"/>
        </w:numPr>
      </w:pPr>
      <w:r>
        <w:t>Enabling “health promotion and education” community initiatives for early screening.</w:t>
      </w:r>
    </w:p>
    <w:p w14:paraId="1E752A73" w14:textId="77777777" w:rsidR="0055182D" w:rsidRPr="005F216E" w:rsidRDefault="0055182D" w:rsidP="003E2BCB"/>
    <w:p w14:paraId="330FB3DB" w14:textId="2466D30E" w:rsidR="0055182D" w:rsidRDefault="005F216E" w:rsidP="005F216E">
      <w:pPr>
        <w:pStyle w:val="Heading2"/>
        <w:rPr>
          <w:caps/>
        </w:rPr>
      </w:pPr>
      <w:bookmarkStart w:id="44" w:name="_Toc216612443"/>
      <w:r w:rsidRPr="005F216E">
        <w:rPr>
          <w:caps/>
        </w:rPr>
        <w:t>3 Recommendations for Future Research</w:t>
      </w:r>
      <w:bookmarkEnd w:id="44"/>
    </w:p>
    <w:p w14:paraId="7F1A4EFB" w14:textId="68385B2E" w:rsidR="00F346B3" w:rsidRDefault="00826855" w:rsidP="00826855">
      <w:r w:rsidRPr="00826855">
        <w:t>Although this study used secondary sources, future research could explore:</w:t>
      </w:r>
    </w:p>
    <w:p w14:paraId="40919ECA" w14:textId="77777777" w:rsidR="00133669" w:rsidRPr="00E63929" w:rsidRDefault="00133669" w:rsidP="00826855"/>
    <w:p w14:paraId="5E8BFA87" w14:textId="53CF938E" w:rsidR="00133669" w:rsidRDefault="009525F0" w:rsidP="00133669">
      <w:pPr>
        <w:pStyle w:val="Heading3"/>
      </w:pPr>
      <w:bookmarkStart w:id="45" w:name="_Toc216612444"/>
      <w:r>
        <w:t xml:space="preserve">3.1 </w:t>
      </w:r>
      <w:r w:rsidRPr="009525F0">
        <w:t>Primary Research on Lived Experiences</w:t>
      </w:r>
      <w:bookmarkEnd w:id="45"/>
    </w:p>
    <w:p w14:paraId="14E819E5" w14:textId="0D57C39B" w:rsidR="00060882" w:rsidRDefault="00133669" w:rsidP="00060882">
      <w:r w:rsidRPr="00133669">
        <w:t>Qualitative interviews or focus groups with adult children of the underserved and minority populations are needed to gain a richer understanding of barriers in health care.</w:t>
      </w:r>
    </w:p>
    <w:p w14:paraId="77945BD1" w14:textId="77777777" w:rsidR="00133669" w:rsidRDefault="00133669" w:rsidP="00060882"/>
    <w:p w14:paraId="7739467C" w14:textId="6144BD6D" w:rsidR="009525F0" w:rsidRDefault="009525F0" w:rsidP="009525F0">
      <w:pPr>
        <w:pStyle w:val="Heading3"/>
      </w:pPr>
      <w:bookmarkStart w:id="46" w:name="_Toc216612445"/>
      <w:r>
        <w:t>3.2</w:t>
      </w:r>
      <w:r w:rsidR="0096650C">
        <w:t xml:space="preserve"> </w:t>
      </w:r>
      <w:r w:rsidR="0096650C" w:rsidRPr="0096650C">
        <w:t>Longitudinal Studies on Digital Inclusion</w:t>
      </w:r>
      <w:bookmarkEnd w:id="46"/>
    </w:p>
    <w:p w14:paraId="13F08EFC" w14:textId="77777777" w:rsidR="00F61C49" w:rsidRDefault="00F61C49" w:rsidP="00F61C49">
      <w:r w:rsidRPr="00F61C49">
        <w:t>With the expansion of digital healthcare, research is important to monitor any long-term impact</w:t>
      </w:r>
      <w:r w:rsidRPr="00F61C49">
        <w:t> </w:t>
      </w:r>
      <w:r w:rsidRPr="00F61C49">
        <w:t>from digital exclusion on specific age, disability and socio-economic populations.</w:t>
      </w:r>
    </w:p>
    <w:p w14:paraId="11495DBF" w14:textId="77777777" w:rsidR="00F61C49" w:rsidRPr="00F61C49" w:rsidRDefault="00F61C49" w:rsidP="00F61C49"/>
    <w:p w14:paraId="1F03E36D" w14:textId="0724E5F0" w:rsidR="0096650C" w:rsidRDefault="0096650C" w:rsidP="00F61C49">
      <w:pPr>
        <w:pStyle w:val="Heading3"/>
        <w:ind w:left="0"/>
      </w:pPr>
      <w:bookmarkStart w:id="47" w:name="_Toc216612446"/>
      <w:r>
        <w:t xml:space="preserve">3.3 </w:t>
      </w:r>
      <w:r w:rsidR="00060882" w:rsidRPr="00060882">
        <w:t>Evaluations of ICS Effectiveness</w:t>
      </w:r>
      <w:bookmarkEnd w:id="47"/>
    </w:p>
    <w:p w14:paraId="69920976" w14:textId="77777777" w:rsidR="00240C45" w:rsidRPr="00240C45" w:rsidRDefault="00240C45" w:rsidP="00240C45">
      <w:r w:rsidRPr="00240C45">
        <w:t>Further research is needed to assess how Integrated Care Systems are decreasing inequality and these could include measurable metrics on access and outcomes over</w:t>
      </w:r>
      <w:r w:rsidRPr="00240C45">
        <w:t> </w:t>
      </w:r>
      <w:r w:rsidRPr="00240C45">
        <w:t>time.</w:t>
      </w:r>
    </w:p>
    <w:p w14:paraId="1CAF56F8" w14:textId="77777777" w:rsidR="00240C45" w:rsidRDefault="00240C45" w:rsidP="00240C45">
      <w:pPr>
        <w:pStyle w:val="Heading3"/>
        <w:ind w:left="0"/>
      </w:pPr>
    </w:p>
    <w:p w14:paraId="497CA3F4" w14:textId="742A7AA1" w:rsidR="00060882" w:rsidRDefault="00060882" w:rsidP="00240C45">
      <w:pPr>
        <w:pStyle w:val="Heading3"/>
        <w:ind w:left="0"/>
      </w:pPr>
      <w:bookmarkStart w:id="48" w:name="_Toc216612447"/>
      <w:r>
        <w:t xml:space="preserve">3.4 </w:t>
      </w:r>
      <w:r w:rsidRPr="00060882">
        <w:t>Intersectionality-Focused Research</w:t>
      </w:r>
      <w:bookmarkEnd w:id="48"/>
    </w:p>
    <w:p w14:paraId="238C940D" w14:textId="77777777" w:rsidR="00BD5959" w:rsidRDefault="00BD5959" w:rsidP="00BD5959">
      <w:r w:rsidRPr="00BD5959">
        <w:t>Research exploring the intersectional effect of ethnicity, class, disability and geography would</w:t>
      </w:r>
      <w:r w:rsidRPr="00BD5959">
        <w:t> </w:t>
      </w:r>
      <w:r w:rsidRPr="00BD5959">
        <w:t>inform more nuanced responses (Crenshaw, 1989; Nazroo et al., 2020).</w:t>
      </w:r>
    </w:p>
    <w:p w14:paraId="300E9CF0" w14:textId="77777777" w:rsidR="00310B79" w:rsidRDefault="00310B79" w:rsidP="00BD5959"/>
    <w:p w14:paraId="22BC4F7E" w14:textId="77777777" w:rsidR="00310B79" w:rsidRDefault="00310B79" w:rsidP="00BD5959"/>
    <w:p w14:paraId="67D117C2" w14:textId="77777777" w:rsidR="00310B79" w:rsidRDefault="00310B79" w:rsidP="00BD5959"/>
    <w:p w14:paraId="3F6D1E79" w14:textId="77777777" w:rsidR="00310B79" w:rsidRDefault="00310B79" w:rsidP="00BD5959"/>
    <w:p w14:paraId="4CD75CE7" w14:textId="77777777" w:rsidR="00310B79" w:rsidRDefault="00310B79" w:rsidP="00BD5959"/>
    <w:p w14:paraId="7DBC6AAA" w14:textId="77777777" w:rsidR="00310B79" w:rsidRPr="00BD5959" w:rsidRDefault="00310B79" w:rsidP="00BD5959"/>
    <w:p w14:paraId="420A53FA" w14:textId="77777777" w:rsidR="00240C45" w:rsidRDefault="00240C45" w:rsidP="00240C45"/>
    <w:p w14:paraId="11AD799E" w14:textId="71B944F6" w:rsidR="005F216E" w:rsidRPr="002E499F" w:rsidRDefault="002E499F" w:rsidP="002E499F">
      <w:pPr>
        <w:pStyle w:val="Heading2"/>
        <w:rPr>
          <w:bCs/>
        </w:rPr>
      </w:pPr>
      <w:bookmarkStart w:id="49" w:name="_Toc216612448"/>
      <w:r w:rsidRPr="002E499F">
        <w:rPr>
          <w:bCs/>
        </w:rPr>
        <w:lastRenderedPageBreak/>
        <w:t>4. CONCLUSION</w:t>
      </w:r>
      <w:bookmarkEnd w:id="49"/>
    </w:p>
    <w:p w14:paraId="5A31326F" w14:textId="77777777" w:rsidR="007229F6" w:rsidRDefault="007229F6" w:rsidP="007229F6">
      <w:pPr>
        <w:adjustRightInd w:val="0"/>
        <w:mirrorIndents/>
        <w:jc w:val="both"/>
        <w:rPr>
          <w:rFonts w:eastAsia="Arial Unicode MS" w:cs="Arial"/>
        </w:rPr>
      </w:pPr>
    </w:p>
    <w:p w14:paraId="73F48876" w14:textId="4C14EF67" w:rsidR="007229F6" w:rsidRDefault="007229F6" w:rsidP="007229F6">
      <w:pPr>
        <w:adjustRightInd w:val="0"/>
        <w:mirrorIndents/>
        <w:jc w:val="both"/>
        <w:rPr>
          <w:rFonts w:eastAsia="Arial Unicode MS" w:cs="Arial"/>
        </w:rPr>
      </w:pPr>
      <w:r w:rsidRPr="007229F6">
        <w:rPr>
          <w:rFonts w:eastAsia="Arial Unicode MS" w:cs="Arial"/>
        </w:rPr>
        <w:t>This thesis undertook a study of health access and inequalities among adults across the</w:t>
      </w:r>
      <w:r w:rsidRPr="007229F6">
        <w:rPr>
          <w:rFonts w:eastAsia="Arial Unicode MS" w:cs="Arial"/>
        </w:rPr>
        <w:t> </w:t>
      </w:r>
      <w:r w:rsidRPr="007229F6">
        <w:rPr>
          <w:rFonts w:eastAsia="Arial Unicode MS" w:cs="Arial"/>
        </w:rPr>
        <w:t>UK, undertaking secondary research on social, structural and policy determinants of health. The main objective was to consider why there remained such significant disparities when the NHS had been established on principles of</w:t>
      </w:r>
      <w:r w:rsidRPr="007229F6">
        <w:rPr>
          <w:rFonts w:eastAsia="Arial Unicode MS" w:cs="Arial"/>
        </w:rPr>
        <w:t> </w:t>
      </w:r>
      <w:r w:rsidRPr="007229F6">
        <w:rPr>
          <w:rFonts w:eastAsia="Arial Unicode MS" w:cs="Arial"/>
        </w:rPr>
        <w:t>universality and equity. By critical review and thematic analysis of the literature, governmental data and policy reports, this study has highlighted that health inequalities in the</w:t>
      </w:r>
      <w:r w:rsidRPr="007229F6">
        <w:rPr>
          <w:rFonts w:eastAsia="Arial Unicode MS" w:cs="Arial"/>
        </w:rPr>
        <w:t> </w:t>
      </w:r>
      <w:r w:rsidRPr="007229F6">
        <w:rPr>
          <w:rFonts w:eastAsia="Arial Unicode MS" w:cs="Arial"/>
        </w:rPr>
        <w:t>UK are not accidental or inevitable; but are symptomatic of enduring, interconnected social determinants.</w:t>
      </w:r>
    </w:p>
    <w:p w14:paraId="37A47F19" w14:textId="77777777" w:rsidR="00D055B2" w:rsidRPr="00D055B2" w:rsidRDefault="00D055B2" w:rsidP="00D055B2">
      <w:pPr>
        <w:adjustRightInd w:val="0"/>
        <w:mirrorIndents/>
        <w:jc w:val="both"/>
        <w:rPr>
          <w:rFonts w:eastAsia="Arial Unicode MS" w:cs="Arial"/>
        </w:rPr>
      </w:pPr>
      <w:r w:rsidRPr="00D055B2">
        <w:rPr>
          <w:rFonts w:eastAsia="Arial Unicode MS" w:cs="Arial"/>
        </w:rPr>
        <w:t>The results reconfirm that poverty is still far and away the greatest risk factor in terms of health and access to medical care. In areas with poor quality of life, the lifespan for adults there will be shortened greatly as well as the healthy life expectancy. Moreover, people living in such spaces also have much greater threat factors: devoid employment precarious housing and environmental dangers. (ONS, 2022; Marmot et al., 2020) These disparities persist throughout one's life course and are perpetuated by a reverse care law. Here it seems that the places which need most health care will remain least supplied on all counts. (Hart, 1971) This directly contradicts the popular assumption that just providing universal healthcare alone can ensure equitable health.</w:t>
      </w:r>
    </w:p>
    <w:p w14:paraId="465A8AE8" w14:textId="10A63AFA" w:rsidR="005D5548" w:rsidRPr="005D5548" w:rsidRDefault="005D5548" w:rsidP="005D5548">
      <w:pPr>
        <w:adjustRightInd w:val="0"/>
        <w:mirrorIndents/>
        <w:jc w:val="both"/>
        <w:rPr>
          <w:rFonts w:eastAsia="Arial Unicode MS" w:cs="Arial"/>
        </w:rPr>
      </w:pPr>
      <w:r w:rsidRPr="005D5548">
        <w:rPr>
          <w:rFonts w:eastAsia="Arial Unicode MS" w:cs="Arial"/>
        </w:rPr>
        <w:t xml:space="preserve">Discipline also underscores that the well-known ethnic inequalities in health services and results have their roots deep within institutional and structural </w:t>
      </w:r>
      <w:r w:rsidR="003E2BCB" w:rsidRPr="005D5548">
        <w:rPr>
          <w:rFonts w:eastAsia="Arial Unicode MS" w:cs="Arial"/>
        </w:rPr>
        <w:t>systems. New</w:t>
      </w:r>
      <w:r w:rsidRPr="005D5548">
        <w:rPr>
          <w:rFonts w:eastAsia="Arial Unicode MS" w:cs="Arial"/>
        </w:rPr>
        <w:t xml:space="preserve"> investigation shows that adults of Black, Asian and minority ethnic background are confronted with barriers to healthcare that are out of all proportion to the challenges faced by white patients. These can involve discrimination, provision of services that are culturally inappropriate, and deprivation of initiative in consultations with health professionals and providers (Nazroo, Bhui and Rhodes, 2020; NHS Race and Health Observatory, 2021).His disparities were partially reflected in the network in the COVID-19 pandemic, and we can't shake from our minds how race, occupation and deprivation combined crazily to make one problem explode into a potential threat for another (Public Health England, 2020).The long-standing for such disparities means that remedial action in a number of areas is now essential beyond superficial levels and without overlooking problems of structural racism and representation of people from different backgrounds within healthcare systems.</w:t>
      </w:r>
    </w:p>
    <w:p w14:paraId="1EFB3CB4" w14:textId="77777777" w:rsidR="007E426F" w:rsidRPr="007E426F" w:rsidRDefault="007E426F" w:rsidP="007E426F">
      <w:pPr>
        <w:adjustRightInd w:val="0"/>
        <w:mirrorIndents/>
        <w:jc w:val="both"/>
        <w:rPr>
          <w:rFonts w:eastAsia="Arial Unicode MS" w:cs="Arial"/>
        </w:rPr>
      </w:pPr>
      <w:r w:rsidRPr="007E426F">
        <w:rPr>
          <w:rFonts w:eastAsia="Arial Unicode MS" w:cs="Arial"/>
        </w:rPr>
        <w:t xml:space="preserve">These problems are again compounded by geographical inequalities. There were clear regional differences, with health outcomes being much worse in the north, coastal areas and countryside than they were for their more prosperous southern counterparts (The King’s Fund, 2021). While but to a lesser extent, this change. Recent reforms like Integrated Care Systems aim to redress these imbalances by using local initiatives, but progress has been uneven and </w:t>
      </w:r>
      <w:r w:rsidRPr="007E426F">
        <w:rPr>
          <w:rFonts w:eastAsia="Arial Unicode MS" w:cs="Arial"/>
        </w:rPr>
        <w:lastRenderedPageBreak/>
        <w:t>held back by fiscal constraints as well as a shortage of manpower(feeder background information needed) (Health Foundation, 2022). This underscores the importance of sustained local investment and cross-sector collaboration.</w:t>
      </w:r>
    </w:p>
    <w:p w14:paraId="7A0FCB33" w14:textId="469EC08B" w:rsidR="003826E9" w:rsidRDefault="003826E9" w:rsidP="003826E9">
      <w:pPr>
        <w:adjustRightInd w:val="0"/>
        <w:mirrorIndents/>
        <w:jc w:val="both"/>
        <w:rPr>
          <w:rFonts w:eastAsia="Arial Unicode MS" w:cs="Arial"/>
        </w:rPr>
      </w:pPr>
      <w:r w:rsidRPr="003826E9">
        <w:rPr>
          <w:rFonts w:eastAsia="Arial Unicode MS" w:cs="Arial"/>
        </w:rPr>
        <w:t>By completing this research, one of its most important contributions has been to identify not only the emergence of Internet access as a barrier to medical care but also how great an increasing problem this has become.</w:t>
      </w:r>
      <w:r>
        <w:rPr>
          <w:rFonts w:eastAsia="Arial Unicode MS" w:cs="Arial"/>
        </w:rPr>
        <w:t xml:space="preserve"> </w:t>
      </w:r>
      <w:r w:rsidRPr="003826E9">
        <w:rPr>
          <w:rFonts w:eastAsia="Arial Unicode MS" w:cs="Arial"/>
        </w:rPr>
        <w:t>As the NHS moves its services online, however, adults who do not have access to digital technology or know how to use it face a bleak future apart from necessary healthcare paths (Good Things Foundation, 2021; Ofcom, 2022).Yet digital healthcare needs also to be implemented alongside inclusive alternative means of access so that everybody has a fair chance and we do not further increase existing disparities.</w:t>
      </w:r>
    </w:p>
    <w:p w14:paraId="4F950D9F" w14:textId="78C49268" w:rsidR="009F1A54" w:rsidRDefault="009F1A54" w:rsidP="009F1A54">
      <w:pPr>
        <w:adjustRightInd w:val="0"/>
        <w:mirrorIndents/>
        <w:jc w:val="both"/>
        <w:rPr>
          <w:rFonts w:eastAsia="Arial Unicode MS" w:cs="Arial"/>
        </w:rPr>
      </w:pPr>
      <w:r w:rsidRPr="009F1A54">
        <w:rPr>
          <w:rFonts w:eastAsia="Arial Unicode MS" w:cs="Arial"/>
        </w:rPr>
        <w:t xml:space="preserve">At last, this passage of text has demonstrated that the UK's health inequalities are intractable, multi-faceted problems which cannot be piecemealed into one framework. While measures like the NHS Long Term Plan and the Core20PLUS5 framework stand as vital steps ahead in redressing inequality, their efficacy is necessarily circumscribed without more widespread work on things like building healthy cities around public transport systems (Marmot et al., 2010; Beckfield and Bambra in press).Health equality cannot be achieved through the health care system alone, it requires co-ordinated action between every department of government as well as </w:t>
      </w:r>
      <w:r w:rsidRPr="009F1A54">
        <w:rPr>
          <w:rFonts w:eastAsia="Arial Unicode MS" w:cs="Arial"/>
        </w:rPr>
        <w:t>neighbourhood</w:t>
      </w:r>
      <w:r w:rsidRPr="009F1A54">
        <w:rPr>
          <w:rFonts w:eastAsia="Arial Unicode MS" w:cs="Arial"/>
        </w:rPr>
        <w:t xml:space="preserve"> councils and individuals.</w:t>
      </w:r>
    </w:p>
    <w:p w14:paraId="14B9CF9F" w14:textId="77777777" w:rsidR="003E2BCB" w:rsidRPr="003E2BCB" w:rsidRDefault="003E2BCB" w:rsidP="003E2BCB">
      <w:pPr>
        <w:adjustRightInd w:val="0"/>
        <w:mirrorIndents/>
        <w:jc w:val="both"/>
        <w:rPr>
          <w:rFonts w:eastAsia="Arial Unicode MS" w:cs="Arial"/>
        </w:rPr>
      </w:pPr>
      <w:r w:rsidRPr="003E2BCB">
        <w:rPr>
          <w:rFonts w:eastAsia="Arial Unicode MS" w:cs="Arial"/>
        </w:rPr>
        <w:t>To conclude, achieving the reduction of health inequalities in adults that are currently</w:t>
      </w:r>
      <w:r w:rsidRPr="003E2BCB">
        <w:rPr>
          <w:rFonts w:eastAsia="Arial Unicode MS" w:cs="Arial"/>
        </w:rPr>
        <w:t> </w:t>
      </w:r>
      <w:r w:rsidRPr="003E2BCB">
        <w:rPr>
          <w:rFonts w:eastAsia="Arial Unicode MS" w:cs="Arial"/>
        </w:rPr>
        <w:t>visible in UK society requires a year-on-year agenda designed to secure long-term whole-system change underpinned by social justice and fairness. This work highlights the</w:t>
      </w:r>
      <w:r w:rsidRPr="003E2BCB">
        <w:rPr>
          <w:rFonts w:eastAsia="Arial Unicode MS" w:cs="Arial"/>
        </w:rPr>
        <w:t> </w:t>
      </w:r>
      <w:r w:rsidRPr="003E2BCB">
        <w:rPr>
          <w:rFonts w:eastAsia="Arial Unicode MS" w:cs="Arial"/>
        </w:rPr>
        <w:t>importance of persistent political will, investments in targeted resource allocation, culturally sensitive and appropriate care, and inclusive service provision. Unless this inequality and divergence is dealt with at the structural level, health inequalities will continue to undermine both population health and the foundational</w:t>
      </w:r>
      <w:r w:rsidRPr="003E2BCB">
        <w:rPr>
          <w:rFonts w:eastAsia="Arial Unicode MS" w:cs="Arial"/>
        </w:rPr>
        <w:t> </w:t>
      </w:r>
      <w:r w:rsidRPr="003E2BCB">
        <w:rPr>
          <w:rFonts w:eastAsia="Arial Unicode MS" w:cs="Arial"/>
        </w:rPr>
        <w:t>values of the NHS. On the other hand, positive steps towards health equity</w:t>
      </w:r>
      <w:r w:rsidRPr="003E2BCB">
        <w:rPr>
          <w:rFonts w:eastAsia="Arial Unicode MS" w:cs="Arial"/>
        </w:rPr>
        <w:t> </w:t>
      </w:r>
      <w:r w:rsidRPr="003E2BCB">
        <w:rPr>
          <w:rFonts w:eastAsia="Arial Unicode MS" w:cs="Arial"/>
        </w:rPr>
        <w:t>have the power to enhance individual well-being along with bolstering overall UK health system resilience, fairness and sustainability.</w:t>
      </w:r>
    </w:p>
    <w:p w14:paraId="14040A97" w14:textId="77777777" w:rsidR="009F1A54" w:rsidRPr="009F1A54" w:rsidRDefault="009F1A54" w:rsidP="009F1A54">
      <w:pPr>
        <w:adjustRightInd w:val="0"/>
        <w:mirrorIndents/>
        <w:jc w:val="both"/>
        <w:rPr>
          <w:rFonts w:eastAsia="Arial Unicode MS" w:cs="Arial"/>
        </w:rPr>
      </w:pPr>
    </w:p>
    <w:p w14:paraId="5E29B86B" w14:textId="77777777" w:rsidR="003826E9" w:rsidRPr="003826E9" w:rsidRDefault="003826E9" w:rsidP="003826E9">
      <w:pPr>
        <w:adjustRightInd w:val="0"/>
        <w:mirrorIndents/>
        <w:jc w:val="both"/>
        <w:rPr>
          <w:rFonts w:eastAsia="Arial Unicode MS" w:cs="Arial"/>
        </w:rPr>
      </w:pPr>
    </w:p>
    <w:p w14:paraId="511919B6" w14:textId="77777777" w:rsidR="005D5548" w:rsidRPr="007229F6" w:rsidRDefault="005D5548" w:rsidP="007229F6">
      <w:pPr>
        <w:adjustRightInd w:val="0"/>
        <w:mirrorIndents/>
        <w:jc w:val="both"/>
        <w:rPr>
          <w:rFonts w:eastAsia="Arial Unicode MS" w:cs="Arial"/>
        </w:rPr>
      </w:pPr>
    </w:p>
    <w:p w14:paraId="4771A70D" w14:textId="77777777" w:rsidR="00374501" w:rsidRPr="00141A69" w:rsidRDefault="00374501" w:rsidP="00DA52F0">
      <w:pPr>
        <w:adjustRightInd w:val="0"/>
        <w:mirrorIndents/>
        <w:jc w:val="both"/>
        <w:rPr>
          <w:rFonts w:eastAsia="Arial Unicode MS" w:cs="Arial"/>
        </w:rPr>
      </w:pPr>
    </w:p>
    <w:p w14:paraId="426EDD2A" w14:textId="77777777" w:rsidR="00F81533" w:rsidRDefault="00F81533" w:rsidP="00DD6421">
      <w:pPr>
        <w:pStyle w:val="Heading1"/>
      </w:pPr>
    </w:p>
    <w:p w14:paraId="2F529443" w14:textId="77777777" w:rsidR="00F81533" w:rsidRDefault="00F81533" w:rsidP="00DD6421">
      <w:pPr>
        <w:pStyle w:val="Heading1"/>
      </w:pPr>
    </w:p>
    <w:p w14:paraId="6131B715" w14:textId="77777777" w:rsidR="00F81533" w:rsidRDefault="00F81533" w:rsidP="00DD6421">
      <w:pPr>
        <w:pStyle w:val="Heading1"/>
      </w:pPr>
    </w:p>
    <w:p w14:paraId="35D435A0" w14:textId="77777777" w:rsidR="00F81533" w:rsidRDefault="00F81533" w:rsidP="003E2BCB">
      <w:pPr>
        <w:pStyle w:val="Heading1"/>
        <w:ind w:left="0"/>
      </w:pPr>
    </w:p>
    <w:p w14:paraId="5834BE78" w14:textId="05BFAD3E" w:rsidR="00393961" w:rsidRDefault="00585777" w:rsidP="00393961">
      <w:pPr>
        <w:pStyle w:val="Heading2"/>
      </w:pPr>
      <w:bookmarkStart w:id="50" w:name="_Toc216612449"/>
      <w:r>
        <w:lastRenderedPageBreak/>
        <w:t>REFERENCES</w:t>
      </w:r>
      <w:bookmarkEnd w:id="50"/>
      <w:r w:rsidR="005C2C7A" w:rsidRPr="00812591">
        <w:t xml:space="preserve"> </w:t>
      </w:r>
    </w:p>
    <w:p w14:paraId="6115412E" w14:textId="77777777" w:rsidR="00375951" w:rsidRPr="00A525F3" w:rsidRDefault="00375951" w:rsidP="00393961">
      <w:pPr>
        <w:pStyle w:val="Heading2"/>
        <w:rPr>
          <w:rFonts w:eastAsia="Arial Unicode MS" w:cs="Arial"/>
        </w:rPr>
      </w:pPr>
    </w:p>
    <w:p w14:paraId="49E56BEB" w14:textId="664BB704" w:rsidR="00375951" w:rsidRPr="006973C0" w:rsidRDefault="00375951" w:rsidP="006973C0">
      <w:pPr>
        <w:ind w:left="220"/>
        <w:mirrorIndents/>
        <w:rPr>
          <w:rFonts w:eastAsia="Arial Unicode MS" w:cs="Arial"/>
        </w:rPr>
      </w:pPr>
      <w:r w:rsidRPr="006973C0">
        <w:rPr>
          <w:rFonts w:eastAsia="Arial Unicode MS" w:cs="Arial"/>
          <w:b/>
          <w:bCs/>
        </w:rPr>
        <w:t>Acheson, D.</w:t>
      </w:r>
      <w:r w:rsidRPr="006973C0">
        <w:rPr>
          <w:rFonts w:eastAsia="Arial Unicode MS" w:cs="Arial"/>
        </w:rPr>
        <w:t xml:space="preserve"> (1998) </w:t>
      </w:r>
      <w:r w:rsidRPr="006973C0">
        <w:rPr>
          <w:rFonts w:eastAsia="Arial Unicode MS" w:cs="Arial"/>
          <w:i/>
          <w:iCs/>
        </w:rPr>
        <w:t>Independent Inquiry into Inequalities in Health</w:t>
      </w:r>
      <w:r w:rsidRPr="006973C0">
        <w:rPr>
          <w:rFonts w:eastAsia="Arial Unicode MS" w:cs="Arial"/>
        </w:rPr>
        <w:t xml:space="preserve">. London: The Stationery Office. Available at:  </w:t>
      </w:r>
      <w:hyperlink r:id="rId13" w:history="1">
        <w:r w:rsidRPr="006973C0">
          <w:rPr>
            <w:rStyle w:val="Hyperlink"/>
            <w:rFonts w:eastAsia="Arial Unicode MS" w:cs="Arial"/>
          </w:rPr>
          <w:t>https://webarchive.nationalarchives.gov.uk/ukgwa/20130107105354/http://www.archive.official-documents.co.uk/document/doh/ih/contents.htm</w:t>
        </w:r>
      </w:hyperlink>
      <w:r w:rsidRPr="006973C0">
        <w:rPr>
          <w:rFonts w:eastAsia="Arial Unicode MS" w:cs="Arial"/>
        </w:rPr>
        <w:t xml:space="preserve"> (Accessed: 18 June 2025).</w:t>
      </w:r>
    </w:p>
    <w:p w14:paraId="36F42EE3" w14:textId="4B8BA7E1" w:rsidR="009D4F54" w:rsidRPr="006973C0" w:rsidRDefault="009D4F54" w:rsidP="006973C0">
      <w:pPr>
        <w:ind w:left="220"/>
        <w:mirrorIndents/>
        <w:rPr>
          <w:rFonts w:eastAsia="Arial Unicode MS" w:cs="Arial"/>
        </w:rPr>
      </w:pPr>
      <w:r w:rsidRPr="006973C0">
        <w:rPr>
          <w:rFonts w:eastAsia="Arial Unicode MS" w:cs="Arial"/>
          <w:b/>
          <w:bCs/>
        </w:rPr>
        <w:t>Age UK</w:t>
      </w:r>
      <w:r w:rsidRPr="006973C0">
        <w:rPr>
          <w:rFonts w:eastAsia="Arial Unicode MS" w:cs="Arial"/>
        </w:rPr>
        <w:t xml:space="preserve"> (2024) </w:t>
      </w:r>
      <w:r w:rsidRPr="006973C0">
        <w:rPr>
          <w:rFonts w:eastAsia="Arial Unicode MS" w:cs="Arial"/>
          <w:i/>
          <w:iCs/>
        </w:rPr>
        <w:t>Later life inequalities and health</w:t>
      </w:r>
      <w:r w:rsidRPr="006973C0">
        <w:rPr>
          <w:rFonts w:eastAsia="Arial Unicode MS" w:cs="Arial"/>
        </w:rPr>
        <w:t>.</w:t>
      </w:r>
      <w:r w:rsidRPr="006973C0">
        <w:rPr>
          <w:rFonts w:eastAsia="Arial Unicode MS" w:cs="Arial"/>
        </w:rPr>
        <w:br/>
        <w:t xml:space="preserve">Available at: </w:t>
      </w:r>
      <w:hyperlink r:id="rId14" w:tgtFrame="_new" w:history="1">
        <w:r w:rsidRPr="006973C0">
          <w:rPr>
            <w:rStyle w:val="Hyperlink"/>
            <w:rFonts w:eastAsia="Arial Unicode MS" w:cs="Arial"/>
          </w:rPr>
          <w:t>https://www.ageuk.org.uk/information-advice/health-wellbeing/</w:t>
        </w:r>
      </w:hyperlink>
      <w:r w:rsidRPr="006973C0">
        <w:rPr>
          <w:rFonts w:eastAsia="Arial Unicode MS" w:cs="Arial"/>
        </w:rPr>
        <w:br/>
        <w:t>Accessed: 09 December 2025.</w:t>
      </w:r>
    </w:p>
    <w:p w14:paraId="0D20EB82" w14:textId="70335907" w:rsidR="00F45456" w:rsidRPr="006973C0" w:rsidRDefault="00F45456" w:rsidP="006973C0">
      <w:pPr>
        <w:ind w:left="220"/>
        <w:mirrorIndents/>
        <w:rPr>
          <w:rFonts w:eastAsia="Arial Unicode MS" w:cs="Arial"/>
        </w:rPr>
      </w:pPr>
      <w:r w:rsidRPr="006973C0">
        <w:rPr>
          <w:rFonts w:eastAsia="Arial Unicode MS" w:cs="Arial"/>
          <w:b/>
          <w:bCs/>
        </w:rPr>
        <w:t>Bambra, C., Smith, K.E. and Pearce, J.</w:t>
      </w:r>
      <w:r w:rsidRPr="006973C0">
        <w:rPr>
          <w:rFonts w:eastAsia="Arial Unicode MS" w:cs="Arial"/>
        </w:rPr>
        <w:t xml:space="preserve"> (2019) </w:t>
      </w:r>
      <w:r w:rsidRPr="006973C0">
        <w:rPr>
          <w:rFonts w:eastAsia="Arial Unicode MS" w:cs="Arial"/>
          <w:i/>
          <w:iCs/>
        </w:rPr>
        <w:t>Health, Inequality and Society</w:t>
      </w:r>
      <w:r w:rsidRPr="006973C0">
        <w:rPr>
          <w:rFonts w:eastAsia="Arial Unicode MS" w:cs="Arial"/>
        </w:rPr>
        <w:t>. Bristol: Policy Press.</w:t>
      </w:r>
      <w:r w:rsidRPr="006973C0">
        <w:rPr>
          <w:rFonts w:eastAsia="Arial Unicode MS" w:cs="Arial"/>
        </w:rPr>
        <w:br/>
        <w:t>Available at: https://policy.bristoluniversitypress.co.uk/health-inequality-and-society</w:t>
      </w:r>
      <w:r w:rsidRPr="006973C0">
        <w:rPr>
          <w:rFonts w:eastAsia="Arial Unicode MS" w:cs="Arial"/>
        </w:rPr>
        <w:br/>
        <w:t>(Accessed: 05 July 2025).</w:t>
      </w:r>
    </w:p>
    <w:p w14:paraId="6DB2A6E4" w14:textId="3E7B4938" w:rsidR="00F45456" w:rsidRPr="006973C0" w:rsidRDefault="00627F96" w:rsidP="006973C0">
      <w:pPr>
        <w:ind w:left="220"/>
        <w:mirrorIndents/>
        <w:rPr>
          <w:rFonts w:eastAsia="Arial Unicode MS" w:cs="Arial"/>
        </w:rPr>
      </w:pPr>
      <w:r w:rsidRPr="006973C0">
        <w:rPr>
          <w:rFonts w:eastAsia="Arial Unicode MS" w:cs="Arial"/>
          <w:b/>
          <w:bCs/>
        </w:rPr>
        <w:t>Bambra, C. et al.</w:t>
      </w:r>
      <w:r w:rsidRPr="006973C0">
        <w:rPr>
          <w:rFonts w:eastAsia="Arial Unicode MS" w:cs="Arial"/>
        </w:rPr>
        <w:t xml:space="preserve"> (2022) ‘COVID-19 and the unequal burden’, </w:t>
      </w:r>
      <w:r w:rsidRPr="006973C0">
        <w:rPr>
          <w:rFonts w:eastAsia="Arial Unicode MS" w:cs="Arial"/>
          <w:i/>
          <w:iCs/>
        </w:rPr>
        <w:t>Journal of Epidemiology &amp; Community Health</w:t>
      </w:r>
      <w:r w:rsidRPr="006973C0">
        <w:rPr>
          <w:rFonts w:eastAsia="Arial Unicode MS" w:cs="Arial"/>
        </w:rPr>
        <w:t>.</w:t>
      </w:r>
      <w:r w:rsidRPr="006973C0">
        <w:rPr>
          <w:rFonts w:eastAsia="Arial Unicode MS" w:cs="Arial"/>
        </w:rPr>
        <w:br/>
        <w:t xml:space="preserve">Available at: </w:t>
      </w:r>
      <w:hyperlink r:id="rId15" w:history="1">
        <w:r w:rsidRPr="006973C0">
          <w:rPr>
            <w:rStyle w:val="Hyperlink"/>
            <w:rFonts w:eastAsia="Arial Unicode MS" w:cs="Arial"/>
          </w:rPr>
          <w:t>https://doi.org/10.1136/jech-2021-218060</w:t>
        </w:r>
      </w:hyperlink>
      <w:r w:rsidRPr="006973C0">
        <w:rPr>
          <w:rFonts w:eastAsia="Arial Unicode MS" w:cs="Arial"/>
        </w:rPr>
        <w:t xml:space="preserve"> (Accessed: 30 September 2025).</w:t>
      </w:r>
    </w:p>
    <w:p w14:paraId="2396D4E9" w14:textId="094F9ED9" w:rsidR="00627F96" w:rsidRPr="006973C0" w:rsidRDefault="005737C5" w:rsidP="006973C0">
      <w:pPr>
        <w:ind w:left="220"/>
        <w:mirrorIndents/>
        <w:rPr>
          <w:rFonts w:eastAsia="Arial Unicode MS" w:cs="Arial"/>
        </w:rPr>
      </w:pPr>
      <w:r w:rsidRPr="006973C0">
        <w:rPr>
          <w:rFonts w:eastAsia="Arial Unicode MS" w:cs="Arial"/>
          <w:b/>
          <w:bCs/>
        </w:rPr>
        <w:t>Beckfield, J. and Bambra, C.</w:t>
      </w:r>
      <w:r w:rsidRPr="006973C0">
        <w:rPr>
          <w:rFonts w:eastAsia="Arial Unicode MS" w:cs="Arial"/>
        </w:rPr>
        <w:t xml:space="preserve"> (2016) ‘Shorter lives in stingier states’, </w:t>
      </w:r>
      <w:r w:rsidRPr="006973C0">
        <w:rPr>
          <w:rFonts w:eastAsia="Arial Unicode MS" w:cs="Arial"/>
          <w:i/>
          <w:iCs/>
        </w:rPr>
        <w:t>Social Science &amp; Medicine</w:t>
      </w:r>
      <w:r w:rsidRPr="006973C0">
        <w:rPr>
          <w:rFonts w:eastAsia="Arial Unicode MS" w:cs="Arial"/>
        </w:rPr>
        <w:t xml:space="preserve">, 166, pp. 30–38. Available at: </w:t>
      </w:r>
      <w:hyperlink r:id="rId16" w:history="1">
        <w:r w:rsidRPr="006973C0">
          <w:rPr>
            <w:rStyle w:val="Hyperlink"/>
            <w:rFonts w:eastAsia="Arial Unicode MS" w:cs="Arial"/>
          </w:rPr>
          <w:t>https://doi.org/10.1016/j.socscimed.2016.08.023</w:t>
        </w:r>
      </w:hyperlink>
      <w:r w:rsidRPr="006973C0">
        <w:rPr>
          <w:rFonts w:eastAsia="Arial Unicode MS" w:cs="Arial"/>
        </w:rPr>
        <w:t xml:space="preserve"> (Accessed: 28 June 2025).</w:t>
      </w:r>
    </w:p>
    <w:p w14:paraId="5F1474DD" w14:textId="3EBFBD3A" w:rsidR="00303BED" w:rsidRPr="006973C0" w:rsidRDefault="00303BED" w:rsidP="006973C0">
      <w:pPr>
        <w:ind w:left="220"/>
        <w:mirrorIndents/>
        <w:rPr>
          <w:rFonts w:eastAsia="Arial Unicode MS" w:cs="Arial"/>
        </w:rPr>
      </w:pPr>
      <w:r w:rsidRPr="006973C0">
        <w:rPr>
          <w:rFonts w:eastAsia="Arial Unicode MS" w:cs="Arial"/>
          <w:b/>
          <w:bCs/>
        </w:rPr>
        <w:t>British Medical Association (BMA)</w:t>
      </w:r>
      <w:r w:rsidRPr="006973C0">
        <w:rPr>
          <w:rFonts w:eastAsia="Arial Unicode MS" w:cs="Arial"/>
        </w:rPr>
        <w:t xml:space="preserve"> (2024) </w:t>
      </w:r>
      <w:r w:rsidRPr="006973C0">
        <w:rPr>
          <w:rFonts w:eastAsia="Arial Unicode MS" w:cs="Arial"/>
          <w:i/>
          <w:iCs/>
        </w:rPr>
        <w:t>NHS pressures and inequalities</w:t>
      </w:r>
      <w:r w:rsidRPr="006973C0">
        <w:rPr>
          <w:rFonts w:eastAsia="Arial Unicode MS" w:cs="Arial"/>
        </w:rPr>
        <w:t>.</w:t>
      </w:r>
      <w:r w:rsidRPr="006973C0">
        <w:rPr>
          <w:rFonts w:eastAsia="Arial Unicode MS" w:cs="Arial"/>
        </w:rPr>
        <w:br/>
        <w:t xml:space="preserve">Available at: </w:t>
      </w:r>
      <w:hyperlink r:id="rId17" w:tgtFrame="_new" w:history="1">
        <w:r w:rsidRPr="006973C0">
          <w:rPr>
            <w:rStyle w:val="Hyperlink"/>
            <w:rFonts w:eastAsia="Arial Unicode MS" w:cs="Arial"/>
          </w:rPr>
          <w:t>https://www.bma.org.uk</w:t>
        </w:r>
      </w:hyperlink>
      <w:r w:rsidRPr="006973C0">
        <w:rPr>
          <w:rFonts w:eastAsia="Arial Unicode MS" w:cs="Arial"/>
        </w:rPr>
        <w:t xml:space="preserve"> (Accessed: 02 December 2025).</w:t>
      </w:r>
    </w:p>
    <w:p w14:paraId="7A10C53F" w14:textId="5CBEAB1F" w:rsidR="00393961" w:rsidRPr="006973C0" w:rsidRDefault="00393961" w:rsidP="006973C0">
      <w:pPr>
        <w:ind w:left="220"/>
        <w:mirrorIndents/>
        <w:jc w:val="both"/>
        <w:rPr>
          <w:rFonts w:eastAsia="Arial Unicode MS" w:cs="Arial"/>
        </w:rPr>
      </w:pPr>
      <w:r w:rsidRPr="006973C0">
        <w:rPr>
          <w:rFonts w:eastAsia="Arial Unicode MS" w:cs="Arial"/>
          <w:b/>
          <w:bCs/>
        </w:rPr>
        <w:t>Bryman, A.</w:t>
      </w:r>
      <w:r w:rsidRPr="006973C0">
        <w:rPr>
          <w:rFonts w:eastAsia="Arial Unicode MS" w:cs="Arial"/>
        </w:rPr>
        <w:t xml:space="preserve"> (2016) </w:t>
      </w:r>
      <w:r w:rsidRPr="006973C0">
        <w:rPr>
          <w:rFonts w:eastAsia="Arial Unicode MS" w:cs="Arial"/>
          <w:i/>
          <w:iCs/>
        </w:rPr>
        <w:t>Social Research Methods</w:t>
      </w:r>
      <w:r w:rsidRPr="006973C0">
        <w:rPr>
          <w:rFonts w:eastAsia="Arial Unicode MS" w:cs="Arial"/>
        </w:rPr>
        <w:t xml:space="preserve">. 5th </w:t>
      </w:r>
      <w:proofErr w:type="spellStart"/>
      <w:r w:rsidRPr="006973C0">
        <w:rPr>
          <w:rFonts w:eastAsia="Arial Unicode MS" w:cs="Arial"/>
        </w:rPr>
        <w:t>edn</w:t>
      </w:r>
      <w:proofErr w:type="spellEnd"/>
      <w:r w:rsidRPr="006973C0">
        <w:rPr>
          <w:rFonts w:eastAsia="Arial Unicode MS" w:cs="Arial"/>
        </w:rPr>
        <w:t>. Oxford: Oxford University Press.</w:t>
      </w:r>
      <w:r w:rsidRPr="006973C0">
        <w:rPr>
          <w:rFonts w:eastAsia="Arial Unicode MS" w:cs="Arial"/>
        </w:rPr>
        <w:br/>
        <w:t xml:space="preserve">Available at: </w:t>
      </w:r>
      <w:hyperlink r:id="rId18" w:history="1">
        <w:r w:rsidRPr="006973C0">
          <w:rPr>
            <w:rStyle w:val="Hyperlink"/>
            <w:rFonts w:eastAsia="Arial Unicode MS" w:cs="Arial"/>
          </w:rPr>
          <w:t>https://global.oup.com/academic/product/social-research-methods-9780199689452</w:t>
        </w:r>
      </w:hyperlink>
      <w:r w:rsidRPr="006973C0">
        <w:rPr>
          <w:rFonts w:eastAsia="Arial Unicode MS" w:cs="Arial"/>
        </w:rPr>
        <w:t xml:space="preserve"> (Accessed: 15 June 2025)</w:t>
      </w:r>
      <w:r w:rsidR="00447936" w:rsidRPr="006973C0">
        <w:rPr>
          <w:rFonts w:eastAsia="Arial Unicode MS" w:cs="Arial"/>
        </w:rPr>
        <w:t>.</w:t>
      </w:r>
    </w:p>
    <w:p w14:paraId="5FE97DB8" w14:textId="235BC8DA" w:rsidR="00447936" w:rsidRPr="006973C0" w:rsidRDefault="00447936" w:rsidP="006973C0">
      <w:pPr>
        <w:ind w:left="220"/>
        <w:mirrorIndents/>
        <w:jc w:val="both"/>
        <w:rPr>
          <w:rFonts w:eastAsia="Arial Unicode MS" w:cs="Arial"/>
        </w:rPr>
      </w:pPr>
      <w:r w:rsidRPr="006973C0">
        <w:rPr>
          <w:rFonts w:eastAsia="Arial Unicode MS" w:cs="Arial"/>
          <w:b/>
          <w:bCs/>
        </w:rPr>
        <w:t>Centre for Ageing Better</w:t>
      </w:r>
      <w:r w:rsidRPr="006973C0">
        <w:rPr>
          <w:rFonts w:eastAsia="Arial Unicode MS" w:cs="Arial"/>
        </w:rPr>
        <w:t xml:space="preserve"> (2024) </w:t>
      </w:r>
      <w:r w:rsidRPr="006973C0">
        <w:rPr>
          <w:rFonts w:eastAsia="Arial Unicode MS" w:cs="Arial"/>
          <w:i/>
          <w:iCs/>
        </w:rPr>
        <w:t>Health inequalities in later life</w:t>
      </w:r>
      <w:r w:rsidRPr="006973C0">
        <w:rPr>
          <w:rFonts w:eastAsia="Arial Unicode MS" w:cs="Arial"/>
        </w:rPr>
        <w:t>.</w:t>
      </w:r>
      <w:r w:rsidRPr="006973C0">
        <w:rPr>
          <w:rFonts w:eastAsia="Arial Unicode MS" w:cs="Arial"/>
        </w:rPr>
        <w:br/>
        <w:t xml:space="preserve">Available at: </w:t>
      </w:r>
      <w:hyperlink r:id="rId19" w:history="1">
        <w:r w:rsidRPr="006973C0">
          <w:rPr>
            <w:rStyle w:val="Hyperlink"/>
            <w:rFonts w:eastAsia="Arial Unicode MS" w:cs="Arial"/>
          </w:rPr>
          <w:t>https://ageing-better.org.uk/work/inequalities</w:t>
        </w:r>
      </w:hyperlink>
      <w:r w:rsidRPr="006973C0">
        <w:rPr>
          <w:rFonts w:eastAsia="Arial Unicode MS" w:cs="Arial"/>
        </w:rPr>
        <w:t xml:space="preserve"> </w:t>
      </w:r>
      <w:r w:rsidRPr="006973C0">
        <w:rPr>
          <w:rFonts w:eastAsia="Arial Unicode MS" w:cs="Arial"/>
        </w:rPr>
        <w:br/>
        <w:t>(Accessed: 09 December 2025).</w:t>
      </w:r>
    </w:p>
    <w:p w14:paraId="706C05D5" w14:textId="5DD4B98D" w:rsidR="00393961" w:rsidRPr="006973C0" w:rsidRDefault="00393961" w:rsidP="006973C0">
      <w:pPr>
        <w:ind w:left="220"/>
        <w:mirrorIndents/>
        <w:rPr>
          <w:rFonts w:eastAsia="Arial Unicode MS" w:cs="Arial"/>
        </w:rPr>
      </w:pPr>
      <w:r w:rsidRPr="006973C0">
        <w:rPr>
          <w:rFonts w:eastAsia="Arial Unicode MS" w:cs="Arial"/>
          <w:b/>
          <w:bCs/>
        </w:rPr>
        <w:t>Crenshaw, K. (1989) ‘</w:t>
      </w:r>
      <w:r w:rsidRPr="006973C0">
        <w:rPr>
          <w:rFonts w:eastAsia="Arial Unicode MS" w:cs="Arial"/>
        </w:rPr>
        <w:t xml:space="preserve">Demarginalizing the intersection of race and sex’, University of Chicago Legal Forum, 1989(1), pp. 139–167. Available at: </w:t>
      </w:r>
      <w:hyperlink r:id="rId20" w:history="1">
        <w:r w:rsidRPr="006973C0">
          <w:rPr>
            <w:rStyle w:val="Hyperlink"/>
            <w:rFonts w:eastAsia="Arial Unicode MS" w:cs="Arial"/>
          </w:rPr>
          <w:t>https://chicagounbound.uchicago.edu/uclf/vol1989/iss1/8</w:t>
        </w:r>
      </w:hyperlink>
      <w:r w:rsidRPr="006973C0">
        <w:rPr>
          <w:rFonts w:eastAsia="Arial Unicode MS" w:cs="Arial"/>
        </w:rPr>
        <w:t xml:space="preserve"> (Accessed: </w:t>
      </w:r>
      <w:r w:rsidR="00447936" w:rsidRPr="006973C0">
        <w:rPr>
          <w:rFonts w:eastAsia="Arial Unicode MS" w:cs="Arial"/>
        </w:rPr>
        <w:t>20 June</w:t>
      </w:r>
      <w:r w:rsidRPr="006973C0">
        <w:rPr>
          <w:rFonts w:eastAsia="Arial Unicode MS" w:cs="Arial"/>
        </w:rPr>
        <w:t xml:space="preserve"> 2025)</w:t>
      </w:r>
      <w:r w:rsidR="00447936" w:rsidRPr="006973C0">
        <w:rPr>
          <w:rFonts w:eastAsia="Arial Unicode MS" w:cs="Arial"/>
        </w:rPr>
        <w:t>.</w:t>
      </w:r>
    </w:p>
    <w:p w14:paraId="7B28B7A2" w14:textId="2D934FDB" w:rsidR="00393961" w:rsidRPr="006973C0" w:rsidRDefault="00393961" w:rsidP="006973C0">
      <w:pPr>
        <w:ind w:left="220"/>
        <w:mirrorIndents/>
        <w:jc w:val="both"/>
        <w:rPr>
          <w:rFonts w:eastAsia="Arial Unicode MS" w:cs="Arial"/>
        </w:rPr>
      </w:pPr>
      <w:r w:rsidRPr="006973C0">
        <w:rPr>
          <w:rFonts w:eastAsia="Arial Unicode MS" w:cs="Arial"/>
          <w:b/>
          <w:bCs/>
        </w:rPr>
        <w:t>Creswell, J.W. and Creswell, J.D.</w:t>
      </w:r>
      <w:r w:rsidRPr="006973C0">
        <w:rPr>
          <w:rFonts w:eastAsia="Arial Unicode MS" w:cs="Arial"/>
        </w:rPr>
        <w:t xml:space="preserve"> (2018) </w:t>
      </w:r>
      <w:r w:rsidRPr="006973C0">
        <w:rPr>
          <w:rFonts w:eastAsia="Arial Unicode MS" w:cs="Arial"/>
          <w:i/>
          <w:iCs/>
        </w:rPr>
        <w:t>Research Design: Qualitative, Quantitative, and Mixed Methods Approaches</w:t>
      </w:r>
      <w:r w:rsidRPr="006973C0">
        <w:rPr>
          <w:rFonts w:eastAsia="Arial Unicode MS" w:cs="Arial"/>
        </w:rPr>
        <w:t xml:space="preserve">. 5th </w:t>
      </w:r>
      <w:proofErr w:type="spellStart"/>
      <w:r w:rsidRPr="006973C0">
        <w:rPr>
          <w:rFonts w:eastAsia="Arial Unicode MS" w:cs="Arial"/>
        </w:rPr>
        <w:t>edn</w:t>
      </w:r>
      <w:proofErr w:type="spellEnd"/>
      <w:r w:rsidRPr="006973C0">
        <w:rPr>
          <w:rFonts w:eastAsia="Arial Unicode MS" w:cs="Arial"/>
        </w:rPr>
        <w:t>. Thousand Oaks, CA: SAGE Publications.</w:t>
      </w:r>
      <w:r w:rsidRPr="006973C0">
        <w:rPr>
          <w:rFonts w:eastAsia="Arial Unicode MS" w:cs="Arial"/>
        </w:rPr>
        <w:br/>
        <w:t xml:space="preserve">Available at: </w:t>
      </w:r>
      <w:hyperlink r:id="rId21" w:tgtFrame="_new" w:history="1">
        <w:r w:rsidRPr="006973C0">
          <w:rPr>
            <w:rStyle w:val="Hyperlink"/>
            <w:rFonts w:eastAsia="Arial Unicode MS" w:cs="Arial"/>
          </w:rPr>
          <w:t>https://us.sagepub.com/en-us/nam/research-design/book255675</w:t>
        </w:r>
      </w:hyperlink>
      <w:r w:rsidRPr="006973C0">
        <w:rPr>
          <w:rFonts w:eastAsia="Arial Unicode MS" w:cs="Arial"/>
        </w:rPr>
        <w:br/>
        <w:t>(Accessed: 20 June 2025)</w:t>
      </w:r>
      <w:r w:rsidR="00F51D4C" w:rsidRPr="006973C0">
        <w:rPr>
          <w:rFonts w:eastAsia="Arial Unicode MS" w:cs="Arial"/>
        </w:rPr>
        <w:t>.</w:t>
      </w:r>
    </w:p>
    <w:p w14:paraId="3AF7B8E9" w14:textId="738FC75C" w:rsidR="00F51D4C" w:rsidRPr="006973C0" w:rsidRDefault="00F51D4C" w:rsidP="006973C0">
      <w:pPr>
        <w:ind w:left="220"/>
        <w:mirrorIndents/>
        <w:jc w:val="both"/>
        <w:rPr>
          <w:rFonts w:eastAsia="Arial Unicode MS" w:cs="Arial"/>
        </w:rPr>
      </w:pPr>
      <w:r w:rsidRPr="006973C0">
        <w:rPr>
          <w:rFonts w:eastAsia="Arial Unicode MS" w:cs="Arial"/>
          <w:b/>
          <w:bCs/>
        </w:rPr>
        <w:t>Creswell, J.W. and Creswell, J.D.</w:t>
      </w:r>
      <w:r w:rsidRPr="006973C0">
        <w:rPr>
          <w:rFonts w:eastAsia="Arial Unicode MS" w:cs="Arial"/>
        </w:rPr>
        <w:t xml:space="preserve"> (2018) </w:t>
      </w:r>
      <w:r w:rsidRPr="006973C0">
        <w:rPr>
          <w:rFonts w:eastAsia="Arial Unicode MS" w:cs="Arial"/>
          <w:i/>
          <w:iCs/>
        </w:rPr>
        <w:t>Research Design</w:t>
      </w:r>
      <w:r w:rsidRPr="006973C0">
        <w:rPr>
          <w:rFonts w:eastAsia="Arial Unicode MS" w:cs="Arial"/>
        </w:rPr>
        <w:t xml:space="preserve">. 5th </w:t>
      </w:r>
      <w:proofErr w:type="spellStart"/>
      <w:r w:rsidRPr="006973C0">
        <w:rPr>
          <w:rFonts w:eastAsia="Arial Unicode MS" w:cs="Arial"/>
        </w:rPr>
        <w:t>edn</w:t>
      </w:r>
      <w:proofErr w:type="spellEnd"/>
      <w:r w:rsidRPr="006973C0">
        <w:rPr>
          <w:rFonts w:eastAsia="Arial Unicode MS" w:cs="Arial"/>
        </w:rPr>
        <w:t>. Thousand Oaks, CA: SAGE.</w:t>
      </w:r>
      <w:r w:rsidRPr="006973C0">
        <w:rPr>
          <w:rFonts w:eastAsia="Arial Unicode MS" w:cs="Arial"/>
        </w:rPr>
        <w:br/>
      </w:r>
      <w:r w:rsidRPr="006973C0">
        <w:rPr>
          <w:rFonts w:eastAsia="Arial Unicode MS" w:cs="Arial"/>
        </w:rPr>
        <w:lastRenderedPageBreak/>
        <w:t xml:space="preserve">Available at: </w:t>
      </w:r>
      <w:hyperlink r:id="rId22" w:tgtFrame="_new" w:history="1">
        <w:r w:rsidRPr="006973C0">
          <w:rPr>
            <w:rStyle w:val="Hyperlink"/>
            <w:rFonts w:eastAsia="Arial Unicode MS" w:cs="Arial"/>
          </w:rPr>
          <w:t>https://us.sagepub.com/en-us/nam/research-design/book255675</w:t>
        </w:r>
      </w:hyperlink>
      <w:r w:rsidRPr="006973C0">
        <w:rPr>
          <w:rFonts w:eastAsia="Arial Unicode MS" w:cs="Arial"/>
        </w:rPr>
        <w:br/>
        <w:t>(Accessed: 20 June 2025).</w:t>
      </w:r>
    </w:p>
    <w:p w14:paraId="6419BA69" w14:textId="77777777" w:rsidR="00393961" w:rsidRPr="006973C0" w:rsidRDefault="00393961" w:rsidP="006973C0">
      <w:pPr>
        <w:ind w:left="220"/>
        <w:mirrorIndents/>
        <w:jc w:val="both"/>
        <w:rPr>
          <w:rFonts w:eastAsia="Arial Unicode MS" w:cs="Arial"/>
        </w:rPr>
      </w:pPr>
      <w:r w:rsidRPr="006973C0">
        <w:rPr>
          <w:rFonts w:eastAsia="Arial Unicode MS" w:cs="Arial"/>
          <w:b/>
          <w:bCs/>
        </w:rPr>
        <w:t>Good Things Foundation (2021)</w:t>
      </w:r>
      <w:r w:rsidRPr="006973C0">
        <w:rPr>
          <w:rFonts w:eastAsia="Arial Unicode MS" w:cs="Arial"/>
        </w:rPr>
        <w:t xml:space="preserve"> </w:t>
      </w:r>
      <w:r w:rsidRPr="006973C0">
        <w:rPr>
          <w:rFonts w:eastAsia="Arial Unicode MS" w:cs="Arial"/>
          <w:i/>
          <w:iCs/>
        </w:rPr>
        <w:t>The digital divide: Understanding the impact of digital exclusion on health</w:t>
      </w:r>
      <w:r w:rsidRPr="006973C0">
        <w:rPr>
          <w:rFonts w:eastAsia="Arial Unicode MS" w:cs="Arial"/>
        </w:rPr>
        <w:t xml:space="preserve"> Available at: </w:t>
      </w:r>
      <w:hyperlink r:id="rId23" w:history="1">
        <w:r w:rsidRPr="006973C0">
          <w:rPr>
            <w:rStyle w:val="Hyperlink"/>
            <w:rFonts w:eastAsia="Arial Unicode MS" w:cs="Arial"/>
          </w:rPr>
          <w:t>https://www.goodthingsfoundation.org</w:t>
        </w:r>
      </w:hyperlink>
      <w:r w:rsidRPr="006973C0">
        <w:rPr>
          <w:rFonts w:eastAsia="Arial Unicode MS" w:cs="Arial"/>
        </w:rPr>
        <w:t xml:space="preserve">  (Accessed: 7 September 2025).</w:t>
      </w:r>
    </w:p>
    <w:p w14:paraId="5A9845D8" w14:textId="6A3FCD74" w:rsidR="00280CCB" w:rsidRPr="006973C0" w:rsidRDefault="00E56064" w:rsidP="006973C0">
      <w:pPr>
        <w:ind w:left="220"/>
        <w:mirrorIndents/>
        <w:jc w:val="both"/>
        <w:rPr>
          <w:rFonts w:eastAsia="Arial Unicode MS" w:cs="Arial"/>
        </w:rPr>
      </w:pPr>
      <w:r w:rsidRPr="006973C0">
        <w:rPr>
          <w:rFonts w:eastAsia="Arial Unicode MS" w:cs="Arial"/>
          <w:b/>
          <w:bCs/>
        </w:rPr>
        <w:t>Gulliford, M. et al.</w:t>
      </w:r>
      <w:r w:rsidRPr="006973C0">
        <w:rPr>
          <w:rFonts w:eastAsia="Arial Unicode MS" w:cs="Arial"/>
        </w:rPr>
        <w:t xml:space="preserve"> (2002) ‘What does “access to health care” mean?’, </w:t>
      </w:r>
      <w:r w:rsidRPr="006973C0">
        <w:rPr>
          <w:rFonts w:eastAsia="Arial Unicode MS" w:cs="Arial"/>
          <w:i/>
          <w:iCs/>
        </w:rPr>
        <w:t>Journal of Health Services Research &amp; Policy</w:t>
      </w:r>
      <w:r w:rsidRPr="006973C0">
        <w:rPr>
          <w:rFonts w:eastAsia="Arial Unicode MS" w:cs="Arial"/>
        </w:rPr>
        <w:t>, 7(3), pp. 186–188.</w:t>
      </w:r>
      <w:r w:rsidRPr="006973C0">
        <w:rPr>
          <w:rFonts w:eastAsia="Arial Unicode MS" w:cs="Arial"/>
        </w:rPr>
        <w:br/>
        <w:t xml:space="preserve">Available at: </w:t>
      </w:r>
      <w:hyperlink r:id="rId24" w:history="1">
        <w:r w:rsidRPr="006973C0">
          <w:rPr>
            <w:rStyle w:val="Hyperlink"/>
            <w:rFonts w:eastAsia="Arial Unicode MS" w:cs="Arial"/>
          </w:rPr>
          <w:t>https://doi.org/10.1258/135581902760082517</w:t>
        </w:r>
      </w:hyperlink>
      <w:r w:rsidRPr="006973C0">
        <w:rPr>
          <w:rFonts w:eastAsia="Arial Unicode MS" w:cs="Arial"/>
        </w:rPr>
        <w:t xml:space="preserve"> </w:t>
      </w:r>
      <w:r w:rsidRPr="006973C0">
        <w:rPr>
          <w:rFonts w:eastAsia="Arial Unicode MS" w:cs="Arial"/>
        </w:rPr>
        <w:br/>
        <w:t>(Accessed: 24 June 2025)</w:t>
      </w:r>
      <w:r w:rsidR="0086786E" w:rsidRPr="006973C0">
        <w:rPr>
          <w:rFonts w:eastAsia="Arial Unicode MS" w:cs="Arial"/>
        </w:rPr>
        <w:t>.</w:t>
      </w:r>
    </w:p>
    <w:p w14:paraId="71430F16" w14:textId="7B896A59" w:rsidR="0086786E" w:rsidRPr="006973C0" w:rsidRDefault="0086786E" w:rsidP="006973C0">
      <w:pPr>
        <w:ind w:left="220"/>
        <w:mirrorIndents/>
        <w:jc w:val="both"/>
        <w:rPr>
          <w:rFonts w:eastAsia="Arial Unicode MS" w:cs="Arial"/>
        </w:rPr>
      </w:pPr>
      <w:r w:rsidRPr="006973C0">
        <w:rPr>
          <w:rFonts w:eastAsia="Arial Unicode MS" w:cs="Arial"/>
          <w:b/>
          <w:bCs/>
        </w:rPr>
        <w:t>Hart, J.T.</w:t>
      </w:r>
      <w:r w:rsidRPr="006973C0">
        <w:rPr>
          <w:rFonts w:eastAsia="Arial Unicode MS" w:cs="Arial"/>
        </w:rPr>
        <w:t xml:space="preserve"> (1971) ‘The inverse care law’, </w:t>
      </w:r>
      <w:r w:rsidRPr="006973C0">
        <w:rPr>
          <w:rFonts w:eastAsia="Arial Unicode MS" w:cs="Arial"/>
          <w:i/>
          <w:iCs/>
        </w:rPr>
        <w:t>The Lancet</w:t>
      </w:r>
      <w:r w:rsidRPr="006973C0">
        <w:rPr>
          <w:rFonts w:eastAsia="Arial Unicode MS" w:cs="Arial"/>
        </w:rPr>
        <w:t>, 297(7696), pp. 405–412.</w:t>
      </w:r>
      <w:r w:rsidRPr="006973C0">
        <w:rPr>
          <w:rFonts w:eastAsia="Arial Unicode MS" w:cs="Arial"/>
        </w:rPr>
        <w:br/>
        <w:t xml:space="preserve">Available at: </w:t>
      </w:r>
      <w:hyperlink r:id="rId25" w:history="1">
        <w:r w:rsidRPr="006973C0">
          <w:rPr>
            <w:rStyle w:val="Hyperlink"/>
            <w:rFonts w:eastAsia="Arial Unicode MS" w:cs="Arial"/>
          </w:rPr>
          <w:t>https://doi.org/10.1016/S0140-6736(71)92480-5</w:t>
        </w:r>
      </w:hyperlink>
      <w:r w:rsidRPr="006973C0">
        <w:rPr>
          <w:rFonts w:eastAsia="Arial Unicode MS" w:cs="Arial"/>
        </w:rPr>
        <w:t xml:space="preserve"> </w:t>
      </w:r>
      <w:r w:rsidRPr="006973C0">
        <w:rPr>
          <w:rFonts w:eastAsia="Arial Unicode MS" w:cs="Arial"/>
        </w:rPr>
        <w:br/>
        <w:t>(Accessed: 15 June 2025).</w:t>
      </w:r>
    </w:p>
    <w:p w14:paraId="0AB37F3E" w14:textId="49FAAA57" w:rsidR="004F167F" w:rsidRPr="006973C0" w:rsidRDefault="000C7794" w:rsidP="006973C0">
      <w:pPr>
        <w:ind w:left="220"/>
        <w:mirrorIndents/>
        <w:jc w:val="both"/>
        <w:rPr>
          <w:rFonts w:eastAsia="Arial Unicode MS" w:cs="Arial"/>
        </w:rPr>
      </w:pPr>
      <w:r w:rsidRPr="006973C0">
        <w:rPr>
          <w:rFonts w:eastAsia="Arial Unicode MS" w:cs="Arial"/>
          <w:b/>
          <w:bCs/>
        </w:rPr>
        <w:t>Health Foundation</w:t>
      </w:r>
      <w:r w:rsidRPr="006973C0">
        <w:rPr>
          <w:rFonts w:eastAsia="Arial Unicode MS" w:cs="Arial"/>
        </w:rPr>
        <w:t xml:space="preserve"> (2022) </w:t>
      </w:r>
      <w:r w:rsidRPr="006973C0">
        <w:rPr>
          <w:rFonts w:eastAsia="Arial Unicode MS" w:cs="Arial"/>
          <w:i/>
          <w:iCs/>
        </w:rPr>
        <w:t>Health inequalities in the UK</w:t>
      </w:r>
      <w:r w:rsidRPr="006973C0">
        <w:rPr>
          <w:rFonts w:eastAsia="Arial Unicode MS" w:cs="Arial"/>
        </w:rPr>
        <w:t>.</w:t>
      </w:r>
      <w:r w:rsidRPr="006973C0">
        <w:rPr>
          <w:rFonts w:eastAsia="Arial Unicode MS" w:cs="Arial"/>
        </w:rPr>
        <w:br/>
        <w:t xml:space="preserve">Available at: </w:t>
      </w:r>
      <w:hyperlink r:id="rId26" w:history="1">
        <w:r w:rsidRPr="006973C0">
          <w:rPr>
            <w:rStyle w:val="Hyperlink"/>
            <w:rFonts w:eastAsia="Arial Unicode MS" w:cs="Arial"/>
          </w:rPr>
          <w:t>https://www.health.org.uk/publications/long-reads/health-inequalities-in-the-uk</w:t>
        </w:r>
      </w:hyperlink>
      <w:r w:rsidRPr="006973C0">
        <w:rPr>
          <w:rFonts w:eastAsia="Arial Unicode MS" w:cs="Arial"/>
        </w:rPr>
        <w:t xml:space="preserve"> (Accessed: 30 September 2025).</w:t>
      </w:r>
    </w:p>
    <w:p w14:paraId="7612A744" w14:textId="29FC4AEA" w:rsidR="000C7794" w:rsidRPr="006973C0" w:rsidRDefault="00DB411C" w:rsidP="006973C0">
      <w:pPr>
        <w:ind w:left="220"/>
        <w:mirrorIndents/>
        <w:jc w:val="both"/>
        <w:rPr>
          <w:rFonts w:eastAsia="Arial Unicode MS" w:cs="Arial"/>
        </w:rPr>
      </w:pPr>
      <w:r w:rsidRPr="006973C0">
        <w:rPr>
          <w:rFonts w:eastAsia="Arial Unicode MS" w:cs="Arial"/>
          <w:b/>
          <w:bCs/>
        </w:rPr>
        <w:t>Health Foundation</w:t>
      </w:r>
      <w:r w:rsidRPr="006973C0">
        <w:rPr>
          <w:rFonts w:eastAsia="Arial Unicode MS" w:cs="Arial"/>
        </w:rPr>
        <w:t xml:space="preserve"> (2023) </w:t>
      </w:r>
      <w:r w:rsidRPr="006973C0">
        <w:rPr>
          <w:rFonts w:eastAsia="Arial Unicode MS" w:cs="Arial"/>
          <w:i/>
          <w:iCs/>
        </w:rPr>
        <w:t>The digital health divide</w:t>
      </w:r>
      <w:r w:rsidRPr="006973C0">
        <w:rPr>
          <w:rFonts w:eastAsia="Arial Unicode MS" w:cs="Arial"/>
        </w:rPr>
        <w:t>.</w:t>
      </w:r>
      <w:r w:rsidRPr="006973C0">
        <w:rPr>
          <w:rFonts w:eastAsia="Arial Unicode MS" w:cs="Arial"/>
        </w:rPr>
        <w:br/>
        <w:t xml:space="preserve">Available at: </w:t>
      </w:r>
      <w:hyperlink r:id="rId27" w:history="1">
        <w:r w:rsidRPr="006973C0">
          <w:rPr>
            <w:rStyle w:val="Hyperlink"/>
            <w:rFonts w:eastAsia="Arial Unicode MS" w:cs="Arial"/>
          </w:rPr>
          <w:t>https://www.health.org.uk/publications/reports/the-digital-health-divide</w:t>
        </w:r>
      </w:hyperlink>
      <w:r w:rsidRPr="006973C0">
        <w:rPr>
          <w:rFonts w:eastAsia="Arial Unicode MS" w:cs="Arial"/>
        </w:rPr>
        <w:t xml:space="preserve"> </w:t>
      </w:r>
      <w:r w:rsidRPr="006973C0">
        <w:rPr>
          <w:rFonts w:eastAsia="Arial Unicode MS" w:cs="Arial"/>
        </w:rPr>
        <w:br/>
        <w:t>(Accessed: 04 November 2025)</w:t>
      </w:r>
      <w:r w:rsidR="00281451" w:rsidRPr="006973C0">
        <w:rPr>
          <w:rFonts w:eastAsia="Arial Unicode MS" w:cs="Arial"/>
        </w:rPr>
        <w:t>.</w:t>
      </w:r>
    </w:p>
    <w:p w14:paraId="06BC0182" w14:textId="17A7582D" w:rsidR="00281451" w:rsidRPr="006973C0" w:rsidRDefault="00281451" w:rsidP="006973C0">
      <w:pPr>
        <w:ind w:left="220"/>
        <w:mirrorIndents/>
        <w:jc w:val="both"/>
        <w:rPr>
          <w:rFonts w:eastAsia="Arial Unicode MS" w:cs="Arial"/>
        </w:rPr>
      </w:pPr>
      <w:r w:rsidRPr="006973C0">
        <w:rPr>
          <w:rFonts w:eastAsia="Arial Unicode MS" w:cs="Arial"/>
          <w:b/>
          <w:bCs/>
        </w:rPr>
        <w:t>Health Foundation</w:t>
      </w:r>
      <w:r w:rsidRPr="006973C0">
        <w:rPr>
          <w:rFonts w:eastAsia="Arial Unicode MS" w:cs="Arial"/>
        </w:rPr>
        <w:t xml:space="preserve"> (2024) </w:t>
      </w:r>
      <w:r w:rsidRPr="006973C0">
        <w:rPr>
          <w:rFonts w:eastAsia="Arial Unicode MS" w:cs="Arial"/>
          <w:i/>
          <w:iCs/>
        </w:rPr>
        <w:t>NHS funding analysis</w:t>
      </w:r>
      <w:r w:rsidRPr="006973C0">
        <w:rPr>
          <w:rFonts w:eastAsia="Arial Unicode MS" w:cs="Arial"/>
        </w:rPr>
        <w:t>.</w:t>
      </w:r>
      <w:r w:rsidRPr="006973C0">
        <w:rPr>
          <w:rFonts w:eastAsia="Arial Unicode MS" w:cs="Arial"/>
        </w:rPr>
        <w:br/>
        <w:t xml:space="preserve">Available at: </w:t>
      </w:r>
      <w:hyperlink r:id="rId28" w:tgtFrame="_new" w:history="1">
        <w:r w:rsidRPr="006973C0">
          <w:rPr>
            <w:rStyle w:val="Hyperlink"/>
            <w:rFonts w:eastAsia="Arial Unicode MS" w:cs="Arial"/>
          </w:rPr>
          <w:t>https://www.health.org.uk</w:t>
        </w:r>
      </w:hyperlink>
      <w:r w:rsidRPr="006973C0">
        <w:rPr>
          <w:rFonts w:eastAsia="Arial Unicode MS" w:cs="Arial"/>
        </w:rPr>
        <w:t xml:space="preserve"> (Accessed: 05 December 2025).</w:t>
      </w:r>
    </w:p>
    <w:p w14:paraId="24C1E78D" w14:textId="55F8EFA2" w:rsidR="00744012" w:rsidRPr="006973C0" w:rsidRDefault="00744012" w:rsidP="006973C0">
      <w:pPr>
        <w:ind w:left="220"/>
        <w:mirrorIndents/>
        <w:jc w:val="both"/>
        <w:rPr>
          <w:rFonts w:eastAsia="Arial Unicode MS" w:cs="Arial"/>
        </w:rPr>
      </w:pPr>
      <w:r w:rsidRPr="006973C0">
        <w:rPr>
          <w:rFonts w:eastAsia="Arial Unicode MS" w:cs="Arial"/>
          <w:b/>
          <w:bCs/>
        </w:rPr>
        <w:t>Healthwatch England</w:t>
      </w:r>
      <w:r w:rsidRPr="006973C0">
        <w:rPr>
          <w:rFonts w:eastAsia="Arial Unicode MS" w:cs="Arial"/>
        </w:rPr>
        <w:t xml:space="preserve"> (2021) </w:t>
      </w:r>
      <w:r w:rsidRPr="006973C0">
        <w:rPr>
          <w:rFonts w:eastAsia="Arial Unicode MS" w:cs="Arial"/>
          <w:i/>
          <w:iCs/>
        </w:rPr>
        <w:t>Locked out: Digitally excluded people’s experiences of GP services</w:t>
      </w:r>
      <w:r w:rsidRPr="006973C0">
        <w:rPr>
          <w:rFonts w:eastAsia="Arial Unicode MS" w:cs="Arial"/>
        </w:rPr>
        <w:t>.</w:t>
      </w:r>
      <w:r w:rsidRPr="006973C0">
        <w:rPr>
          <w:rFonts w:eastAsia="Arial Unicode MS" w:cs="Arial"/>
        </w:rPr>
        <w:br/>
        <w:t xml:space="preserve">Available at: </w:t>
      </w:r>
      <w:hyperlink r:id="rId29" w:history="1">
        <w:r w:rsidRPr="006973C0">
          <w:rPr>
            <w:rStyle w:val="Hyperlink"/>
            <w:rFonts w:eastAsia="Arial Unicode MS" w:cs="Arial"/>
          </w:rPr>
          <w:t>https://www.healthwatch.co.uk/report/2021-06-23/locked-out-digitally-excluded-peoples-experiences-gp-services</w:t>
        </w:r>
      </w:hyperlink>
      <w:r w:rsidRPr="006973C0">
        <w:rPr>
          <w:rFonts w:eastAsia="Arial Unicode MS" w:cs="Arial"/>
        </w:rPr>
        <w:t xml:space="preserve"> (Accessed: 22 October 2025).</w:t>
      </w:r>
    </w:p>
    <w:p w14:paraId="151D12E1" w14:textId="306FB926" w:rsidR="00393961" w:rsidRPr="006973C0" w:rsidRDefault="00393961" w:rsidP="006973C0">
      <w:pPr>
        <w:ind w:left="220"/>
        <w:mirrorIndents/>
        <w:jc w:val="both"/>
        <w:rPr>
          <w:rFonts w:eastAsia="Arial Unicode MS" w:cs="Arial"/>
        </w:rPr>
      </w:pPr>
      <w:r w:rsidRPr="006973C0">
        <w:rPr>
          <w:rFonts w:eastAsia="Arial Unicode MS" w:cs="Arial"/>
          <w:b/>
          <w:bCs/>
        </w:rPr>
        <w:t>Johnston, M.P.</w:t>
      </w:r>
      <w:r w:rsidRPr="006973C0">
        <w:rPr>
          <w:rFonts w:eastAsia="Arial Unicode MS" w:cs="Arial"/>
        </w:rPr>
        <w:t xml:space="preserve"> (2017) ‘Secondary data analysis: A method of which the time has come’, </w:t>
      </w:r>
      <w:r w:rsidRPr="006973C0">
        <w:rPr>
          <w:rFonts w:eastAsia="Arial Unicode MS" w:cs="Arial"/>
          <w:i/>
          <w:iCs/>
        </w:rPr>
        <w:t>Qualitative and Quantitative Methods in Libraries</w:t>
      </w:r>
      <w:r w:rsidRPr="006973C0">
        <w:rPr>
          <w:rFonts w:eastAsia="Arial Unicode MS" w:cs="Arial"/>
        </w:rPr>
        <w:t>, 3(3), pp. 619–626.</w:t>
      </w:r>
      <w:r w:rsidRPr="006973C0">
        <w:rPr>
          <w:rFonts w:eastAsia="Arial Unicode MS" w:cs="Arial"/>
        </w:rPr>
        <w:br/>
        <w:t xml:space="preserve">Available at: </w:t>
      </w:r>
      <w:hyperlink r:id="rId30" w:tgtFrame="_new" w:history="1">
        <w:r w:rsidRPr="006973C0">
          <w:rPr>
            <w:rStyle w:val="Hyperlink"/>
            <w:rFonts w:eastAsia="Arial Unicode MS" w:cs="Arial"/>
          </w:rPr>
          <w:t>https://www.qqml-journal.net/index.php/qqml/article/view/169</w:t>
        </w:r>
      </w:hyperlink>
      <w:r w:rsidRPr="006973C0">
        <w:rPr>
          <w:rFonts w:eastAsia="Arial Unicode MS" w:cs="Arial"/>
        </w:rPr>
        <w:br/>
        <w:t>(Accessed: 18 July 2025)</w:t>
      </w:r>
      <w:r w:rsidR="007D1BF8" w:rsidRPr="006973C0">
        <w:rPr>
          <w:rFonts w:eastAsia="Arial Unicode MS" w:cs="Arial"/>
        </w:rPr>
        <w:t>.</w:t>
      </w:r>
    </w:p>
    <w:p w14:paraId="3A0DFFEB" w14:textId="02B26C25" w:rsidR="007D1BF8" w:rsidRPr="006973C0" w:rsidRDefault="007D1BF8" w:rsidP="006973C0">
      <w:pPr>
        <w:ind w:left="220"/>
        <w:mirrorIndents/>
        <w:jc w:val="both"/>
        <w:rPr>
          <w:rFonts w:eastAsia="Arial Unicode MS" w:cs="Arial"/>
        </w:rPr>
      </w:pPr>
      <w:r w:rsidRPr="006973C0">
        <w:rPr>
          <w:rFonts w:eastAsia="Arial Unicode MS" w:cs="Arial"/>
          <w:b/>
          <w:bCs/>
        </w:rPr>
        <w:t>Joseph Rowntree Foundation</w:t>
      </w:r>
      <w:r w:rsidRPr="006973C0">
        <w:rPr>
          <w:rFonts w:eastAsia="Arial Unicode MS" w:cs="Arial"/>
        </w:rPr>
        <w:t xml:space="preserve"> (2025) </w:t>
      </w:r>
      <w:r w:rsidRPr="006973C0">
        <w:rPr>
          <w:rFonts w:eastAsia="Arial Unicode MS" w:cs="Arial"/>
          <w:i/>
          <w:iCs/>
        </w:rPr>
        <w:t>UK poverty report</w:t>
      </w:r>
      <w:r w:rsidRPr="006973C0">
        <w:rPr>
          <w:rFonts w:eastAsia="Arial Unicode MS" w:cs="Arial"/>
        </w:rPr>
        <w:t>.</w:t>
      </w:r>
      <w:r w:rsidRPr="006973C0">
        <w:rPr>
          <w:rFonts w:eastAsia="Arial Unicode MS" w:cs="Arial"/>
        </w:rPr>
        <w:br/>
        <w:t xml:space="preserve">Available at: </w:t>
      </w:r>
      <w:hyperlink r:id="rId31" w:tgtFrame="_new" w:history="1">
        <w:r w:rsidRPr="006973C0">
          <w:rPr>
            <w:rStyle w:val="Hyperlink"/>
            <w:rFonts w:eastAsia="Arial Unicode MS" w:cs="Arial"/>
          </w:rPr>
          <w:t>https://www.jrf.org.uk</w:t>
        </w:r>
      </w:hyperlink>
      <w:r w:rsidRPr="006973C0">
        <w:rPr>
          <w:rFonts w:eastAsia="Arial Unicode MS" w:cs="Arial"/>
        </w:rPr>
        <w:br/>
        <w:t>(Accessed: 07 December 2025).</w:t>
      </w:r>
    </w:p>
    <w:p w14:paraId="771BA2AF" w14:textId="71F81DC2" w:rsidR="003F4337" w:rsidRPr="006973C0" w:rsidRDefault="006973C0" w:rsidP="006973C0">
      <w:pPr>
        <w:mirrorIndents/>
        <w:rPr>
          <w:rFonts w:eastAsia="Arial Unicode MS" w:cs="Arial"/>
        </w:rPr>
      </w:pPr>
      <w:r>
        <w:rPr>
          <w:rFonts w:eastAsia="Arial Unicode MS" w:cs="Arial"/>
        </w:rPr>
        <w:t xml:space="preserve">    </w:t>
      </w:r>
      <w:r w:rsidR="006E14E8" w:rsidRPr="006973C0">
        <w:rPr>
          <w:rFonts w:eastAsia="Arial Unicode MS" w:cs="Arial"/>
          <w:b/>
          <w:bCs/>
        </w:rPr>
        <w:t>Knight, M. et al.</w:t>
      </w:r>
      <w:r w:rsidR="006E14E8" w:rsidRPr="006973C0">
        <w:rPr>
          <w:rFonts w:eastAsia="Arial Unicode MS" w:cs="Arial"/>
        </w:rPr>
        <w:t xml:space="preserve"> (2021) </w:t>
      </w:r>
      <w:r w:rsidR="006E14E8" w:rsidRPr="006973C0">
        <w:rPr>
          <w:rFonts w:eastAsia="Arial Unicode MS" w:cs="Arial"/>
          <w:i/>
          <w:iCs/>
        </w:rPr>
        <w:t>MBRRACE-UK: Saving Lives, Improving Mothers’ Care</w:t>
      </w:r>
      <w:r w:rsidR="006E14E8" w:rsidRPr="006973C0">
        <w:rPr>
          <w:rFonts w:eastAsia="Arial Unicode MS" w:cs="Arial"/>
        </w:rPr>
        <w:t xml:space="preserve">. Oxford: </w:t>
      </w:r>
      <w:r>
        <w:rPr>
          <w:rFonts w:eastAsia="Arial Unicode MS" w:cs="Arial"/>
        </w:rPr>
        <w:t xml:space="preserve">      </w:t>
      </w:r>
      <w:r w:rsidR="006E14E8" w:rsidRPr="006973C0">
        <w:rPr>
          <w:rFonts w:eastAsia="Arial Unicode MS" w:cs="Arial"/>
        </w:rPr>
        <w:t>NPEU.</w:t>
      </w:r>
      <w:r w:rsidR="00DC1B2E" w:rsidRPr="006973C0">
        <w:rPr>
          <w:rFonts w:eastAsia="Arial Unicode MS" w:cs="Arial"/>
        </w:rPr>
        <w:t xml:space="preserve"> </w:t>
      </w:r>
      <w:r w:rsidR="006E14E8" w:rsidRPr="006973C0">
        <w:rPr>
          <w:rFonts w:eastAsia="Arial Unicode MS" w:cs="Arial"/>
        </w:rPr>
        <w:t xml:space="preserve">Available at: </w:t>
      </w:r>
      <w:hyperlink r:id="rId32" w:tgtFrame="_new" w:history="1">
        <w:r w:rsidR="006E14E8" w:rsidRPr="006973C0">
          <w:rPr>
            <w:rStyle w:val="Hyperlink"/>
            <w:rFonts w:eastAsia="Arial Unicode MS" w:cs="Arial"/>
          </w:rPr>
          <w:t>https://www.npeu.ox.ac.uk/mbrrace-uk</w:t>
        </w:r>
      </w:hyperlink>
      <w:r w:rsidR="00DC1B2E" w:rsidRPr="006973C0">
        <w:rPr>
          <w:rFonts w:eastAsia="Arial Unicode MS" w:cs="Arial"/>
        </w:rPr>
        <w:t xml:space="preserve"> </w:t>
      </w:r>
      <w:r w:rsidR="006E14E8" w:rsidRPr="006973C0">
        <w:rPr>
          <w:rFonts w:eastAsia="Arial Unicode MS" w:cs="Arial"/>
        </w:rPr>
        <w:t>(Accessed: 25 October 2025)</w:t>
      </w:r>
      <w:r w:rsidR="00046B21" w:rsidRPr="006973C0">
        <w:rPr>
          <w:rFonts w:eastAsia="Arial Unicode MS" w:cs="Arial"/>
        </w:rPr>
        <w:t>.</w:t>
      </w:r>
    </w:p>
    <w:p w14:paraId="1EC2F586" w14:textId="21CAB8D8" w:rsidR="006E14E8" w:rsidRPr="006973C0" w:rsidRDefault="00DC1B2E" w:rsidP="006973C0">
      <w:pPr>
        <w:ind w:left="220"/>
        <w:mirrorIndents/>
        <w:jc w:val="both"/>
        <w:rPr>
          <w:rFonts w:eastAsia="Arial Unicode MS" w:cs="Arial"/>
        </w:rPr>
      </w:pPr>
      <w:r w:rsidRPr="006973C0">
        <w:rPr>
          <w:rFonts w:eastAsia="Arial Unicode MS" w:cs="Arial"/>
          <w:b/>
          <w:bCs/>
        </w:rPr>
        <w:t>The King’s Fund</w:t>
      </w:r>
      <w:r w:rsidRPr="006973C0">
        <w:rPr>
          <w:rFonts w:eastAsia="Arial Unicode MS" w:cs="Arial"/>
        </w:rPr>
        <w:t xml:space="preserve"> (2021) </w:t>
      </w:r>
      <w:r w:rsidRPr="006973C0">
        <w:rPr>
          <w:rFonts w:eastAsia="Arial Unicode MS" w:cs="Arial"/>
          <w:i/>
          <w:iCs/>
        </w:rPr>
        <w:t>Tackling health inequalities</w:t>
      </w:r>
      <w:r w:rsidRPr="006973C0">
        <w:rPr>
          <w:rFonts w:eastAsia="Arial Unicode MS" w:cs="Arial"/>
        </w:rPr>
        <w:t xml:space="preserve">. Available at: </w:t>
      </w:r>
      <w:hyperlink r:id="rId33" w:history="1">
        <w:r w:rsidRPr="006973C0">
          <w:rPr>
            <w:rStyle w:val="Hyperlink"/>
            <w:rFonts w:eastAsia="Arial Unicode MS" w:cs="Arial"/>
          </w:rPr>
          <w:t>https://www.kingsfund.org.uk/publications/tackling-health-inequalities</w:t>
        </w:r>
      </w:hyperlink>
      <w:r w:rsidRPr="006973C0">
        <w:rPr>
          <w:rFonts w:eastAsia="Arial Unicode MS" w:cs="Arial"/>
        </w:rPr>
        <w:t xml:space="preserve"> (Accessed: 02 October 2025)</w:t>
      </w:r>
      <w:r w:rsidR="00046B21" w:rsidRPr="006973C0">
        <w:rPr>
          <w:rFonts w:eastAsia="Arial Unicode MS" w:cs="Arial"/>
        </w:rPr>
        <w:t>.</w:t>
      </w:r>
    </w:p>
    <w:p w14:paraId="750DDC9C" w14:textId="21076973" w:rsidR="00046B21" w:rsidRPr="006973C0" w:rsidRDefault="00046B21" w:rsidP="006973C0">
      <w:pPr>
        <w:ind w:left="220"/>
        <w:mirrorIndents/>
        <w:jc w:val="both"/>
        <w:rPr>
          <w:rFonts w:eastAsia="Arial Unicode MS" w:cs="Arial"/>
        </w:rPr>
      </w:pPr>
      <w:r w:rsidRPr="006973C0">
        <w:rPr>
          <w:rFonts w:eastAsia="Arial Unicode MS" w:cs="Arial"/>
          <w:b/>
          <w:bCs/>
        </w:rPr>
        <w:lastRenderedPageBreak/>
        <w:t>The King’s Fund</w:t>
      </w:r>
      <w:r w:rsidRPr="006973C0">
        <w:rPr>
          <w:rFonts w:eastAsia="Arial Unicode MS" w:cs="Arial"/>
        </w:rPr>
        <w:t xml:space="preserve"> (2024) </w:t>
      </w:r>
      <w:r w:rsidRPr="006973C0">
        <w:rPr>
          <w:rFonts w:eastAsia="Arial Unicode MS" w:cs="Arial"/>
          <w:i/>
          <w:iCs/>
        </w:rPr>
        <w:t>Health inequalities: Annual review</w:t>
      </w:r>
      <w:r w:rsidRPr="006973C0">
        <w:rPr>
          <w:rFonts w:eastAsia="Arial Unicode MS" w:cs="Arial"/>
        </w:rPr>
        <w:t xml:space="preserve">. Available at: </w:t>
      </w:r>
      <w:hyperlink r:id="rId34" w:history="1">
        <w:r w:rsidRPr="006973C0">
          <w:rPr>
            <w:rStyle w:val="Hyperlink"/>
            <w:rFonts w:eastAsia="Arial Unicode MS" w:cs="Arial"/>
          </w:rPr>
          <w:t>https://www.kingsfund.org.uk</w:t>
        </w:r>
      </w:hyperlink>
      <w:r w:rsidRPr="006973C0">
        <w:rPr>
          <w:rFonts w:eastAsia="Arial Unicode MS" w:cs="Arial"/>
        </w:rPr>
        <w:t xml:space="preserve"> (Accessed: 06 December 2025).</w:t>
      </w:r>
    </w:p>
    <w:p w14:paraId="1A970DCC" w14:textId="4A626468" w:rsidR="0058164F" w:rsidRPr="006973C0" w:rsidRDefault="0058164F" w:rsidP="006973C0">
      <w:pPr>
        <w:ind w:left="220"/>
        <w:mirrorIndents/>
        <w:jc w:val="both"/>
        <w:rPr>
          <w:rFonts w:eastAsia="Arial Unicode MS" w:cs="Arial"/>
        </w:rPr>
      </w:pPr>
      <w:r w:rsidRPr="006973C0">
        <w:rPr>
          <w:rFonts w:eastAsia="Arial Unicode MS" w:cs="Arial"/>
          <w:b/>
          <w:bCs/>
        </w:rPr>
        <w:t>Local Government Association</w:t>
      </w:r>
      <w:r w:rsidRPr="006973C0">
        <w:rPr>
          <w:rFonts w:eastAsia="Arial Unicode MS" w:cs="Arial"/>
        </w:rPr>
        <w:t xml:space="preserve"> (2023) </w:t>
      </w:r>
      <w:r w:rsidRPr="006973C0">
        <w:rPr>
          <w:rFonts w:eastAsia="Arial Unicode MS" w:cs="Arial"/>
          <w:i/>
          <w:iCs/>
        </w:rPr>
        <w:t>Health inequalities and local government</w:t>
      </w:r>
      <w:r w:rsidRPr="006973C0">
        <w:rPr>
          <w:rFonts w:eastAsia="Arial Unicode MS" w:cs="Arial"/>
        </w:rPr>
        <w:t>.</w:t>
      </w:r>
      <w:r w:rsidRPr="006973C0">
        <w:rPr>
          <w:rFonts w:eastAsia="Arial Unicode MS" w:cs="Arial"/>
        </w:rPr>
        <w:br/>
        <w:t xml:space="preserve">Available at: </w:t>
      </w:r>
      <w:hyperlink r:id="rId35" w:history="1">
        <w:r w:rsidRPr="006973C0">
          <w:rPr>
            <w:rStyle w:val="Hyperlink"/>
            <w:rFonts w:eastAsia="Arial Unicode MS" w:cs="Arial"/>
          </w:rPr>
          <w:t>https://www.local.gov.uk/topics/social-care-health-and-integration/health-inequalities</w:t>
        </w:r>
      </w:hyperlink>
      <w:r w:rsidRPr="006973C0">
        <w:rPr>
          <w:rFonts w:eastAsia="Arial Unicode MS" w:cs="Arial"/>
        </w:rPr>
        <w:t xml:space="preserve"> (Accessed: 20 November 2025)</w:t>
      </w:r>
      <w:r w:rsidR="000A01D3" w:rsidRPr="006973C0">
        <w:rPr>
          <w:rFonts w:eastAsia="Arial Unicode MS" w:cs="Arial"/>
        </w:rPr>
        <w:t>.</w:t>
      </w:r>
    </w:p>
    <w:p w14:paraId="176A0EC4" w14:textId="77777777" w:rsidR="00393961" w:rsidRPr="006973C0" w:rsidRDefault="00393961" w:rsidP="006973C0">
      <w:pPr>
        <w:ind w:left="220"/>
        <w:mirrorIndents/>
        <w:jc w:val="both"/>
        <w:rPr>
          <w:rFonts w:eastAsia="Arial Unicode MS" w:cs="Arial"/>
        </w:rPr>
      </w:pPr>
      <w:r w:rsidRPr="006973C0">
        <w:rPr>
          <w:rFonts w:eastAsia="Arial Unicode MS" w:cs="Arial"/>
          <w:b/>
          <w:bCs/>
        </w:rPr>
        <w:t>Marmot, M. (2010)</w:t>
      </w:r>
      <w:r w:rsidRPr="006973C0">
        <w:rPr>
          <w:rFonts w:eastAsia="Arial Unicode MS" w:cs="Arial"/>
        </w:rPr>
        <w:t xml:space="preserve"> Fair Society, Healthy Lives: The Marmot Review. UCL Institute of Health Equity. Available at: </w:t>
      </w:r>
      <w:hyperlink r:id="rId36" w:history="1">
        <w:r w:rsidRPr="006973C0">
          <w:rPr>
            <w:rStyle w:val="Hyperlink"/>
            <w:rFonts w:eastAsia="Arial Unicode MS" w:cs="Arial"/>
          </w:rPr>
          <w:t>https://www.instituteofhealthequity.org/resources-reports/fair-society-healthy-lives-the-marmot-review</w:t>
        </w:r>
      </w:hyperlink>
      <w:r w:rsidRPr="006973C0">
        <w:rPr>
          <w:rFonts w:eastAsia="Arial Unicode MS" w:cs="Arial"/>
        </w:rPr>
        <w:t xml:space="preserve">  (10 September 2025)</w:t>
      </w:r>
    </w:p>
    <w:p w14:paraId="6060114B" w14:textId="1F32004A" w:rsidR="000A01D3" w:rsidRPr="006973C0" w:rsidRDefault="00393961" w:rsidP="006973C0">
      <w:pPr>
        <w:ind w:left="220"/>
        <w:mirrorIndents/>
        <w:jc w:val="both"/>
        <w:rPr>
          <w:rFonts w:eastAsia="Arial Unicode MS" w:cs="Arial"/>
        </w:rPr>
      </w:pPr>
      <w:r w:rsidRPr="006973C0">
        <w:rPr>
          <w:rFonts w:eastAsia="Arial Unicode MS" w:cs="Arial"/>
          <w:b/>
          <w:bCs/>
        </w:rPr>
        <w:t>Marmot, M. et al. (2020)</w:t>
      </w:r>
      <w:r w:rsidRPr="006973C0">
        <w:rPr>
          <w:rFonts w:eastAsia="Arial Unicode MS" w:cs="Arial"/>
        </w:rPr>
        <w:t xml:space="preserve"> Health Equity in England: The Marmot Review 10 Years On. London: Institute of Health Equity. Available at: </w:t>
      </w:r>
      <w:hyperlink r:id="rId37" w:history="1">
        <w:r w:rsidRPr="006973C0">
          <w:rPr>
            <w:rStyle w:val="Hyperlink"/>
            <w:rFonts w:eastAsia="Arial Unicode MS" w:cs="Arial"/>
          </w:rPr>
          <w:t>https://www.health.org.uk/publications/the-marmot-review-10-years-on</w:t>
        </w:r>
      </w:hyperlink>
      <w:r w:rsidRPr="006973C0">
        <w:rPr>
          <w:rFonts w:eastAsia="Arial Unicode MS" w:cs="Arial"/>
        </w:rPr>
        <w:t xml:space="preserve"> (Accessed:11 September 2025)</w:t>
      </w:r>
      <w:r w:rsidR="000A01D3" w:rsidRPr="006973C0">
        <w:rPr>
          <w:rFonts w:eastAsia="Arial Unicode MS" w:cs="Arial"/>
        </w:rPr>
        <w:t>.</w:t>
      </w:r>
    </w:p>
    <w:p w14:paraId="27CDD2D2" w14:textId="5C41DDC3" w:rsidR="00393961" w:rsidRPr="006973C0" w:rsidRDefault="00393961" w:rsidP="006973C0">
      <w:pPr>
        <w:ind w:left="220"/>
        <w:mirrorIndents/>
        <w:rPr>
          <w:rFonts w:eastAsia="Arial Unicode MS" w:cs="Arial"/>
        </w:rPr>
      </w:pPr>
      <w:r w:rsidRPr="006973C0">
        <w:rPr>
          <w:rFonts w:eastAsia="Arial Unicode MS" w:cs="Arial"/>
          <w:b/>
          <w:bCs/>
        </w:rPr>
        <w:t>Nazroo, J., Bhui, K. and Rhodes, J. (2020)</w:t>
      </w:r>
      <w:r w:rsidRPr="006973C0">
        <w:rPr>
          <w:rFonts w:eastAsia="Arial Unicode MS" w:cs="Arial"/>
        </w:rPr>
        <w:t xml:space="preserve"> ‘Where next for understanding race/ethnic inequalities in severe mental illness?’, Sociology of Health &amp; Illness, 42(2), pp. 262–276. Available at :</w:t>
      </w:r>
      <w:hyperlink r:id="rId38" w:history="1">
        <w:r w:rsidRPr="006973C0">
          <w:rPr>
            <w:rStyle w:val="Hyperlink"/>
            <w:rFonts w:eastAsia="Arial Unicode MS" w:cs="Arial"/>
          </w:rPr>
          <w:t>https://doi.org/10.1111/1467-9566.13001</w:t>
        </w:r>
      </w:hyperlink>
      <w:r w:rsidRPr="006973C0">
        <w:rPr>
          <w:rFonts w:eastAsia="Arial Unicode MS" w:cs="Arial"/>
        </w:rPr>
        <w:t xml:space="preserve"> ( Accessed: </w:t>
      </w:r>
      <w:r w:rsidR="00FB38E3" w:rsidRPr="006973C0">
        <w:rPr>
          <w:rFonts w:eastAsia="Arial Unicode MS" w:cs="Arial"/>
        </w:rPr>
        <w:t>28 September</w:t>
      </w:r>
      <w:r w:rsidRPr="006973C0">
        <w:rPr>
          <w:rFonts w:eastAsia="Arial Unicode MS" w:cs="Arial"/>
        </w:rPr>
        <w:t xml:space="preserve"> 2025)</w:t>
      </w:r>
      <w:r w:rsidR="00FB38E3" w:rsidRPr="006973C0">
        <w:rPr>
          <w:rFonts w:eastAsia="Arial Unicode MS" w:cs="Arial"/>
        </w:rPr>
        <w:t>.</w:t>
      </w:r>
    </w:p>
    <w:p w14:paraId="3E090E95" w14:textId="5A9EC7A3" w:rsidR="000919F0" w:rsidRPr="006973C0" w:rsidRDefault="000919F0" w:rsidP="006973C0">
      <w:pPr>
        <w:ind w:left="220"/>
        <w:mirrorIndents/>
        <w:jc w:val="both"/>
        <w:rPr>
          <w:rFonts w:eastAsia="Arial Unicode MS" w:cs="Arial"/>
        </w:rPr>
      </w:pPr>
      <w:r w:rsidRPr="006973C0">
        <w:rPr>
          <w:rFonts w:eastAsia="Arial Unicode MS" w:cs="Arial"/>
          <w:b/>
          <w:bCs/>
        </w:rPr>
        <w:t>NHS Digital</w:t>
      </w:r>
      <w:r w:rsidRPr="006973C0">
        <w:rPr>
          <w:rFonts w:eastAsia="Arial Unicode MS" w:cs="Arial"/>
        </w:rPr>
        <w:t xml:space="preserve"> (2023) </w:t>
      </w:r>
      <w:r w:rsidRPr="006973C0">
        <w:rPr>
          <w:rFonts w:eastAsia="Arial Unicode MS" w:cs="Arial"/>
          <w:i/>
          <w:iCs/>
        </w:rPr>
        <w:t>Digital transformation progress report</w:t>
      </w:r>
      <w:r w:rsidRPr="006973C0">
        <w:rPr>
          <w:rFonts w:eastAsia="Arial Unicode MS" w:cs="Arial"/>
        </w:rPr>
        <w:t xml:space="preserve">. Available at: </w:t>
      </w:r>
      <w:hyperlink r:id="rId39" w:history="1">
        <w:r w:rsidRPr="006973C0">
          <w:rPr>
            <w:rStyle w:val="Hyperlink"/>
            <w:rFonts w:eastAsia="Arial Unicode MS" w:cs="Arial"/>
          </w:rPr>
          <w:t>https://digital.nhs.uk</w:t>
        </w:r>
      </w:hyperlink>
      <w:r w:rsidRPr="006973C0">
        <w:rPr>
          <w:rFonts w:eastAsia="Arial Unicode MS" w:cs="Arial"/>
        </w:rPr>
        <w:t xml:space="preserve"> (Accessed: 12 November 2025).</w:t>
      </w:r>
    </w:p>
    <w:p w14:paraId="5D75FE2E" w14:textId="6C29F8B0" w:rsidR="000919F0" w:rsidRPr="006973C0" w:rsidRDefault="00A96349" w:rsidP="006973C0">
      <w:pPr>
        <w:ind w:left="220"/>
        <w:mirrorIndents/>
        <w:jc w:val="both"/>
        <w:rPr>
          <w:rFonts w:eastAsia="Arial Unicode MS" w:cs="Arial"/>
        </w:rPr>
      </w:pPr>
      <w:r w:rsidRPr="006973C0">
        <w:rPr>
          <w:rFonts w:eastAsia="Arial Unicode MS" w:cs="Arial"/>
          <w:b/>
          <w:bCs/>
        </w:rPr>
        <w:t>NHS England</w:t>
      </w:r>
      <w:r w:rsidRPr="006973C0">
        <w:rPr>
          <w:rFonts w:eastAsia="Arial Unicode MS" w:cs="Arial"/>
        </w:rPr>
        <w:t xml:space="preserve"> (2019) </w:t>
      </w:r>
      <w:r w:rsidRPr="006973C0">
        <w:rPr>
          <w:rFonts w:eastAsia="Arial Unicode MS" w:cs="Arial"/>
          <w:i/>
          <w:iCs/>
        </w:rPr>
        <w:t>The NHS Long Term Plan</w:t>
      </w:r>
      <w:r w:rsidRPr="006973C0">
        <w:rPr>
          <w:rFonts w:eastAsia="Arial Unicode MS" w:cs="Arial"/>
        </w:rPr>
        <w:t xml:space="preserve">. Available at: </w:t>
      </w:r>
      <w:hyperlink r:id="rId40" w:tgtFrame="_new" w:history="1">
        <w:r w:rsidRPr="006973C0">
          <w:rPr>
            <w:rStyle w:val="Hyperlink"/>
            <w:rFonts w:eastAsia="Arial Unicode MS" w:cs="Arial"/>
          </w:rPr>
          <w:t>https://www.longtermplan.nhs.uk</w:t>
        </w:r>
      </w:hyperlink>
      <w:r w:rsidRPr="006973C0">
        <w:rPr>
          <w:rFonts w:eastAsia="Arial Unicode MS" w:cs="Arial"/>
        </w:rPr>
        <w:t xml:space="preserve"> (Accessed: 10 July 2025).</w:t>
      </w:r>
    </w:p>
    <w:p w14:paraId="55E4AA15" w14:textId="5027117E" w:rsidR="00F2450A" w:rsidRPr="006973C0" w:rsidRDefault="00393961" w:rsidP="006973C0">
      <w:pPr>
        <w:ind w:left="220"/>
        <w:mirrorIndents/>
        <w:rPr>
          <w:rFonts w:eastAsia="Arial Unicode MS" w:cs="Arial"/>
        </w:rPr>
      </w:pPr>
      <w:r w:rsidRPr="006973C0">
        <w:rPr>
          <w:rFonts w:eastAsia="Arial Unicode MS" w:cs="Arial"/>
          <w:b/>
          <w:bCs/>
        </w:rPr>
        <w:t>NHS England (2021)</w:t>
      </w:r>
      <w:r w:rsidRPr="006973C0">
        <w:rPr>
          <w:rFonts w:eastAsia="Arial Unicode MS" w:cs="Arial"/>
        </w:rPr>
        <w:t xml:space="preserve"> Core20PLUS5: An approach to reducing health inequalities. Available at: </w:t>
      </w:r>
      <w:hyperlink r:id="rId41" w:history="1">
        <w:r w:rsidRPr="006973C0">
          <w:rPr>
            <w:rStyle w:val="Hyperlink"/>
            <w:rFonts w:eastAsia="Arial Unicode MS" w:cs="Arial"/>
          </w:rPr>
          <w:t>https://www.england.nhs.uk</w:t>
        </w:r>
      </w:hyperlink>
      <w:r w:rsidRPr="006973C0">
        <w:rPr>
          <w:rFonts w:eastAsia="Arial Unicode MS" w:cs="Arial"/>
        </w:rPr>
        <w:t xml:space="preserve"> (Accessed:</w:t>
      </w:r>
      <w:r w:rsidR="00F2450A" w:rsidRPr="006973C0">
        <w:rPr>
          <w:rFonts w:eastAsia="Arial Unicode MS" w:cs="Arial"/>
        </w:rPr>
        <w:t>18 September</w:t>
      </w:r>
      <w:r w:rsidRPr="006973C0">
        <w:rPr>
          <w:rFonts w:eastAsia="Arial Unicode MS" w:cs="Arial"/>
        </w:rPr>
        <w:t xml:space="preserve"> 2025)</w:t>
      </w:r>
      <w:r w:rsidR="00F2450A" w:rsidRPr="006973C0">
        <w:rPr>
          <w:rFonts w:eastAsia="Arial Unicode MS" w:cs="Arial"/>
        </w:rPr>
        <w:t>.</w:t>
      </w:r>
    </w:p>
    <w:p w14:paraId="1F8FCD41" w14:textId="2B8E77EC" w:rsidR="00F2450A" w:rsidRPr="006973C0" w:rsidRDefault="000C1626" w:rsidP="006973C0">
      <w:pPr>
        <w:ind w:left="220"/>
        <w:mirrorIndents/>
        <w:jc w:val="both"/>
        <w:rPr>
          <w:rFonts w:eastAsia="Arial Unicode MS" w:cs="Arial"/>
        </w:rPr>
      </w:pPr>
      <w:r w:rsidRPr="006973C0">
        <w:rPr>
          <w:rFonts w:eastAsia="Arial Unicode MS" w:cs="Arial"/>
          <w:b/>
          <w:bCs/>
        </w:rPr>
        <w:t>NHS England</w:t>
      </w:r>
      <w:r w:rsidRPr="006973C0">
        <w:rPr>
          <w:rFonts w:eastAsia="Arial Unicode MS" w:cs="Arial"/>
        </w:rPr>
        <w:t xml:space="preserve"> (2024) </w:t>
      </w:r>
      <w:r w:rsidRPr="006973C0">
        <w:rPr>
          <w:rFonts w:eastAsia="Arial Unicode MS" w:cs="Arial"/>
          <w:i/>
          <w:iCs/>
        </w:rPr>
        <w:t>Primary care access recovery plan</w:t>
      </w:r>
      <w:r w:rsidRPr="006973C0">
        <w:rPr>
          <w:rFonts w:eastAsia="Arial Unicode MS" w:cs="Arial"/>
        </w:rPr>
        <w:t xml:space="preserve">. Available at: </w:t>
      </w:r>
      <w:hyperlink r:id="rId42" w:tgtFrame="_new" w:history="1">
        <w:r w:rsidRPr="006973C0">
          <w:rPr>
            <w:rStyle w:val="Hyperlink"/>
            <w:rFonts w:eastAsia="Arial Unicode MS" w:cs="Arial"/>
          </w:rPr>
          <w:t>https://www.england.nhs.uk</w:t>
        </w:r>
      </w:hyperlink>
      <w:r w:rsidRPr="006973C0">
        <w:rPr>
          <w:rFonts w:eastAsia="Arial Unicode MS" w:cs="Arial"/>
        </w:rPr>
        <w:t xml:space="preserve"> (Accessed: 05 December 2025).</w:t>
      </w:r>
    </w:p>
    <w:p w14:paraId="4C7ECEF9" w14:textId="2BF087A4" w:rsidR="000C1626" w:rsidRPr="006973C0" w:rsidRDefault="00077FB2" w:rsidP="006973C0">
      <w:pPr>
        <w:ind w:left="220"/>
        <w:mirrorIndents/>
        <w:jc w:val="both"/>
        <w:rPr>
          <w:rFonts w:eastAsia="Arial Unicode MS" w:cs="Arial"/>
        </w:rPr>
      </w:pPr>
      <w:r w:rsidRPr="006973C0">
        <w:rPr>
          <w:rFonts w:eastAsia="Arial Unicode MS" w:cs="Arial"/>
          <w:b/>
          <w:bCs/>
        </w:rPr>
        <w:t>NHS Race and Health Observatory</w:t>
      </w:r>
      <w:r w:rsidRPr="006973C0">
        <w:rPr>
          <w:rFonts w:eastAsia="Arial Unicode MS" w:cs="Arial"/>
        </w:rPr>
        <w:t xml:space="preserve"> (2021) </w:t>
      </w:r>
      <w:r w:rsidRPr="006973C0">
        <w:rPr>
          <w:rFonts w:eastAsia="Arial Unicode MS" w:cs="Arial"/>
          <w:i/>
          <w:iCs/>
        </w:rPr>
        <w:t>Ethnic health inequalities in the UK</w:t>
      </w:r>
      <w:r w:rsidRPr="006973C0">
        <w:rPr>
          <w:rFonts w:eastAsia="Arial Unicode MS" w:cs="Arial"/>
        </w:rPr>
        <w:t>.</w:t>
      </w:r>
      <w:r w:rsidRPr="006973C0">
        <w:rPr>
          <w:rFonts w:eastAsia="Arial Unicode MS" w:cs="Arial"/>
        </w:rPr>
        <w:br/>
        <w:t xml:space="preserve">Available at: </w:t>
      </w:r>
      <w:hyperlink r:id="rId43" w:history="1">
        <w:r w:rsidRPr="006973C0">
          <w:rPr>
            <w:rStyle w:val="Hyperlink"/>
            <w:rFonts w:eastAsia="Arial Unicode MS" w:cs="Arial"/>
          </w:rPr>
          <w:t>https://www.nhsrho.org/research-and-evidence</w:t>
        </w:r>
      </w:hyperlink>
      <w:r w:rsidRPr="006973C0">
        <w:rPr>
          <w:rFonts w:eastAsia="Arial Unicode MS" w:cs="Arial"/>
        </w:rPr>
        <w:t xml:space="preserve"> </w:t>
      </w:r>
      <w:r w:rsidRPr="006973C0">
        <w:rPr>
          <w:rFonts w:eastAsia="Arial Unicode MS" w:cs="Arial"/>
        </w:rPr>
        <w:br/>
        <w:t>(Accessed: 01 October 2025).</w:t>
      </w:r>
    </w:p>
    <w:p w14:paraId="1E316BA1" w14:textId="049D53FC" w:rsidR="00A40A03" w:rsidRPr="006973C0" w:rsidRDefault="00F80DA7" w:rsidP="006973C0">
      <w:pPr>
        <w:mirrorIndents/>
        <w:jc w:val="both"/>
        <w:rPr>
          <w:rFonts w:eastAsia="Arial Unicode MS" w:cs="Arial"/>
        </w:rPr>
      </w:pPr>
      <w:r w:rsidRPr="006973C0">
        <w:rPr>
          <w:rFonts w:eastAsia="Arial Unicode MS" w:cs="Arial"/>
          <w:b/>
          <w:bCs/>
        </w:rPr>
        <w:t>Ofcom</w:t>
      </w:r>
      <w:r w:rsidRPr="006973C0">
        <w:rPr>
          <w:rFonts w:eastAsia="Arial Unicode MS" w:cs="Arial"/>
        </w:rPr>
        <w:t xml:space="preserve"> (2022) </w:t>
      </w:r>
      <w:r w:rsidRPr="006973C0">
        <w:rPr>
          <w:rFonts w:eastAsia="Arial Unicode MS" w:cs="Arial"/>
          <w:i/>
          <w:iCs/>
        </w:rPr>
        <w:t>Online Nation Report</w:t>
      </w:r>
      <w:r w:rsidRPr="006973C0">
        <w:rPr>
          <w:rFonts w:eastAsia="Arial Unicode MS" w:cs="Arial"/>
        </w:rPr>
        <w:t>.</w:t>
      </w:r>
      <w:r w:rsidRPr="006973C0">
        <w:rPr>
          <w:rFonts w:eastAsia="Arial Unicode MS" w:cs="Arial"/>
        </w:rPr>
        <w:br/>
        <w:t xml:space="preserve">Available at: </w:t>
      </w:r>
      <w:hyperlink r:id="rId44" w:history="1">
        <w:r w:rsidRPr="006973C0">
          <w:rPr>
            <w:rStyle w:val="Hyperlink"/>
            <w:rFonts w:eastAsia="Arial Unicode MS" w:cs="Arial"/>
          </w:rPr>
          <w:t>https://www.ofcom.org.uk/research-and-data/media-literacy-research/online-nation</w:t>
        </w:r>
      </w:hyperlink>
      <w:r w:rsidRPr="006973C0">
        <w:rPr>
          <w:rFonts w:eastAsia="Arial Unicode MS" w:cs="Arial"/>
        </w:rPr>
        <w:t xml:space="preserve"> (Accessed: 06 November 2025).</w:t>
      </w:r>
    </w:p>
    <w:p w14:paraId="389F9F4A" w14:textId="4A1F585E" w:rsidR="00393961" w:rsidRPr="006973C0" w:rsidRDefault="00393961" w:rsidP="006973C0">
      <w:pPr>
        <w:ind w:left="220"/>
        <w:mirrorIndents/>
        <w:jc w:val="both"/>
        <w:rPr>
          <w:rFonts w:eastAsia="Arial Unicode MS" w:cs="Arial"/>
        </w:rPr>
      </w:pPr>
      <w:r w:rsidRPr="006973C0">
        <w:rPr>
          <w:rFonts w:eastAsia="Arial Unicode MS" w:cs="Arial"/>
          <w:b/>
          <w:bCs/>
        </w:rPr>
        <w:t>Office for National Statistics (ONS) (2022</w:t>
      </w:r>
      <w:r w:rsidRPr="006973C0">
        <w:rPr>
          <w:rFonts w:eastAsia="Arial Unicode MS" w:cs="Arial"/>
        </w:rPr>
        <w:t xml:space="preserve">) </w:t>
      </w:r>
      <w:r w:rsidRPr="006973C0">
        <w:rPr>
          <w:rFonts w:eastAsia="Arial Unicode MS" w:cs="Arial"/>
          <w:i/>
          <w:iCs/>
        </w:rPr>
        <w:t>Health state life expectancies by national deprivation deciles, England: 2018 to 2020</w:t>
      </w:r>
      <w:r w:rsidRPr="006973C0">
        <w:rPr>
          <w:rFonts w:eastAsia="Arial Unicode MS" w:cs="Arial"/>
        </w:rPr>
        <w:t xml:space="preserve">. Available at: </w:t>
      </w:r>
      <w:hyperlink r:id="rId45" w:history="1">
        <w:r w:rsidRPr="006973C0">
          <w:rPr>
            <w:rStyle w:val="Hyperlink"/>
            <w:rFonts w:eastAsia="Arial Unicode MS" w:cs="Arial"/>
          </w:rPr>
          <w:t>https://www.ons.gov.uk</w:t>
        </w:r>
      </w:hyperlink>
      <w:r w:rsidRPr="006973C0">
        <w:rPr>
          <w:rFonts w:eastAsia="Arial Unicode MS" w:cs="Arial"/>
        </w:rPr>
        <w:t xml:space="preserve"> (Accessed: </w:t>
      </w:r>
      <w:r w:rsidR="00F80DA7" w:rsidRPr="006973C0">
        <w:rPr>
          <w:rFonts w:eastAsia="Arial Unicode MS" w:cs="Arial"/>
        </w:rPr>
        <w:t xml:space="preserve">21 October </w:t>
      </w:r>
      <w:r w:rsidRPr="006973C0">
        <w:rPr>
          <w:rFonts w:eastAsia="Arial Unicode MS" w:cs="Arial"/>
        </w:rPr>
        <w:t>2025)</w:t>
      </w:r>
      <w:r w:rsidR="005923B7" w:rsidRPr="006973C0">
        <w:rPr>
          <w:rFonts w:eastAsia="Arial Unicode MS" w:cs="Arial"/>
        </w:rPr>
        <w:t>.</w:t>
      </w:r>
    </w:p>
    <w:p w14:paraId="753A01DA" w14:textId="45B0AD92" w:rsidR="005923B7" w:rsidRPr="006973C0" w:rsidRDefault="00BD2CEF" w:rsidP="006973C0">
      <w:pPr>
        <w:ind w:left="220"/>
        <w:mirrorIndents/>
        <w:jc w:val="both"/>
        <w:rPr>
          <w:rFonts w:eastAsia="Arial Unicode MS" w:cs="Arial"/>
        </w:rPr>
      </w:pPr>
      <w:r w:rsidRPr="006973C0">
        <w:rPr>
          <w:rFonts w:eastAsia="Arial Unicode MS" w:cs="Arial"/>
          <w:b/>
          <w:bCs/>
        </w:rPr>
        <w:t>Public Health England</w:t>
      </w:r>
      <w:r w:rsidRPr="006973C0">
        <w:rPr>
          <w:rFonts w:eastAsia="Arial Unicode MS" w:cs="Arial"/>
        </w:rPr>
        <w:t xml:space="preserve"> (2020) </w:t>
      </w:r>
      <w:r w:rsidRPr="006973C0">
        <w:rPr>
          <w:rFonts w:eastAsia="Arial Unicode MS" w:cs="Arial"/>
          <w:i/>
          <w:iCs/>
        </w:rPr>
        <w:t>COVID-19: Review of disparities in risks and outcomes</w:t>
      </w:r>
      <w:r w:rsidRPr="006973C0">
        <w:rPr>
          <w:rFonts w:eastAsia="Arial Unicode MS" w:cs="Arial"/>
        </w:rPr>
        <w:t>.</w:t>
      </w:r>
      <w:r w:rsidRPr="006973C0">
        <w:rPr>
          <w:rFonts w:eastAsia="Arial Unicode MS" w:cs="Arial"/>
        </w:rPr>
        <w:br/>
        <w:t xml:space="preserve">Available at: </w:t>
      </w:r>
      <w:hyperlink r:id="rId46" w:tgtFrame="_new" w:history="1">
        <w:r w:rsidRPr="006973C0">
          <w:rPr>
            <w:rStyle w:val="Hyperlink"/>
            <w:rFonts w:eastAsia="Arial Unicode MS" w:cs="Arial"/>
          </w:rPr>
          <w:t>https://www.gov.uk/government/publications/covid-19-review-of-disparities-in-risks-and-outcomes</w:t>
        </w:r>
      </w:hyperlink>
      <w:r w:rsidRPr="006973C0">
        <w:rPr>
          <w:rFonts w:eastAsia="Arial Unicode MS" w:cs="Arial"/>
        </w:rPr>
        <w:t xml:space="preserve"> (Accessed: 14 September 2025).</w:t>
      </w:r>
    </w:p>
    <w:p w14:paraId="257FA3DA" w14:textId="71DC026C" w:rsidR="001F302B" w:rsidRPr="006973C0" w:rsidRDefault="00E33429" w:rsidP="006973C0">
      <w:pPr>
        <w:ind w:left="220"/>
        <w:mirrorIndents/>
        <w:rPr>
          <w:rFonts w:eastAsia="Arial Unicode MS" w:cs="Arial"/>
        </w:rPr>
      </w:pPr>
      <w:r w:rsidRPr="006973C0">
        <w:rPr>
          <w:rFonts w:eastAsia="Arial Unicode MS" w:cs="Arial"/>
          <w:b/>
          <w:bCs/>
        </w:rPr>
        <w:t>Public Health Scotland</w:t>
      </w:r>
      <w:r w:rsidRPr="006973C0">
        <w:rPr>
          <w:rFonts w:eastAsia="Arial Unicode MS" w:cs="Arial"/>
        </w:rPr>
        <w:t xml:space="preserve"> (2024) </w:t>
      </w:r>
      <w:r w:rsidRPr="006973C0">
        <w:rPr>
          <w:rFonts w:eastAsia="Arial Unicode MS" w:cs="Arial"/>
          <w:i/>
          <w:iCs/>
        </w:rPr>
        <w:t>Health inequalities annual report</w:t>
      </w:r>
      <w:r w:rsidRPr="006973C0">
        <w:rPr>
          <w:rFonts w:eastAsia="Arial Unicode MS" w:cs="Arial"/>
        </w:rPr>
        <w:t xml:space="preserve">. Available at: </w:t>
      </w:r>
      <w:hyperlink r:id="rId47" w:tgtFrame="_new" w:history="1">
        <w:r w:rsidRPr="006973C0">
          <w:rPr>
            <w:rStyle w:val="Hyperlink"/>
            <w:rFonts w:eastAsia="Arial Unicode MS" w:cs="Arial"/>
          </w:rPr>
          <w:t>https://publichealthscotland.scot</w:t>
        </w:r>
      </w:hyperlink>
      <w:r w:rsidRPr="006973C0">
        <w:rPr>
          <w:rFonts w:eastAsia="Arial Unicode MS" w:cs="Arial"/>
        </w:rPr>
        <w:t xml:space="preserve"> (Accessed: 04 December 2025).</w:t>
      </w:r>
    </w:p>
    <w:p w14:paraId="4B520473" w14:textId="62C058F2" w:rsidR="004128BD" w:rsidRPr="006973C0" w:rsidRDefault="004128BD" w:rsidP="006973C0">
      <w:pPr>
        <w:ind w:left="220"/>
        <w:mirrorIndents/>
        <w:rPr>
          <w:rFonts w:eastAsia="Arial Unicode MS" w:cs="Arial"/>
        </w:rPr>
      </w:pPr>
      <w:r w:rsidRPr="006973C0">
        <w:rPr>
          <w:rFonts w:eastAsia="Arial Unicode MS" w:cs="Arial"/>
          <w:b/>
          <w:bCs/>
        </w:rPr>
        <w:lastRenderedPageBreak/>
        <w:t>Salway, S. et al.</w:t>
      </w:r>
      <w:r w:rsidRPr="006973C0">
        <w:rPr>
          <w:rFonts w:eastAsia="Arial Unicode MS" w:cs="Arial"/>
        </w:rPr>
        <w:t xml:space="preserve"> (2020) ‘Transforming health inequalities research’, </w:t>
      </w:r>
      <w:r w:rsidRPr="006973C0">
        <w:rPr>
          <w:rFonts w:eastAsia="Arial Unicode MS" w:cs="Arial"/>
          <w:i/>
          <w:iCs/>
        </w:rPr>
        <w:t>The Lancet Public Health</w:t>
      </w:r>
      <w:r w:rsidRPr="006973C0">
        <w:rPr>
          <w:rFonts w:eastAsia="Arial Unicode MS" w:cs="Arial"/>
        </w:rPr>
        <w:t xml:space="preserve">, 5(10), pp. e543–e550. Available at: </w:t>
      </w:r>
      <w:hyperlink r:id="rId48" w:history="1">
        <w:r w:rsidRPr="006973C0">
          <w:rPr>
            <w:rStyle w:val="Hyperlink"/>
            <w:rFonts w:eastAsia="Arial Unicode MS" w:cs="Arial"/>
          </w:rPr>
          <w:t>https://doi.org/10.1016/S2468-2667(20)30143-8</w:t>
        </w:r>
      </w:hyperlink>
      <w:r w:rsidRPr="006973C0">
        <w:rPr>
          <w:rFonts w:eastAsia="Arial Unicode MS" w:cs="Arial"/>
        </w:rPr>
        <w:t xml:space="preserve"> (Accessed: 19 September 2025).</w:t>
      </w:r>
    </w:p>
    <w:p w14:paraId="328242F9" w14:textId="75842560" w:rsidR="00393961" w:rsidRPr="006973C0" w:rsidRDefault="00393961" w:rsidP="006973C0">
      <w:pPr>
        <w:ind w:left="220"/>
        <w:mirrorIndents/>
        <w:rPr>
          <w:rFonts w:eastAsia="Arial Unicode MS" w:cs="Arial"/>
        </w:rPr>
      </w:pPr>
      <w:r w:rsidRPr="006973C0">
        <w:rPr>
          <w:rFonts w:eastAsia="Arial Unicode MS" w:cs="Arial"/>
          <w:b/>
          <w:bCs/>
        </w:rPr>
        <w:t>Saunders, M., Lewis, P. and Thornhill, A.</w:t>
      </w:r>
      <w:r w:rsidRPr="006973C0">
        <w:rPr>
          <w:rFonts w:eastAsia="Arial Unicode MS" w:cs="Arial"/>
        </w:rPr>
        <w:t xml:space="preserve"> (2019) </w:t>
      </w:r>
      <w:r w:rsidRPr="006973C0">
        <w:rPr>
          <w:rFonts w:eastAsia="Arial Unicode MS" w:cs="Arial"/>
          <w:i/>
          <w:iCs/>
        </w:rPr>
        <w:t>Research Methods for Business Students</w:t>
      </w:r>
      <w:r w:rsidRPr="006973C0">
        <w:rPr>
          <w:rFonts w:eastAsia="Arial Unicode MS" w:cs="Arial"/>
        </w:rPr>
        <w:t xml:space="preserve">. 8th </w:t>
      </w:r>
      <w:proofErr w:type="spellStart"/>
      <w:r w:rsidRPr="006973C0">
        <w:rPr>
          <w:rFonts w:eastAsia="Arial Unicode MS" w:cs="Arial"/>
        </w:rPr>
        <w:t>edn</w:t>
      </w:r>
      <w:proofErr w:type="spellEnd"/>
      <w:r w:rsidRPr="006973C0">
        <w:rPr>
          <w:rFonts w:eastAsia="Arial Unicode MS" w:cs="Arial"/>
        </w:rPr>
        <w:t>. Harlow: Pearson Education.</w:t>
      </w:r>
      <w:r w:rsidR="004128BD" w:rsidRPr="006973C0">
        <w:rPr>
          <w:rFonts w:eastAsia="Arial Unicode MS" w:cs="Arial"/>
        </w:rPr>
        <w:t xml:space="preserve"> </w:t>
      </w:r>
      <w:r w:rsidRPr="006973C0">
        <w:rPr>
          <w:rFonts w:eastAsia="Arial Unicode MS" w:cs="Arial"/>
        </w:rPr>
        <w:t xml:space="preserve">Available at: </w:t>
      </w:r>
      <w:hyperlink r:id="rId49" w:history="1">
        <w:r w:rsidRPr="006973C0">
          <w:rPr>
            <w:rStyle w:val="Hyperlink"/>
            <w:rFonts w:eastAsia="Arial Unicode MS" w:cs="Arial"/>
          </w:rPr>
          <w:t>https://www.pearson.com/en-gb/subject-catalog/p/research-methods-for-business-students/P200000003295</w:t>
        </w:r>
      </w:hyperlink>
      <w:r w:rsidRPr="006973C0">
        <w:rPr>
          <w:rFonts w:eastAsia="Arial Unicode MS" w:cs="Arial"/>
        </w:rPr>
        <w:t xml:space="preserve"> (Accessed: 25 June 2025)</w:t>
      </w:r>
      <w:r w:rsidR="004128BD" w:rsidRPr="006973C0">
        <w:rPr>
          <w:rFonts w:eastAsia="Arial Unicode MS" w:cs="Arial"/>
        </w:rPr>
        <w:t>.</w:t>
      </w:r>
    </w:p>
    <w:p w14:paraId="3EF1A883" w14:textId="5E514AD9" w:rsidR="00886976" w:rsidRPr="006973C0" w:rsidRDefault="00886976" w:rsidP="006973C0">
      <w:pPr>
        <w:ind w:left="220"/>
        <w:mirrorIndents/>
        <w:rPr>
          <w:rFonts w:eastAsia="Arial Unicode MS" w:cs="Arial"/>
        </w:rPr>
      </w:pPr>
      <w:r w:rsidRPr="006973C0">
        <w:rPr>
          <w:rFonts w:eastAsia="Arial Unicode MS" w:cs="Arial"/>
          <w:b/>
          <w:bCs/>
        </w:rPr>
        <w:t>Solar, O. and Irwin, A.</w:t>
      </w:r>
      <w:r w:rsidRPr="006973C0">
        <w:rPr>
          <w:rFonts w:eastAsia="Arial Unicode MS" w:cs="Arial"/>
        </w:rPr>
        <w:t xml:space="preserve"> (2010) </w:t>
      </w:r>
      <w:r w:rsidRPr="006973C0">
        <w:rPr>
          <w:rFonts w:eastAsia="Arial Unicode MS" w:cs="Arial"/>
          <w:i/>
          <w:iCs/>
        </w:rPr>
        <w:t>A conceptual framework for action on the social determinants of health</w:t>
      </w:r>
      <w:r w:rsidRPr="006973C0">
        <w:rPr>
          <w:rFonts w:eastAsia="Arial Unicode MS" w:cs="Arial"/>
        </w:rPr>
        <w:t xml:space="preserve">. Geneva: WHO. Available at: </w:t>
      </w:r>
      <w:hyperlink r:id="rId50" w:tgtFrame="_new" w:history="1">
        <w:r w:rsidRPr="006973C0">
          <w:rPr>
            <w:rStyle w:val="Hyperlink"/>
            <w:rFonts w:eastAsia="Arial Unicode MS" w:cs="Arial"/>
          </w:rPr>
          <w:t>https://www.who.int/publications/i/item/9789241500852</w:t>
        </w:r>
      </w:hyperlink>
      <w:r w:rsidRPr="006973C0">
        <w:rPr>
          <w:rFonts w:eastAsia="Arial Unicode MS" w:cs="Arial"/>
        </w:rPr>
        <w:t xml:space="preserve"> (Accessed: 29 June 2025).</w:t>
      </w:r>
    </w:p>
    <w:p w14:paraId="73D0E18A" w14:textId="6FB1611D" w:rsidR="00393961" w:rsidRPr="006973C0" w:rsidRDefault="00393961" w:rsidP="006973C0">
      <w:pPr>
        <w:ind w:left="220"/>
        <w:mirrorIndents/>
        <w:jc w:val="both"/>
        <w:rPr>
          <w:rFonts w:eastAsia="Arial Unicode MS" w:cs="Arial"/>
        </w:rPr>
      </w:pPr>
      <w:r w:rsidRPr="006973C0">
        <w:rPr>
          <w:rFonts w:eastAsia="Arial Unicode MS" w:cs="Arial"/>
          <w:b/>
          <w:bCs/>
        </w:rPr>
        <w:t>Thomas, J. and Harden, A.</w:t>
      </w:r>
      <w:r w:rsidRPr="006973C0">
        <w:rPr>
          <w:rFonts w:eastAsia="Arial Unicode MS" w:cs="Arial"/>
        </w:rPr>
        <w:t xml:space="preserve"> (2008) ‘Methods for the thematic synthesis of qualitative research in systematic reviews’, </w:t>
      </w:r>
      <w:r w:rsidRPr="006973C0">
        <w:rPr>
          <w:rFonts w:eastAsia="Arial Unicode MS" w:cs="Arial"/>
          <w:i/>
          <w:iCs/>
        </w:rPr>
        <w:t>BMC Medical Research Methodology</w:t>
      </w:r>
      <w:r w:rsidRPr="006973C0">
        <w:rPr>
          <w:rFonts w:eastAsia="Arial Unicode MS" w:cs="Arial"/>
        </w:rPr>
        <w:t>, 8(45).</w:t>
      </w:r>
      <w:r w:rsidRPr="006973C0">
        <w:rPr>
          <w:rFonts w:eastAsia="Arial Unicode MS" w:cs="Arial"/>
        </w:rPr>
        <w:br/>
        <w:t xml:space="preserve">Available at: </w:t>
      </w:r>
      <w:hyperlink r:id="rId51" w:tgtFrame="_new" w:history="1">
        <w:r w:rsidRPr="006973C0">
          <w:rPr>
            <w:rStyle w:val="Hyperlink"/>
            <w:rFonts w:eastAsia="Arial Unicode MS" w:cs="Arial"/>
          </w:rPr>
          <w:t>https://bmcmedresmethodol.biomedcentral.com/articles/10.1186/1471-2288-8-45</w:t>
        </w:r>
      </w:hyperlink>
      <w:r w:rsidRPr="006973C0">
        <w:rPr>
          <w:rFonts w:eastAsia="Arial Unicode MS" w:cs="Arial"/>
        </w:rPr>
        <w:t xml:space="preserve">  (Accessed: 10 July 2025)</w:t>
      </w:r>
      <w:r w:rsidR="00886976" w:rsidRPr="006973C0">
        <w:rPr>
          <w:rFonts w:eastAsia="Arial Unicode MS" w:cs="Arial"/>
        </w:rPr>
        <w:t>.</w:t>
      </w:r>
    </w:p>
    <w:p w14:paraId="18E6011A" w14:textId="3A783FDD" w:rsidR="00C5041A" w:rsidRPr="006973C0" w:rsidRDefault="00C5041A" w:rsidP="006973C0">
      <w:pPr>
        <w:ind w:left="220"/>
        <w:mirrorIndents/>
        <w:rPr>
          <w:rFonts w:eastAsia="Arial Unicode MS" w:cs="Arial"/>
        </w:rPr>
      </w:pPr>
      <w:r w:rsidRPr="006973C0">
        <w:rPr>
          <w:rFonts w:eastAsia="Arial Unicode MS" w:cs="Arial"/>
          <w:b/>
          <w:bCs/>
        </w:rPr>
        <w:t>Watts, G., Malone, D. and Wootton, R.</w:t>
      </w:r>
      <w:r w:rsidRPr="006973C0">
        <w:rPr>
          <w:rFonts w:eastAsia="Arial Unicode MS" w:cs="Arial"/>
        </w:rPr>
        <w:t xml:space="preserve"> (2021) ‘Digital inclusion in telehealth’, </w:t>
      </w:r>
      <w:r w:rsidRPr="006973C0">
        <w:rPr>
          <w:rFonts w:eastAsia="Arial Unicode MS" w:cs="Arial"/>
          <w:i/>
          <w:iCs/>
        </w:rPr>
        <w:t>BMJ</w:t>
      </w:r>
      <w:r w:rsidRPr="006973C0">
        <w:rPr>
          <w:rFonts w:eastAsia="Arial Unicode MS" w:cs="Arial"/>
        </w:rPr>
        <w:t xml:space="preserve">, 373, n1224. Available at: </w:t>
      </w:r>
      <w:hyperlink r:id="rId52" w:history="1">
        <w:r w:rsidRPr="006973C0">
          <w:rPr>
            <w:rStyle w:val="Hyperlink"/>
            <w:rFonts w:eastAsia="Arial Unicode MS" w:cs="Arial"/>
          </w:rPr>
          <w:t>https://doi.org/10.1136/bmj.n1224</w:t>
        </w:r>
      </w:hyperlink>
      <w:r w:rsidRPr="006973C0">
        <w:rPr>
          <w:rFonts w:eastAsia="Arial Unicode MS" w:cs="Arial"/>
        </w:rPr>
        <w:t xml:space="preserve"> (Accessed: 02 December 2025).</w:t>
      </w:r>
    </w:p>
    <w:p w14:paraId="7EEB5C00" w14:textId="33122D35" w:rsidR="00C5041A" w:rsidRPr="006973C0" w:rsidRDefault="00D366B2" w:rsidP="006973C0">
      <w:pPr>
        <w:ind w:left="220"/>
        <w:mirrorIndents/>
        <w:rPr>
          <w:rFonts w:eastAsia="Arial Unicode MS" w:cs="Arial"/>
        </w:rPr>
      </w:pPr>
      <w:r w:rsidRPr="006973C0">
        <w:rPr>
          <w:rFonts w:eastAsia="Arial Unicode MS" w:cs="Arial"/>
          <w:b/>
          <w:bCs/>
        </w:rPr>
        <w:t>World Health Organization (WHO)</w:t>
      </w:r>
      <w:r w:rsidRPr="006973C0">
        <w:rPr>
          <w:rFonts w:eastAsia="Arial Unicode MS" w:cs="Arial"/>
        </w:rPr>
        <w:t xml:space="preserve"> (2008) </w:t>
      </w:r>
      <w:r w:rsidRPr="006973C0">
        <w:rPr>
          <w:rFonts w:eastAsia="Arial Unicode MS" w:cs="Arial"/>
          <w:i/>
          <w:iCs/>
        </w:rPr>
        <w:t>Closing the gap in a generation</w:t>
      </w:r>
      <w:r w:rsidRPr="006973C0">
        <w:rPr>
          <w:rFonts w:eastAsia="Arial Unicode MS" w:cs="Arial"/>
        </w:rPr>
        <w:t>.</w:t>
      </w:r>
      <w:r w:rsidRPr="006973C0">
        <w:rPr>
          <w:rFonts w:eastAsia="Arial Unicode MS" w:cs="Arial"/>
        </w:rPr>
        <w:br/>
        <w:t xml:space="preserve">Available at: </w:t>
      </w:r>
      <w:hyperlink r:id="rId53" w:tgtFrame="_new" w:history="1">
        <w:r w:rsidRPr="006973C0">
          <w:rPr>
            <w:rStyle w:val="Hyperlink"/>
            <w:rFonts w:eastAsia="Arial Unicode MS" w:cs="Arial"/>
          </w:rPr>
          <w:t>https://www.who.int/publications/i/item/WHO-IER-CSDH-08.1</w:t>
        </w:r>
      </w:hyperlink>
      <w:r w:rsidRPr="006973C0">
        <w:rPr>
          <w:rFonts w:eastAsia="Arial Unicode MS" w:cs="Arial"/>
        </w:rPr>
        <w:t xml:space="preserve"> (Accessed: 18 June 2025).</w:t>
      </w:r>
    </w:p>
    <w:p w14:paraId="1BEE848B" w14:textId="2DC49E8E" w:rsidR="00D366B2" w:rsidRPr="006973C0" w:rsidRDefault="00EB028E" w:rsidP="006973C0">
      <w:pPr>
        <w:ind w:left="220"/>
        <w:mirrorIndents/>
        <w:rPr>
          <w:rFonts w:eastAsia="Arial Unicode MS" w:cs="Arial"/>
        </w:rPr>
      </w:pPr>
      <w:r w:rsidRPr="006973C0">
        <w:rPr>
          <w:rFonts w:eastAsia="Arial Unicode MS" w:cs="Arial"/>
          <w:b/>
          <w:bCs/>
        </w:rPr>
        <w:t>World Health Organization (WHO)</w:t>
      </w:r>
      <w:r w:rsidRPr="006973C0">
        <w:rPr>
          <w:rFonts w:eastAsia="Arial Unicode MS" w:cs="Arial"/>
        </w:rPr>
        <w:t xml:space="preserve"> (2020) </w:t>
      </w:r>
      <w:r w:rsidRPr="006973C0">
        <w:rPr>
          <w:rFonts w:eastAsia="Arial Unicode MS" w:cs="Arial"/>
          <w:i/>
          <w:iCs/>
        </w:rPr>
        <w:t>Health equity assessment toolkit</w:t>
      </w:r>
      <w:r w:rsidRPr="006973C0">
        <w:rPr>
          <w:rFonts w:eastAsia="Arial Unicode MS" w:cs="Arial"/>
        </w:rPr>
        <w:t xml:space="preserve">. Available at: </w:t>
      </w:r>
      <w:hyperlink r:id="rId54" w:tgtFrame="_new" w:history="1">
        <w:r w:rsidRPr="006973C0">
          <w:rPr>
            <w:rStyle w:val="Hyperlink"/>
            <w:rFonts w:eastAsia="Arial Unicode MS" w:cs="Arial"/>
          </w:rPr>
          <w:t>https://www.who.int</w:t>
        </w:r>
      </w:hyperlink>
      <w:r w:rsidRPr="006973C0">
        <w:rPr>
          <w:rFonts w:eastAsia="Arial Unicode MS" w:cs="Arial"/>
        </w:rPr>
        <w:t xml:space="preserve"> (Accessed: 20 September 2025).</w:t>
      </w:r>
    </w:p>
    <w:p w14:paraId="7D3662E5" w14:textId="1F02FF5E" w:rsidR="00EB028E" w:rsidRPr="006973C0" w:rsidRDefault="00E6593C" w:rsidP="006973C0">
      <w:pPr>
        <w:ind w:left="220"/>
        <w:mirrorIndents/>
        <w:rPr>
          <w:rFonts w:eastAsia="Arial Unicode MS" w:cs="Arial"/>
        </w:rPr>
      </w:pPr>
      <w:r w:rsidRPr="006973C0">
        <w:rPr>
          <w:rFonts w:eastAsia="Arial Unicode MS" w:cs="Arial"/>
          <w:b/>
          <w:bCs/>
        </w:rPr>
        <w:t>World Health Organization (WHO)</w:t>
      </w:r>
      <w:r w:rsidRPr="006973C0">
        <w:rPr>
          <w:rFonts w:eastAsia="Arial Unicode MS" w:cs="Arial"/>
        </w:rPr>
        <w:t xml:space="preserve"> (2024) </w:t>
      </w:r>
      <w:r w:rsidRPr="006973C0">
        <w:rPr>
          <w:rFonts w:eastAsia="Arial Unicode MS" w:cs="Arial"/>
          <w:i/>
          <w:iCs/>
        </w:rPr>
        <w:t>Digital health equity framework</w:t>
      </w:r>
      <w:r w:rsidRPr="006973C0">
        <w:rPr>
          <w:rFonts w:eastAsia="Arial Unicode MS" w:cs="Arial"/>
        </w:rPr>
        <w:t xml:space="preserve">. Available at: </w:t>
      </w:r>
      <w:hyperlink r:id="rId55" w:tgtFrame="_new" w:history="1">
        <w:r w:rsidRPr="006973C0">
          <w:rPr>
            <w:rStyle w:val="Hyperlink"/>
            <w:rFonts w:eastAsia="Arial Unicode MS" w:cs="Arial"/>
          </w:rPr>
          <w:t>https://www.who.int/health-topics/digital-health</w:t>
        </w:r>
      </w:hyperlink>
      <w:r w:rsidRPr="006973C0">
        <w:rPr>
          <w:rFonts w:eastAsia="Arial Unicode MS" w:cs="Arial"/>
        </w:rPr>
        <w:t xml:space="preserve"> (Accessed: 09 December 2025).</w:t>
      </w:r>
    </w:p>
    <w:p w14:paraId="432CCFEE" w14:textId="6B85B162" w:rsidR="00E6593C" w:rsidRPr="006973C0" w:rsidRDefault="00690A1B" w:rsidP="006973C0">
      <w:pPr>
        <w:ind w:left="220"/>
        <w:mirrorIndents/>
        <w:rPr>
          <w:rFonts w:eastAsia="Arial Unicode MS" w:cs="Arial"/>
        </w:rPr>
      </w:pPr>
      <w:r w:rsidRPr="006973C0">
        <w:rPr>
          <w:rFonts w:eastAsia="Arial Unicode MS" w:cs="Arial"/>
          <w:b/>
          <w:bCs/>
        </w:rPr>
        <w:t>Yorkshire and Humber Public Health Network</w:t>
      </w:r>
      <w:r w:rsidRPr="006973C0">
        <w:rPr>
          <w:rFonts w:eastAsia="Arial Unicode MS" w:cs="Arial"/>
        </w:rPr>
        <w:t xml:space="preserve"> (2023) </w:t>
      </w:r>
      <w:r w:rsidRPr="006973C0">
        <w:rPr>
          <w:rFonts w:eastAsia="Arial Unicode MS" w:cs="Arial"/>
          <w:i/>
          <w:iCs/>
        </w:rPr>
        <w:t>Regional health inequalities</w:t>
      </w:r>
      <w:r w:rsidRPr="006973C0">
        <w:rPr>
          <w:rFonts w:eastAsia="Arial Unicode MS" w:cs="Arial"/>
        </w:rPr>
        <w:t>.</w:t>
      </w:r>
      <w:r w:rsidRPr="006973C0">
        <w:rPr>
          <w:rFonts w:eastAsia="Arial Unicode MS" w:cs="Arial"/>
        </w:rPr>
        <w:br/>
        <w:t xml:space="preserve">Available at: </w:t>
      </w:r>
      <w:hyperlink r:id="rId56" w:tgtFrame="_new" w:history="1">
        <w:r w:rsidRPr="006973C0">
          <w:rPr>
            <w:rStyle w:val="Hyperlink"/>
            <w:rFonts w:eastAsia="Arial Unicode MS" w:cs="Arial"/>
          </w:rPr>
          <w:t>https://www.yhphnetwork.co.uk</w:t>
        </w:r>
      </w:hyperlink>
      <w:r w:rsidRPr="006973C0">
        <w:rPr>
          <w:rFonts w:eastAsia="Arial Unicode MS" w:cs="Arial"/>
        </w:rPr>
        <w:t xml:space="preserve"> (Accessed: 18 November 2025).</w:t>
      </w:r>
    </w:p>
    <w:p w14:paraId="3B2A6701" w14:textId="39C011E0" w:rsidR="00690A1B" w:rsidRPr="006973C0" w:rsidRDefault="0082169A" w:rsidP="006973C0">
      <w:pPr>
        <w:ind w:left="220"/>
        <w:mirrorIndents/>
        <w:rPr>
          <w:rFonts w:eastAsia="Arial Unicode MS" w:cs="Arial"/>
        </w:rPr>
      </w:pPr>
      <w:r w:rsidRPr="006973C0">
        <w:rPr>
          <w:rFonts w:eastAsia="Arial Unicode MS" w:cs="Arial"/>
          <w:b/>
          <w:bCs/>
        </w:rPr>
        <w:t>Zhang, X. et al.</w:t>
      </w:r>
      <w:r w:rsidRPr="006973C0">
        <w:rPr>
          <w:rFonts w:eastAsia="Arial Unicode MS" w:cs="Arial"/>
        </w:rPr>
        <w:t xml:space="preserve"> (2022) ‘Digital health access and inequality’, </w:t>
      </w:r>
      <w:r w:rsidRPr="006973C0">
        <w:rPr>
          <w:rFonts w:eastAsia="Arial Unicode MS" w:cs="Arial"/>
          <w:i/>
          <w:iCs/>
        </w:rPr>
        <w:t>Journal of Medical Internet Research</w:t>
      </w:r>
      <w:r w:rsidRPr="006973C0">
        <w:rPr>
          <w:rFonts w:eastAsia="Arial Unicode MS" w:cs="Arial"/>
        </w:rPr>
        <w:t xml:space="preserve">, 24(4), e34567. Available at: </w:t>
      </w:r>
      <w:hyperlink r:id="rId57" w:history="1">
        <w:r w:rsidRPr="006973C0">
          <w:rPr>
            <w:rStyle w:val="Hyperlink"/>
            <w:rFonts w:eastAsia="Arial Unicode MS" w:cs="Arial"/>
          </w:rPr>
          <w:t>https://www.jmir.org/2022/4/e34567</w:t>
        </w:r>
      </w:hyperlink>
      <w:r w:rsidRPr="006973C0">
        <w:rPr>
          <w:rFonts w:eastAsia="Arial Unicode MS" w:cs="Arial"/>
        </w:rPr>
        <w:t xml:space="preserve"> </w:t>
      </w:r>
      <w:r w:rsidRPr="006973C0">
        <w:rPr>
          <w:rFonts w:eastAsia="Arial Unicode MS" w:cs="Arial"/>
        </w:rPr>
        <w:br/>
        <w:t>(Accessed: 11 October 2025).</w:t>
      </w:r>
    </w:p>
    <w:p w14:paraId="3003809D" w14:textId="567E23BB" w:rsidR="0082169A" w:rsidRPr="006973C0" w:rsidRDefault="00B17EC3" w:rsidP="006973C0">
      <w:pPr>
        <w:ind w:left="220"/>
        <w:mirrorIndents/>
        <w:rPr>
          <w:rFonts w:eastAsia="Arial Unicode MS" w:cs="Arial"/>
        </w:rPr>
      </w:pPr>
      <w:r w:rsidRPr="006973C0">
        <w:rPr>
          <w:rFonts w:eastAsia="Arial Unicode MS" w:cs="Arial"/>
          <w:b/>
          <w:bCs/>
        </w:rPr>
        <w:t>NHS Confederation</w:t>
      </w:r>
      <w:r w:rsidRPr="006973C0">
        <w:rPr>
          <w:rFonts w:eastAsia="Arial Unicode MS" w:cs="Arial"/>
        </w:rPr>
        <w:t xml:space="preserve"> (2024) </w:t>
      </w:r>
      <w:r w:rsidRPr="006973C0">
        <w:rPr>
          <w:rFonts w:eastAsia="Arial Unicode MS" w:cs="Arial"/>
          <w:i/>
          <w:iCs/>
        </w:rPr>
        <w:t>Integrated care systems and inequality</w:t>
      </w:r>
      <w:r w:rsidRPr="006973C0">
        <w:rPr>
          <w:rFonts w:eastAsia="Arial Unicode MS" w:cs="Arial"/>
        </w:rPr>
        <w:t xml:space="preserve">. Available at: </w:t>
      </w:r>
      <w:hyperlink r:id="rId58" w:tgtFrame="_new" w:history="1">
        <w:r w:rsidRPr="006973C0">
          <w:rPr>
            <w:rStyle w:val="Hyperlink"/>
            <w:rFonts w:eastAsia="Arial Unicode MS" w:cs="Arial"/>
          </w:rPr>
          <w:t>https://www.nhsconfed.org</w:t>
        </w:r>
      </w:hyperlink>
      <w:r w:rsidRPr="006973C0">
        <w:rPr>
          <w:rFonts w:eastAsia="Arial Unicode MS" w:cs="Arial"/>
        </w:rPr>
        <w:t xml:space="preserve"> (Accessed: 03 December 2025).</w:t>
      </w:r>
    </w:p>
    <w:p w14:paraId="31C4272B" w14:textId="1B34BEF8" w:rsidR="00B17EC3" w:rsidRPr="006973C0" w:rsidRDefault="00BE4A53" w:rsidP="006973C0">
      <w:pPr>
        <w:ind w:left="220"/>
        <w:mirrorIndents/>
        <w:rPr>
          <w:rFonts w:eastAsia="Arial Unicode MS" w:cs="Arial"/>
        </w:rPr>
      </w:pPr>
      <w:r w:rsidRPr="006973C0">
        <w:rPr>
          <w:rFonts w:eastAsia="Arial Unicode MS" w:cs="Arial"/>
          <w:b/>
          <w:bCs/>
        </w:rPr>
        <w:t>Centre for Policy Studies</w:t>
      </w:r>
      <w:r w:rsidRPr="006973C0">
        <w:rPr>
          <w:rFonts w:eastAsia="Arial Unicode MS" w:cs="Arial"/>
        </w:rPr>
        <w:t xml:space="preserve"> (2023) </w:t>
      </w:r>
      <w:r w:rsidRPr="006973C0">
        <w:rPr>
          <w:rFonts w:eastAsia="Arial Unicode MS" w:cs="Arial"/>
          <w:i/>
          <w:iCs/>
        </w:rPr>
        <w:t>Health inequality and public spending</w:t>
      </w:r>
      <w:r w:rsidRPr="006973C0">
        <w:rPr>
          <w:rFonts w:eastAsia="Arial Unicode MS" w:cs="Arial"/>
        </w:rPr>
        <w:t xml:space="preserve">. Available at: </w:t>
      </w:r>
      <w:hyperlink r:id="rId59" w:history="1">
        <w:r w:rsidRPr="006973C0">
          <w:rPr>
            <w:rStyle w:val="Hyperlink"/>
            <w:rFonts w:eastAsia="Arial Unicode MS" w:cs="Arial"/>
          </w:rPr>
          <w:t>https://www.cps.org.uk</w:t>
        </w:r>
      </w:hyperlink>
      <w:r w:rsidRPr="006973C0">
        <w:rPr>
          <w:rFonts w:eastAsia="Arial Unicode MS" w:cs="Arial"/>
        </w:rPr>
        <w:t xml:space="preserve"> (Accessed: 16 November 2025</w:t>
      </w:r>
      <w:r w:rsidR="00C0326C" w:rsidRPr="006973C0">
        <w:rPr>
          <w:rFonts w:eastAsia="Arial Unicode MS" w:cs="Arial"/>
        </w:rPr>
        <w:t>).</w:t>
      </w:r>
    </w:p>
    <w:p w14:paraId="75915D9C" w14:textId="461AEAE0" w:rsidR="00C0326C" w:rsidRPr="006973C0" w:rsidRDefault="00C0326C" w:rsidP="006973C0">
      <w:pPr>
        <w:ind w:left="220"/>
        <w:mirrorIndents/>
        <w:rPr>
          <w:rFonts w:eastAsia="Arial Unicode MS" w:cs="Arial"/>
        </w:rPr>
      </w:pPr>
      <w:r w:rsidRPr="006973C0">
        <w:rPr>
          <w:rFonts w:eastAsia="Arial Unicode MS" w:cs="Arial"/>
          <w:b/>
          <w:bCs/>
        </w:rPr>
        <w:t>Department of Health and Social Care</w:t>
      </w:r>
      <w:r w:rsidRPr="006973C0">
        <w:rPr>
          <w:rFonts w:eastAsia="Arial Unicode MS" w:cs="Arial"/>
        </w:rPr>
        <w:t xml:space="preserve"> (2023) </w:t>
      </w:r>
      <w:r w:rsidRPr="006973C0">
        <w:rPr>
          <w:rFonts w:eastAsia="Arial Unicode MS" w:cs="Arial"/>
          <w:i/>
          <w:iCs/>
        </w:rPr>
        <w:t>Health disparities white paper</w:t>
      </w:r>
      <w:r w:rsidRPr="006973C0">
        <w:rPr>
          <w:rFonts w:eastAsia="Arial Unicode MS" w:cs="Arial"/>
        </w:rPr>
        <w:t xml:space="preserve">. Available at: </w:t>
      </w:r>
      <w:hyperlink r:id="rId60" w:history="1">
        <w:r w:rsidRPr="006973C0">
          <w:rPr>
            <w:rStyle w:val="Hyperlink"/>
            <w:rFonts w:eastAsia="Arial Unicode MS" w:cs="Arial"/>
          </w:rPr>
          <w:t>https://www.gov.uk/government/publications</w:t>
        </w:r>
      </w:hyperlink>
      <w:r w:rsidRPr="006973C0">
        <w:rPr>
          <w:rFonts w:eastAsia="Arial Unicode MS" w:cs="Arial"/>
        </w:rPr>
        <w:t xml:space="preserve"> (Accessed: 22 November 2025).</w:t>
      </w:r>
    </w:p>
    <w:p w14:paraId="068C953B" w14:textId="31F8DCD1" w:rsidR="002B4534" w:rsidRPr="006973C0" w:rsidRDefault="00825DED" w:rsidP="006973C0">
      <w:pPr>
        <w:ind w:left="220"/>
        <w:mirrorIndents/>
        <w:rPr>
          <w:rFonts w:eastAsia="Arial Unicode MS" w:cs="Arial"/>
        </w:rPr>
      </w:pPr>
      <w:r w:rsidRPr="006973C0">
        <w:rPr>
          <w:rFonts w:eastAsia="Arial Unicode MS" w:cs="Arial"/>
          <w:b/>
          <w:bCs/>
        </w:rPr>
        <w:t>The Commonwealth Fund</w:t>
      </w:r>
      <w:r w:rsidRPr="006973C0">
        <w:rPr>
          <w:rFonts w:eastAsia="Arial Unicode MS" w:cs="Arial"/>
        </w:rPr>
        <w:t xml:space="preserve"> (2019) </w:t>
      </w:r>
      <w:r w:rsidRPr="006973C0">
        <w:rPr>
          <w:rFonts w:eastAsia="Arial Unicode MS" w:cs="Arial"/>
          <w:i/>
          <w:iCs/>
        </w:rPr>
        <w:t>Mirror, Mirror: International health comparisons</w:t>
      </w:r>
      <w:r w:rsidRPr="006973C0">
        <w:rPr>
          <w:rFonts w:eastAsia="Arial Unicode MS" w:cs="Arial"/>
        </w:rPr>
        <w:t>.</w:t>
      </w:r>
      <w:r w:rsidRPr="006973C0">
        <w:rPr>
          <w:rFonts w:eastAsia="Arial Unicode MS" w:cs="Arial"/>
        </w:rPr>
        <w:br/>
        <w:t xml:space="preserve">Available at: </w:t>
      </w:r>
      <w:hyperlink r:id="rId61" w:tgtFrame="_new" w:history="1">
        <w:r w:rsidRPr="006973C0">
          <w:rPr>
            <w:rStyle w:val="Hyperlink"/>
            <w:rFonts w:eastAsia="Arial Unicode MS" w:cs="Arial"/>
          </w:rPr>
          <w:t>https://www.commonwealthfund.org</w:t>
        </w:r>
      </w:hyperlink>
      <w:r w:rsidRPr="006973C0">
        <w:rPr>
          <w:rFonts w:eastAsia="Arial Unicode MS" w:cs="Arial"/>
        </w:rPr>
        <w:t xml:space="preserve"> (Accessed: 07 July 2025).</w:t>
      </w:r>
      <w:r w:rsidR="002B4534" w:rsidRPr="00D853EC">
        <w:rPr>
          <w:rFonts w:eastAsia="Arial Unicode MS" w:cs="Arial"/>
          <w:b/>
          <w:sz w:val="28"/>
          <w:szCs w:val="28"/>
        </w:rPr>
        <w:br w:type="page"/>
      </w:r>
    </w:p>
    <w:p w14:paraId="3BAD74AA" w14:textId="5A490E17" w:rsidR="002B4534" w:rsidRDefault="005C2C7A" w:rsidP="002B4534">
      <w:pPr>
        <w:pStyle w:val="Heading1"/>
        <w:ind w:left="0"/>
      </w:pPr>
      <w:bookmarkStart w:id="51" w:name="_Toc216612450"/>
      <w:r w:rsidRPr="00812591">
        <w:lastRenderedPageBreak/>
        <w:t>APPENDICES</w:t>
      </w:r>
      <w:bookmarkEnd w:id="51"/>
      <w:r w:rsidRPr="00812591">
        <w:t xml:space="preserve"> </w:t>
      </w: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mirrorIndents/>
        <w:rPr>
          <w:rFonts w:eastAsia="Arial Unicode MS" w:cs="Arial"/>
          <w:b/>
          <w:i/>
        </w:rPr>
      </w:pPr>
    </w:p>
    <w:p w14:paraId="43D05FBB"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b/>
          <w:bCs/>
          <w:lang w:val="en-US"/>
        </w:rPr>
      </w:pPr>
      <w:r w:rsidRPr="008C6AF5">
        <w:rPr>
          <w:rFonts w:cs="Arial"/>
          <w:b/>
          <w:bCs/>
          <w:lang w:val="en-US"/>
        </w:rPr>
        <w:t>Appendix A: Search Strategy and Keywords</w:t>
      </w:r>
    </w:p>
    <w:p w14:paraId="2BF56D1D"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r w:rsidRPr="008C6AF5">
        <w:rPr>
          <w:rFonts w:cs="Arial"/>
          <w:lang w:val="en-US"/>
        </w:rPr>
        <w:t>Databases used included Google Scholar, PubMed, ScienceDirect, SAGE Journals, Office for National Statistics (ONS), NHS England, The King’s Fund, The Health Foundation, and the World Health Organization (WHO). Search terms included combinations of “health inequalities”, “healthcare access”, “UK adults”, “social determinants of health”, “ethnic health inequalities”, and “digital exclusion”. Searches were limited to English-language sources published between 2010 and 2025.</w:t>
      </w:r>
    </w:p>
    <w:p w14:paraId="0167C5C2"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b/>
          <w:bCs/>
          <w:lang w:val="en-US"/>
        </w:rPr>
      </w:pPr>
      <w:r w:rsidRPr="008C6AF5">
        <w:rPr>
          <w:rFonts w:cs="Arial"/>
          <w:b/>
          <w:bCs/>
          <w:lang w:val="en-US"/>
        </w:rPr>
        <w:t>Appendix B: Inclusion and Exclusion Criteria</w:t>
      </w:r>
    </w:p>
    <w:p w14:paraId="051A5D40"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r w:rsidRPr="008C6AF5">
        <w:rPr>
          <w:rFonts w:cs="Arial"/>
          <w:lang w:val="en-US"/>
        </w:rPr>
        <w:t>Inclusion criteria: peer-reviewed or official publications, UK-focused studies, adult populations, and relevance to health access or inequalities. Exclusion criteria: child-only studies, non-UK focus, opinion pieces without evidence, and non-English publications.</w:t>
      </w:r>
    </w:p>
    <w:p w14:paraId="5F781573"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b/>
          <w:bCs/>
          <w:lang w:val="en-US"/>
        </w:rPr>
      </w:pPr>
      <w:r w:rsidRPr="008C6AF5">
        <w:rPr>
          <w:rFonts w:cs="Arial"/>
          <w:b/>
          <w:bCs/>
          <w:lang w:val="en-US"/>
        </w:rPr>
        <w:t>Appendix C: Characteristics of Included Literature</w:t>
      </w:r>
    </w:p>
    <w:p w14:paraId="1CDBC0C4" w14:textId="72AB6342"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r w:rsidRPr="008C6AF5">
        <w:rPr>
          <w:rFonts w:cs="Arial"/>
          <w:lang w:val="en-US"/>
        </w:rPr>
        <w:t xml:space="preserve">The literature included peer-reviewed journal articles, government reports, independent policy analyses, and international health </w:t>
      </w:r>
      <w:r w:rsidR="006973C0" w:rsidRPr="008C6AF5">
        <w:rPr>
          <w:rFonts w:cs="Arial"/>
          <w:lang w:val="en-US"/>
        </w:rPr>
        <w:t>organization</w:t>
      </w:r>
      <w:r w:rsidRPr="008C6AF5">
        <w:rPr>
          <w:rFonts w:cs="Arial"/>
          <w:lang w:val="en-US"/>
        </w:rPr>
        <w:t xml:space="preserve"> publications. A total of 50 sources were reviewed.</w:t>
      </w:r>
    </w:p>
    <w:p w14:paraId="357EED94"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b/>
          <w:bCs/>
          <w:lang w:val="en-US"/>
        </w:rPr>
      </w:pPr>
      <w:r w:rsidRPr="008C6AF5">
        <w:rPr>
          <w:rFonts w:cs="Arial"/>
          <w:b/>
          <w:bCs/>
          <w:lang w:val="en-US"/>
        </w:rPr>
        <w:t>Appendix D: Thematic Analysis Framework</w:t>
      </w:r>
    </w:p>
    <w:p w14:paraId="616D2074" w14:textId="37692E7A"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r w:rsidRPr="008C6AF5">
        <w:rPr>
          <w:rFonts w:cs="Arial"/>
          <w:lang w:val="en-US"/>
        </w:rPr>
        <w:t>Thematic analysis involved familiarization, coding, and synthesis. Key themes identified were socioeconomic inequality, ethnic disparities, geographical variation, and digital exclusion.</w:t>
      </w:r>
    </w:p>
    <w:p w14:paraId="3282EC3D"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b/>
          <w:bCs/>
          <w:lang w:val="en-US"/>
        </w:rPr>
      </w:pPr>
      <w:r w:rsidRPr="008C6AF5">
        <w:rPr>
          <w:rFonts w:cs="Arial"/>
          <w:b/>
          <w:bCs/>
          <w:lang w:val="en-US"/>
        </w:rPr>
        <w:t>Appendix E: Ethical Considerations Checklist</w:t>
      </w:r>
    </w:p>
    <w:p w14:paraId="63ADC1CA" w14:textId="57B31ADA"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r w:rsidRPr="008C6AF5">
        <w:rPr>
          <w:rFonts w:cs="Arial"/>
          <w:lang w:val="en-US"/>
        </w:rPr>
        <w:t>All data was publicly available. No personal or sensitive data were used. Harvard referencing was applied throughout to ensure academic integrity.</w:t>
      </w:r>
    </w:p>
    <w:p w14:paraId="1BF05639"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b/>
          <w:bCs/>
          <w:lang w:val="en-US"/>
        </w:rPr>
      </w:pPr>
      <w:r w:rsidRPr="008C6AF5">
        <w:rPr>
          <w:rFonts w:cs="Arial"/>
          <w:b/>
          <w:bCs/>
          <w:lang w:val="en-US"/>
        </w:rPr>
        <w:t>Appendix F: Key Policy Documents Reviewed</w:t>
      </w:r>
    </w:p>
    <w:p w14:paraId="6E289B80"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r w:rsidRPr="008C6AF5">
        <w:rPr>
          <w:rFonts w:cs="Arial"/>
          <w:lang w:val="en-US"/>
        </w:rPr>
        <w:t>Key documents included the NHS Long Term Plan (2019), Core20PLUS5 framework (2021), Marmot Review (2010), Marmot Review 10 Years On (2020), and COVID-19 disparities reports.</w:t>
      </w:r>
    </w:p>
    <w:p w14:paraId="26E272B1"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b/>
          <w:bCs/>
          <w:lang w:val="en-US"/>
        </w:rPr>
      </w:pPr>
      <w:r w:rsidRPr="008C6AF5">
        <w:rPr>
          <w:rFonts w:cs="Arial"/>
          <w:b/>
          <w:bCs/>
          <w:lang w:val="en-US"/>
        </w:rPr>
        <w:t>Appendix G: Abbreviations</w:t>
      </w:r>
    </w:p>
    <w:p w14:paraId="5856A712" w14:textId="77777777" w:rsidR="008C6AF5" w:rsidRPr="008C6AF5" w:rsidRDefault="008C6AF5" w:rsidP="008C6AF5">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r w:rsidRPr="008C6AF5">
        <w:rPr>
          <w:rFonts w:cs="Arial"/>
          <w:lang w:val="en-US"/>
        </w:rPr>
        <w:t>NHS – National Health Service; ONS – Office for National Statistics; WHO – World Health Organization; ICS – Integrated Care System; GP – General Practitioner.</w:t>
      </w:r>
    </w:p>
    <w:p w14:paraId="0B2A5587" w14:textId="43DCAD3E" w:rsidR="005C2C7A" w:rsidRPr="008C6AF5" w:rsidRDefault="005C2C7A"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mirrorIndents/>
        <w:jc w:val="both"/>
        <w:rPr>
          <w:rFonts w:cs="Arial"/>
          <w:lang w:val="en-US"/>
        </w:rPr>
      </w:pPr>
    </w:p>
    <w:sectPr w:rsidR="005C2C7A" w:rsidRPr="008C6AF5" w:rsidSect="00911CFE">
      <w:headerReference w:type="default" r:id="rId62"/>
      <w:footerReference w:type="default" r:id="rId6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FC9C4" w14:textId="77777777" w:rsidR="0064136F" w:rsidRDefault="0064136F">
      <w:r>
        <w:separator/>
      </w:r>
    </w:p>
  </w:endnote>
  <w:endnote w:type="continuationSeparator" w:id="0">
    <w:p w14:paraId="7541F430" w14:textId="77777777" w:rsidR="0064136F" w:rsidRDefault="006413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21D8A124" w14:textId="77777777" w:rsidR="000E2114" w:rsidRDefault="000E21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AA824" w14:textId="77777777" w:rsidR="000E2114" w:rsidRDefault="000E21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0CC81" w14:textId="77777777" w:rsidR="0064136F" w:rsidRDefault="0064136F">
      <w:r>
        <w:separator/>
      </w:r>
    </w:p>
  </w:footnote>
  <w:footnote w:type="continuationSeparator" w:id="0">
    <w:p w14:paraId="7F87F05D" w14:textId="77777777" w:rsidR="0064136F" w:rsidRDefault="006413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3741D"/>
    <w:multiLevelType w:val="multilevel"/>
    <w:tmpl w:val="31A604F8"/>
    <w:lvl w:ilvl="0">
      <w:start w:val="1"/>
      <w:numFmt w:val="decimal"/>
      <w:lvlText w:val="%1."/>
      <w:lvlJc w:val="left"/>
      <w:pPr>
        <w:ind w:left="470" w:hanging="470"/>
      </w:pPr>
      <w:rPr>
        <w:rFonts w:hint="default"/>
      </w:rPr>
    </w:lvl>
    <w:lvl w:ilvl="1">
      <w:start w:val="1"/>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1" w15:restartNumberingAfterBreak="0">
    <w:nsid w:val="05B21F82"/>
    <w:multiLevelType w:val="multilevel"/>
    <w:tmpl w:val="ED0A1E9E"/>
    <w:lvl w:ilvl="0">
      <w:start w:val="1"/>
      <w:numFmt w:val="decimal"/>
      <w:lvlText w:val="%1"/>
      <w:lvlJc w:val="left"/>
      <w:pPr>
        <w:ind w:left="470" w:hanging="470"/>
      </w:pPr>
      <w:rPr>
        <w:rFonts w:hint="default"/>
      </w:rPr>
    </w:lvl>
    <w:lvl w:ilvl="1">
      <w:start w:val="1"/>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09EF4350"/>
    <w:multiLevelType w:val="hybridMultilevel"/>
    <w:tmpl w:val="33442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191FDD"/>
    <w:multiLevelType w:val="hybridMultilevel"/>
    <w:tmpl w:val="2D440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7296F"/>
    <w:multiLevelType w:val="multilevel"/>
    <w:tmpl w:val="CD6E934A"/>
    <w:lvl w:ilvl="0">
      <w:start w:val="1"/>
      <w:numFmt w:val="decimal"/>
      <w:lvlText w:val="%1."/>
      <w:lvlJc w:val="left"/>
      <w:pPr>
        <w:ind w:left="778" w:hanging="360"/>
      </w:pPr>
    </w:lvl>
    <w:lvl w:ilvl="1">
      <w:start w:val="4"/>
      <w:numFmt w:val="decimal"/>
      <w:isLgl/>
      <w:lvlText w:val="%1.%2"/>
      <w:lvlJc w:val="left"/>
      <w:pPr>
        <w:ind w:left="818" w:hanging="400"/>
      </w:pPr>
      <w:rPr>
        <w:rFonts w:hint="default"/>
      </w:rPr>
    </w:lvl>
    <w:lvl w:ilvl="2">
      <w:start w:val="1"/>
      <w:numFmt w:val="decimal"/>
      <w:isLgl/>
      <w:lvlText w:val="%1.%2.%3"/>
      <w:lvlJc w:val="left"/>
      <w:pPr>
        <w:ind w:left="1138" w:hanging="720"/>
      </w:pPr>
      <w:rPr>
        <w:rFonts w:hint="default"/>
      </w:rPr>
    </w:lvl>
    <w:lvl w:ilvl="3">
      <w:start w:val="1"/>
      <w:numFmt w:val="decimal"/>
      <w:isLgl/>
      <w:lvlText w:val="%1.%2.%3.%4"/>
      <w:lvlJc w:val="left"/>
      <w:pPr>
        <w:ind w:left="1498" w:hanging="1080"/>
      </w:pPr>
      <w:rPr>
        <w:rFonts w:hint="default"/>
      </w:rPr>
    </w:lvl>
    <w:lvl w:ilvl="4">
      <w:start w:val="1"/>
      <w:numFmt w:val="decimal"/>
      <w:isLgl/>
      <w:lvlText w:val="%1.%2.%3.%4.%5"/>
      <w:lvlJc w:val="left"/>
      <w:pPr>
        <w:ind w:left="1498" w:hanging="1080"/>
      </w:pPr>
      <w:rPr>
        <w:rFonts w:hint="default"/>
      </w:rPr>
    </w:lvl>
    <w:lvl w:ilvl="5">
      <w:start w:val="1"/>
      <w:numFmt w:val="decimal"/>
      <w:isLgl/>
      <w:lvlText w:val="%1.%2.%3.%4.%5.%6"/>
      <w:lvlJc w:val="left"/>
      <w:pPr>
        <w:ind w:left="1858" w:hanging="1440"/>
      </w:pPr>
      <w:rPr>
        <w:rFonts w:hint="default"/>
      </w:rPr>
    </w:lvl>
    <w:lvl w:ilvl="6">
      <w:start w:val="1"/>
      <w:numFmt w:val="decimal"/>
      <w:isLgl/>
      <w:lvlText w:val="%1.%2.%3.%4.%5.%6.%7"/>
      <w:lvlJc w:val="left"/>
      <w:pPr>
        <w:ind w:left="1858" w:hanging="1440"/>
      </w:pPr>
      <w:rPr>
        <w:rFonts w:hint="default"/>
      </w:rPr>
    </w:lvl>
    <w:lvl w:ilvl="7">
      <w:start w:val="1"/>
      <w:numFmt w:val="decimal"/>
      <w:isLgl/>
      <w:lvlText w:val="%1.%2.%3.%4.%5.%6.%7.%8"/>
      <w:lvlJc w:val="left"/>
      <w:pPr>
        <w:ind w:left="2218" w:hanging="1800"/>
      </w:pPr>
      <w:rPr>
        <w:rFonts w:hint="default"/>
      </w:rPr>
    </w:lvl>
    <w:lvl w:ilvl="8">
      <w:start w:val="1"/>
      <w:numFmt w:val="decimal"/>
      <w:isLgl/>
      <w:lvlText w:val="%1.%2.%3.%4.%5.%6.%7.%8.%9"/>
      <w:lvlJc w:val="left"/>
      <w:pPr>
        <w:ind w:left="2218" w:hanging="1800"/>
      </w:pPr>
      <w:rPr>
        <w:rFonts w:hint="default"/>
      </w:rPr>
    </w:lvl>
  </w:abstractNum>
  <w:abstractNum w:abstractNumId="6" w15:restartNumberingAfterBreak="0">
    <w:nsid w:val="14134020"/>
    <w:multiLevelType w:val="multilevel"/>
    <w:tmpl w:val="EB6667B0"/>
    <w:lvl w:ilvl="0">
      <w:start w:val="1"/>
      <w:numFmt w:val="decimal"/>
      <w:lvlText w:val="%1."/>
      <w:lvlJc w:val="left"/>
      <w:pPr>
        <w:ind w:left="720" w:hanging="360"/>
      </w:pPr>
    </w:lvl>
    <w:lvl w:ilvl="1">
      <w:start w:val="4"/>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5EF28CC"/>
    <w:multiLevelType w:val="multilevel"/>
    <w:tmpl w:val="AF04972E"/>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AB7F7B"/>
    <w:multiLevelType w:val="hybridMultilevel"/>
    <w:tmpl w:val="CF4AE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E821F0"/>
    <w:multiLevelType w:val="hybridMultilevel"/>
    <w:tmpl w:val="544C4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613E4D"/>
    <w:multiLevelType w:val="multilevel"/>
    <w:tmpl w:val="7B82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701ADD"/>
    <w:multiLevelType w:val="hybridMultilevel"/>
    <w:tmpl w:val="A6686192"/>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12" w15:restartNumberingAfterBreak="0">
    <w:nsid w:val="1EF434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F115AF"/>
    <w:multiLevelType w:val="multilevel"/>
    <w:tmpl w:val="F6721996"/>
    <w:lvl w:ilvl="0">
      <w:start w:val="1"/>
      <w:numFmt w:val="decimal"/>
      <w:lvlText w:val="%1."/>
      <w:lvlJc w:val="left"/>
      <w:pPr>
        <w:ind w:left="108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4" w15:restartNumberingAfterBreak="0">
    <w:nsid w:val="24E34345"/>
    <w:multiLevelType w:val="hybridMultilevel"/>
    <w:tmpl w:val="30E4F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7951DF"/>
    <w:multiLevelType w:val="hybridMultilevel"/>
    <w:tmpl w:val="FEACD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7"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8" w15:restartNumberingAfterBreak="0">
    <w:nsid w:val="2E5E036D"/>
    <w:multiLevelType w:val="hybridMultilevel"/>
    <w:tmpl w:val="F8B8505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9" w15:restartNumberingAfterBreak="0">
    <w:nsid w:val="2FE1193E"/>
    <w:multiLevelType w:val="hybridMultilevel"/>
    <w:tmpl w:val="10225D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3946838"/>
    <w:multiLevelType w:val="hybridMultilevel"/>
    <w:tmpl w:val="FEF4A02C"/>
    <w:lvl w:ilvl="0" w:tplc="08090001">
      <w:start w:val="1"/>
      <w:numFmt w:val="bullet"/>
      <w:lvlText w:val=""/>
      <w:lvlJc w:val="left"/>
      <w:pPr>
        <w:ind w:left="779" w:hanging="360"/>
      </w:pPr>
      <w:rPr>
        <w:rFonts w:ascii="Symbol" w:hAnsi="Symbol" w:hint="default"/>
      </w:rPr>
    </w:lvl>
    <w:lvl w:ilvl="1" w:tplc="08090003" w:tentative="1">
      <w:start w:val="1"/>
      <w:numFmt w:val="bullet"/>
      <w:lvlText w:val="o"/>
      <w:lvlJc w:val="left"/>
      <w:pPr>
        <w:ind w:left="1499" w:hanging="360"/>
      </w:pPr>
      <w:rPr>
        <w:rFonts w:ascii="Courier New" w:hAnsi="Courier New" w:cs="Courier New" w:hint="default"/>
      </w:rPr>
    </w:lvl>
    <w:lvl w:ilvl="2" w:tplc="08090005" w:tentative="1">
      <w:start w:val="1"/>
      <w:numFmt w:val="bullet"/>
      <w:lvlText w:val=""/>
      <w:lvlJc w:val="left"/>
      <w:pPr>
        <w:ind w:left="2219" w:hanging="360"/>
      </w:pPr>
      <w:rPr>
        <w:rFonts w:ascii="Wingdings" w:hAnsi="Wingdings" w:hint="default"/>
      </w:rPr>
    </w:lvl>
    <w:lvl w:ilvl="3" w:tplc="08090001" w:tentative="1">
      <w:start w:val="1"/>
      <w:numFmt w:val="bullet"/>
      <w:lvlText w:val=""/>
      <w:lvlJc w:val="left"/>
      <w:pPr>
        <w:ind w:left="2939" w:hanging="360"/>
      </w:pPr>
      <w:rPr>
        <w:rFonts w:ascii="Symbol" w:hAnsi="Symbol" w:hint="default"/>
      </w:rPr>
    </w:lvl>
    <w:lvl w:ilvl="4" w:tplc="08090003" w:tentative="1">
      <w:start w:val="1"/>
      <w:numFmt w:val="bullet"/>
      <w:lvlText w:val="o"/>
      <w:lvlJc w:val="left"/>
      <w:pPr>
        <w:ind w:left="3659" w:hanging="360"/>
      </w:pPr>
      <w:rPr>
        <w:rFonts w:ascii="Courier New" w:hAnsi="Courier New" w:cs="Courier New" w:hint="default"/>
      </w:rPr>
    </w:lvl>
    <w:lvl w:ilvl="5" w:tplc="08090005" w:tentative="1">
      <w:start w:val="1"/>
      <w:numFmt w:val="bullet"/>
      <w:lvlText w:val=""/>
      <w:lvlJc w:val="left"/>
      <w:pPr>
        <w:ind w:left="4379" w:hanging="360"/>
      </w:pPr>
      <w:rPr>
        <w:rFonts w:ascii="Wingdings" w:hAnsi="Wingdings" w:hint="default"/>
      </w:rPr>
    </w:lvl>
    <w:lvl w:ilvl="6" w:tplc="08090001" w:tentative="1">
      <w:start w:val="1"/>
      <w:numFmt w:val="bullet"/>
      <w:lvlText w:val=""/>
      <w:lvlJc w:val="left"/>
      <w:pPr>
        <w:ind w:left="5099" w:hanging="360"/>
      </w:pPr>
      <w:rPr>
        <w:rFonts w:ascii="Symbol" w:hAnsi="Symbol" w:hint="default"/>
      </w:rPr>
    </w:lvl>
    <w:lvl w:ilvl="7" w:tplc="08090003" w:tentative="1">
      <w:start w:val="1"/>
      <w:numFmt w:val="bullet"/>
      <w:lvlText w:val="o"/>
      <w:lvlJc w:val="left"/>
      <w:pPr>
        <w:ind w:left="5819" w:hanging="360"/>
      </w:pPr>
      <w:rPr>
        <w:rFonts w:ascii="Courier New" w:hAnsi="Courier New" w:cs="Courier New" w:hint="default"/>
      </w:rPr>
    </w:lvl>
    <w:lvl w:ilvl="8" w:tplc="08090005" w:tentative="1">
      <w:start w:val="1"/>
      <w:numFmt w:val="bullet"/>
      <w:lvlText w:val=""/>
      <w:lvlJc w:val="left"/>
      <w:pPr>
        <w:ind w:left="6539" w:hanging="360"/>
      </w:pPr>
      <w:rPr>
        <w:rFonts w:ascii="Wingdings" w:hAnsi="Wingdings" w:hint="default"/>
      </w:rPr>
    </w:lvl>
  </w:abstractNum>
  <w:abstractNum w:abstractNumId="21" w15:restartNumberingAfterBreak="0">
    <w:nsid w:val="349E4ED5"/>
    <w:multiLevelType w:val="hybridMultilevel"/>
    <w:tmpl w:val="C6A0A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D21175"/>
    <w:multiLevelType w:val="hybridMultilevel"/>
    <w:tmpl w:val="8E6EB0B4"/>
    <w:lvl w:ilvl="0" w:tplc="08090001">
      <w:start w:val="1"/>
      <w:numFmt w:val="bullet"/>
      <w:lvlText w:val=""/>
      <w:lvlJc w:val="left"/>
      <w:pPr>
        <w:ind w:left="849" w:hanging="360"/>
      </w:pPr>
      <w:rPr>
        <w:rFonts w:ascii="Symbol" w:hAnsi="Symbol" w:hint="default"/>
      </w:rPr>
    </w:lvl>
    <w:lvl w:ilvl="1" w:tplc="08090003" w:tentative="1">
      <w:start w:val="1"/>
      <w:numFmt w:val="bullet"/>
      <w:lvlText w:val="o"/>
      <w:lvlJc w:val="left"/>
      <w:pPr>
        <w:ind w:left="1569" w:hanging="360"/>
      </w:pPr>
      <w:rPr>
        <w:rFonts w:ascii="Courier New" w:hAnsi="Courier New" w:cs="Courier New" w:hint="default"/>
      </w:rPr>
    </w:lvl>
    <w:lvl w:ilvl="2" w:tplc="08090005" w:tentative="1">
      <w:start w:val="1"/>
      <w:numFmt w:val="bullet"/>
      <w:lvlText w:val=""/>
      <w:lvlJc w:val="left"/>
      <w:pPr>
        <w:ind w:left="2289" w:hanging="360"/>
      </w:pPr>
      <w:rPr>
        <w:rFonts w:ascii="Wingdings" w:hAnsi="Wingdings" w:hint="default"/>
      </w:rPr>
    </w:lvl>
    <w:lvl w:ilvl="3" w:tplc="08090001" w:tentative="1">
      <w:start w:val="1"/>
      <w:numFmt w:val="bullet"/>
      <w:lvlText w:val=""/>
      <w:lvlJc w:val="left"/>
      <w:pPr>
        <w:ind w:left="3009" w:hanging="360"/>
      </w:pPr>
      <w:rPr>
        <w:rFonts w:ascii="Symbol" w:hAnsi="Symbol" w:hint="default"/>
      </w:rPr>
    </w:lvl>
    <w:lvl w:ilvl="4" w:tplc="08090003" w:tentative="1">
      <w:start w:val="1"/>
      <w:numFmt w:val="bullet"/>
      <w:lvlText w:val="o"/>
      <w:lvlJc w:val="left"/>
      <w:pPr>
        <w:ind w:left="3729" w:hanging="360"/>
      </w:pPr>
      <w:rPr>
        <w:rFonts w:ascii="Courier New" w:hAnsi="Courier New" w:cs="Courier New" w:hint="default"/>
      </w:rPr>
    </w:lvl>
    <w:lvl w:ilvl="5" w:tplc="08090005" w:tentative="1">
      <w:start w:val="1"/>
      <w:numFmt w:val="bullet"/>
      <w:lvlText w:val=""/>
      <w:lvlJc w:val="left"/>
      <w:pPr>
        <w:ind w:left="4449" w:hanging="360"/>
      </w:pPr>
      <w:rPr>
        <w:rFonts w:ascii="Wingdings" w:hAnsi="Wingdings" w:hint="default"/>
      </w:rPr>
    </w:lvl>
    <w:lvl w:ilvl="6" w:tplc="08090001" w:tentative="1">
      <w:start w:val="1"/>
      <w:numFmt w:val="bullet"/>
      <w:lvlText w:val=""/>
      <w:lvlJc w:val="left"/>
      <w:pPr>
        <w:ind w:left="5169" w:hanging="360"/>
      </w:pPr>
      <w:rPr>
        <w:rFonts w:ascii="Symbol" w:hAnsi="Symbol" w:hint="default"/>
      </w:rPr>
    </w:lvl>
    <w:lvl w:ilvl="7" w:tplc="08090003" w:tentative="1">
      <w:start w:val="1"/>
      <w:numFmt w:val="bullet"/>
      <w:lvlText w:val="o"/>
      <w:lvlJc w:val="left"/>
      <w:pPr>
        <w:ind w:left="5889" w:hanging="360"/>
      </w:pPr>
      <w:rPr>
        <w:rFonts w:ascii="Courier New" w:hAnsi="Courier New" w:cs="Courier New" w:hint="default"/>
      </w:rPr>
    </w:lvl>
    <w:lvl w:ilvl="8" w:tplc="08090005" w:tentative="1">
      <w:start w:val="1"/>
      <w:numFmt w:val="bullet"/>
      <w:lvlText w:val=""/>
      <w:lvlJc w:val="left"/>
      <w:pPr>
        <w:ind w:left="6609" w:hanging="360"/>
      </w:pPr>
      <w:rPr>
        <w:rFonts w:ascii="Wingdings" w:hAnsi="Wingdings" w:hint="default"/>
      </w:rPr>
    </w:lvl>
  </w:abstractNum>
  <w:abstractNum w:abstractNumId="23"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24" w15:restartNumberingAfterBreak="0">
    <w:nsid w:val="3F72386B"/>
    <w:multiLevelType w:val="hybridMultilevel"/>
    <w:tmpl w:val="61F45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38C0B73"/>
    <w:multiLevelType w:val="hybridMultilevel"/>
    <w:tmpl w:val="26B43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F65520"/>
    <w:multiLevelType w:val="hybridMultilevel"/>
    <w:tmpl w:val="94ACE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3201E2"/>
    <w:multiLevelType w:val="hybridMultilevel"/>
    <w:tmpl w:val="F1D2ADA8"/>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8"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29"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DB14E9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F5F2DCC"/>
    <w:multiLevelType w:val="multilevel"/>
    <w:tmpl w:val="1360A0D8"/>
    <w:lvl w:ilvl="0">
      <w:start w:val="1"/>
      <w:numFmt w:val="decimal"/>
      <w:lvlText w:val="%1."/>
      <w:lvlJc w:val="left"/>
      <w:pPr>
        <w:ind w:left="580" w:hanging="360"/>
      </w:pPr>
      <w:rPr>
        <w:rFonts w:hint="default"/>
      </w:rPr>
    </w:lvl>
    <w:lvl w:ilvl="1">
      <w:start w:val="1"/>
      <w:numFmt w:val="decimal"/>
      <w:isLgl/>
      <w:lvlText w:val="%1.%2"/>
      <w:lvlJc w:val="left"/>
      <w:pPr>
        <w:ind w:left="620" w:hanging="400"/>
      </w:pPr>
      <w:rPr>
        <w:rFonts w:hint="default"/>
      </w:rPr>
    </w:lvl>
    <w:lvl w:ilvl="2">
      <w:start w:val="1"/>
      <w:numFmt w:val="decimal"/>
      <w:isLgl/>
      <w:lvlText w:val="%1.%2.%3"/>
      <w:lvlJc w:val="left"/>
      <w:pPr>
        <w:ind w:left="940" w:hanging="720"/>
      </w:pPr>
      <w:rPr>
        <w:rFonts w:hint="default"/>
      </w:rPr>
    </w:lvl>
    <w:lvl w:ilvl="3">
      <w:start w:val="1"/>
      <w:numFmt w:val="decimal"/>
      <w:isLgl/>
      <w:lvlText w:val="%1.%2.%3.%4"/>
      <w:lvlJc w:val="left"/>
      <w:pPr>
        <w:ind w:left="1300" w:hanging="1080"/>
      </w:pPr>
      <w:rPr>
        <w:rFonts w:hint="default"/>
      </w:rPr>
    </w:lvl>
    <w:lvl w:ilvl="4">
      <w:start w:val="1"/>
      <w:numFmt w:val="decimal"/>
      <w:isLgl/>
      <w:lvlText w:val="%1.%2.%3.%4.%5"/>
      <w:lvlJc w:val="left"/>
      <w:pPr>
        <w:ind w:left="1300" w:hanging="1080"/>
      </w:pPr>
      <w:rPr>
        <w:rFonts w:hint="default"/>
      </w:rPr>
    </w:lvl>
    <w:lvl w:ilvl="5">
      <w:start w:val="1"/>
      <w:numFmt w:val="decimal"/>
      <w:isLgl/>
      <w:lvlText w:val="%1.%2.%3.%4.%5.%6"/>
      <w:lvlJc w:val="left"/>
      <w:pPr>
        <w:ind w:left="1660" w:hanging="1440"/>
      </w:pPr>
      <w:rPr>
        <w:rFonts w:hint="default"/>
      </w:rPr>
    </w:lvl>
    <w:lvl w:ilvl="6">
      <w:start w:val="1"/>
      <w:numFmt w:val="decimal"/>
      <w:isLgl/>
      <w:lvlText w:val="%1.%2.%3.%4.%5.%6.%7"/>
      <w:lvlJc w:val="left"/>
      <w:pPr>
        <w:ind w:left="1660" w:hanging="1440"/>
      </w:pPr>
      <w:rPr>
        <w:rFonts w:hint="default"/>
      </w:rPr>
    </w:lvl>
    <w:lvl w:ilvl="7">
      <w:start w:val="1"/>
      <w:numFmt w:val="decimal"/>
      <w:isLgl/>
      <w:lvlText w:val="%1.%2.%3.%4.%5.%6.%7.%8"/>
      <w:lvlJc w:val="left"/>
      <w:pPr>
        <w:ind w:left="2020" w:hanging="1800"/>
      </w:pPr>
      <w:rPr>
        <w:rFonts w:hint="default"/>
      </w:rPr>
    </w:lvl>
    <w:lvl w:ilvl="8">
      <w:start w:val="1"/>
      <w:numFmt w:val="decimal"/>
      <w:isLgl/>
      <w:lvlText w:val="%1.%2.%3.%4.%5.%6.%7.%8.%9"/>
      <w:lvlJc w:val="left"/>
      <w:pPr>
        <w:ind w:left="2020" w:hanging="1800"/>
      </w:pPr>
      <w:rPr>
        <w:rFonts w:hint="default"/>
      </w:rPr>
    </w:lvl>
  </w:abstractNum>
  <w:abstractNum w:abstractNumId="34" w15:restartNumberingAfterBreak="0">
    <w:nsid w:val="52EC7BB1"/>
    <w:multiLevelType w:val="hybridMultilevel"/>
    <w:tmpl w:val="7486D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36" w15:restartNumberingAfterBreak="0">
    <w:nsid w:val="5A1C23C9"/>
    <w:multiLevelType w:val="hybridMultilevel"/>
    <w:tmpl w:val="1DDE471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B4707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600A27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457299A"/>
    <w:multiLevelType w:val="hybridMultilevel"/>
    <w:tmpl w:val="9822F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41" w15:restartNumberingAfterBreak="0">
    <w:nsid w:val="70496D66"/>
    <w:multiLevelType w:val="multilevel"/>
    <w:tmpl w:val="6D165CEA"/>
    <w:lvl w:ilvl="0">
      <w:start w:val="1"/>
      <w:numFmt w:val="decimal"/>
      <w:lvlText w:val="%1"/>
      <w:lvlJc w:val="left"/>
      <w:pPr>
        <w:ind w:left="470" w:hanging="470"/>
      </w:pPr>
      <w:rPr>
        <w:rFonts w:hint="default"/>
      </w:rPr>
    </w:lvl>
    <w:lvl w:ilvl="1">
      <w:start w:val="1"/>
      <w:numFmt w:val="decimal"/>
      <w:lvlText w:val="%1.%2"/>
      <w:lvlJc w:val="left"/>
      <w:pPr>
        <w:ind w:left="940" w:hanging="720"/>
      </w:pPr>
      <w:rPr>
        <w:rFonts w:hint="default"/>
      </w:rPr>
    </w:lvl>
    <w:lvl w:ilvl="2">
      <w:start w:val="1"/>
      <w:numFmt w:val="decimal"/>
      <w:lvlText w:val="%1.%2.%3"/>
      <w:lvlJc w:val="left"/>
      <w:pPr>
        <w:ind w:left="1160" w:hanging="720"/>
      </w:pPr>
      <w:rPr>
        <w:rFonts w:hint="default"/>
      </w:rPr>
    </w:lvl>
    <w:lvl w:ilvl="3">
      <w:start w:val="1"/>
      <w:numFmt w:val="decimal"/>
      <w:lvlText w:val="%1.%2.%3.%4"/>
      <w:lvlJc w:val="left"/>
      <w:pPr>
        <w:ind w:left="1740" w:hanging="1080"/>
      </w:pPr>
      <w:rPr>
        <w:rFonts w:hint="default"/>
      </w:rPr>
    </w:lvl>
    <w:lvl w:ilvl="4">
      <w:start w:val="1"/>
      <w:numFmt w:val="decimal"/>
      <w:lvlText w:val="%1.%2.%3.%4.%5"/>
      <w:lvlJc w:val="left"/>
      <w:pPr>
        <w:ind w:left="2320" w:hanging="1440"/>
      </w:pPr>
      <w:rPr>
        <w:rFonts w:hint="default"/>
      </w:rPr>
    </w:lvl>
    <w:lvl w:ilvl="5">
      <w:start w:val="1"/>
      <w:numFmt w:val="decimal"/>
      <w:lvlText w:val="%1.%2.%3.%4.%5.%6"/>
      <w:lvlJc w:val="left"/>
      <w:pPr>
        <w:ind w:left="2540" w:hanging="1440"/>
      </w:pPr>
      <w:rPr>
        <w:rFonts w:hint="default"/>
      </w:rPr>
    </w:lvl>
    <w:lvl w:ilvl="6">
      <w:start w:val="1"/>
      <w:numFmt w:val="decimal"/>
      <w:lvlText w:val="%1.%2.%3.%4.%5.%6.%7"/>
      <w:lvlJc w:val="left"/>
      <w:pPr>
        <w:ind w:left="3120" w:hanging="1800"/>
      </w:pPr>
      <w:rPr>
        <w:rFonts w:hint="default"/>
      </w:rPr>
    </w:lvl>
    <w:lvl w:ilvl="7">
      <w:start w:val="1"/>
      <w:numFmt w:val="decimal"/>
      <w:lvlText w:val="%1.%2.%3.%4.%5.%6.%7.%8"/>
      <w:lvlJc w:val="left"/>
      <w:pPr>
        <w:ind w:left="3340" w:hanging="1800"/>
      </w:pPr>
      <w:rPr>
        <w:rFonts w:hint="default"/>
      </w:rPr>
    </w:lvl>
    <w:lvl w:ilvl="8">
      <w:start w:val="1"/>
      <w:numFmt w:val="decimal"/>
      <w:lvlText w:val="%1.%2.%3.%4.%5.%6.%7.%8.%9"/>
      <w:lvlJc w:val="left"/>
      <w:pPr>
        <w:ind w:left="3920" w:hanging="2160"/>
      </w:pPr>
      <w:rPr>
        <w:rFonts w:hint="default"/>
      </w:rPr>
    </w:lvl>
  </w:abstractNum>
  <w:abstractNum w:abstractNumId="42" w15:restartNumberingAfterBreak="0">
    <w:nsid w:val="70D86AA1"/>
    <w:multiLevelType w:val="hybridMultilevel"/>
    <w:tmpl w:val="77FED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064C4D"/>
    <w:multiLevelType w:val="hybridMultilevel"/>
    <w:tmpl w:val="F56CD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1F6F48"/>
    <w:multiLevelType w:val="hybridMultilevel"/>
    <w:tmpl w:val="09E88A84"/>
    <w:lvl w:ilvl="0" w:tplc="0809000F">
      <w:start w:val="1"/>
      <w:numFmt w:val="decimal"/>
      <w:lvlText w:val="%1."/>
      <w:lvlJc w:val="left"/>
      <w:pPr>
        <w:ind w:left="580" w:hanging="360"/>
      </w:p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45"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46" w15:restartNumberingAfterBreak="0">
    <w:nsid w:val="71E953A0"/>
    <w:multiLevelType w:val="hybridMultilevel"/>
    <w:tmpl w:val="CC14A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5244963"/>
    <w:multiLevelType w:val="hybridMultilevel"/>
    <w:tmpl w:val="0330B8D2"/>
    <w:lvl w:ilvl="0" w:tplc="1D7ED2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8" w15:restartNumberingAfterBreak="0">
    <w:nsid w:val="757A15B7"/>
    <w:multiLevelType w:val="hybridMultilevel"/>
    <w:tmpl w:val="A58A26F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9" w15:restartNumberingAfterBreak="0">
    <w:nsid w:val="7591143B"/>
    <w:multiLevelType w:val="hybridMultilevel"/>
    <w:tmpl w:val="7EC6F7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63106E7"/>
    <w:multiLevelType w:val="hybridMultilevel"/>
    <w:tmpl w:val="2F761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7FB3C68"/>
    <w:multiLevelType w:val="hybridMultilevel"/>
    <w:tmpl w:val="5058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A0442CB"/>
    <w:multiLevelType w:val="hybridMultilevel"/>
    <w:tmpl w:val="216A6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59252">
    <w:abstractNumId w:val="28"/>
  </w:num>
  <w:num w:numId="2" w16cid:durableId="1722752453">
    <w:abstractNumId w:val="16"/>
  </w:num>
  <w:num w:numId="3" w16cid:durableId="1813135186">
    <w:abstractNumId w:val="17"/>
  </w:num>
  <w:num w:numId="4" w16cid:durableId="1279994936">
    <w:abstractNumId w:val="2"/>
  </w:num>
  <w:num w:numId="5" w16cid:durableId="585575138">
    <w:abstractNumId w:val="23"/>
  </w:num>
  <w:num w:numId="6" w16cid:durableId="954754662">
    <w:abstractNumId w:val="40"/>
  </w:num>
  <w:num w:numId="7" w16cid:durableId="1708869378">
    <w:abstractNumId w:val="45"/>
  </w:num>
  <w:num w:numId="8" w16cid:durableId="567501420">
    <w:abstractNumId w:val="35"/>
  </w:num>
  <w:num w:numId="9" w16cid:durableId="2055157174">
    <w:abstractNumId w:val="30"/>
  </w:num>
  <w:num w:numId="10" w16cid:durableId="2034265101">
    <w:abstractNumId w:val="29"/>
  </w:num>
  <w:num w:numId="11" w16cid:durableId="1153914164">
    <w:abstractNumId w:val="32"/>
  </w:num>
  <w:num w:numId="12" w16cid:durableId="1060636608">
    <w:abstractNumId w:val="4"/>
  </w:num>
  <w:num w:numId="13" w16cid:durableId="661004961">
    <w:abstractNumId w:val="22"/>
  </w:num>
  <w:num w:numId="14" w16cid:durableId="1219826222">
    <w:abstractNumId w:val="8"/>
  </w:num>
  <w:num w:numId="15" w16cid:durableId="1214806298">
    <w:abstractNumId w:val="24"/>
  </w:num>
  <w:num w:numId="16" w16cid:durableId="1796365444">
    <w:abstractNumId w:val="51"/>
  </w:num>
  <w:num w:numId="17" w16cid:durableId="115492068">
    <w:abstractNumId w:val="1"/>
  </w:num>
  <w:num w:numId="18" w16cid:durableId="246230582">
    <w:abstractNumId w:val="0"/>
  </w:num>
  <w:num w:numId="19" w16cid:durableId="1849560010">
    <w:abstractNumId w:val="48"/>
  </w:num>
  <w:num w:numId="20" w16cid:durableId="675353264">
    <w:abstractNumId w:val="6"/>
  </w:num>
  <w:num w:numId="21" w16cid:durableId="1105418496">
    <w:abstractNumId w:val="47"/>
  </w:num>
  <w:num w:numId="22" w16cid:durableId="1237472757">
    <w:abstractNumId w:val="36"/>
  </w:num>
  <w:num w:numId="23" w16cid:durableId="510415170">
    <w:abstractNumId w:val="10"/>
  </w:num>
  <w:num w:numId="24" w16cid:durableId="1886865761">
    <w:abstractNumId w:val="41"/>
  </w:num>
  <w:num w:numId="25" w16cid:durableId="1879006905">
    <w:abstractNumId w:val="13"/>
  </w:num>
  <w:num w:numId="26" w16cid:durableId="1332443591">
    <w:abstractNumId w:val="5"/>
  </w:num>
  <w:num w:numId="27" w16cid:durableId="64692685">
    <w:abstractNumId w:val="49"/>
  </w:num>
  <w:num w:numId="28" w16cid:durableId="1485849142">
    <w:abstractNumId w:val="38"/>
  </w:num>
  <w:num w:numId="29" w16cid:durableId="727802601">
    <w:abstractNumId w:val="31"/>
  </w:num>
  <w:num w:numId="30" w16cid:durableId="1506045477">
    <w:abstractNumId w:val="37"/>
  </w:num>
  <w:num w:numId="31" w16cid:durableId="131489525">
    <w:abstractNumId w:val="12"/>
  </w:num>
  <w:num w:numId="32" w16cid:durableId="660542853">
    <w:abstractNumId w:val="21"/>
  </w:num>
  <w:num w:numId="33" w16cid:durableId="1671830253">
    <w:abstractNumId w:val="18"/>
  </w:num>
  <w:num w:numId="34" w16cid:durableId="1277835720">
    <w:abstractNumId w:val="42"/>
  </w:num>
  <w:num w:numId="35" w16cid:durableId="38211461">
    <w:abstractNumId w:val="7"/>
  </w:num>
  <w:num w:numId="36" w16cid:durableId="1481776437">
    <w:abstractNumId w:val="19"/>
  </w:num>
  <w:num w:numId="37" w16cid:durableId="6643742">
    <w:abstractNumId w:val="20"/>
  </w:num>
  <w:num w:numId="38" w16cid:durableId="2100368754">
    <w:abstractNumId w:val="43"/>
  </w:num>
  <w:num w:numId="39" w16cid:durableId="328145831">
    <w:abstractNumId w:val="3"/>
  </w:num>
  <w:num w:numId="40" w16cid:durableId="1321421354">
    <w:abstractNumId w:val="46"/>
  </w:num>
  <w:num w:numId="41" w16cid:durableId="1116487255">
    <w:abstractNumId w:val="27"/>
  </w:num>
  <w:num w:numId="42" w16cid:durableId="937060973">
    <w:abstractNumId w:val="11"/>
  </w:num>
  <w:num w:numId="43" w16cid:durableId="1272200120">
    <w:abstractNumId w:val="33"/>
  </w:num>
  <w:num w:numId="44" w16cid:durableId="84620433">
    <w:abstractNumId w:val="34"/>
  </w:num>
  <w:num w:numId="45" w16cid:durableId="1739353979">
    <w:abstractNumId w:val="9"/>
  </w:num>
  <w:num w:numId="46" w16cid:durableId="1752004941">
    <w:abstractNumId w:val="25"/>
  </w:num>
  <w:num w:numId="47" w16cid:durableId="2012828636">
    <w:abstractNumId w:val="39"/>
  </w:num>
  <w:num w:numId="48" w16cid:durableId="29720409">
    <w:abstractNumId w:val="26"/>
  </w:num>
  <w:num w:numId="49" w16cid:durableId="261256777">
    <w:abstractNumId w:val="14"/>
  </w:num>
  <w:num w:numId="50" w16cid:durableId="2141805563">
    <w:abstractNumId w:val="50"/>
  </w:num>
  <w:num w:numId="51" w16cid:durableId="1414351813">
    <w:abstractNumId w:val="52"/>
  </w:num>
  <w:num w:numId="52" w16cid:durableId="1875580149">
    <w:abstractNumId w:val="15"/>
  </w:num>
  <w:num w:numId="53" w16cid:durableId="1081758624">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4CBC"/>
    <w:rsid w:val="00012771"/>
    <w:rsid w:val="00013B9F"/>
    <w:rsid w:val="00022F41"/>
    <w:rsid w:val="000342AD"/>
    <w:rsid w:val="00034942"/>
    <w:rsid w:val="00040E29"/>
    <w:rsid w:val="00046B21"/>
    <w:rsid w:val="00050497"/>
    <w:rsid w:val="0005132A"/>
    <w:rsid w:val="0005271E"/>
    <w:rsid w:val="00052FF7"/>
    <w:rsid w:val="000543F3"/>
    <w:rsid w:val="00054D61"/>
    <w:rsid w:val="00055E99"/>
    <w:rsid w:val="00060882"/>
    <w:rsid w:val="00065662"/>
    <w:rsid w:val="00072054"/>
    <w:rsid w:val="000721BB"/>
    <w:rsid w:val="00076558"/>
    <w:rsid w:val="00077134"/>
    <w:rsid w:val="00077FB2"/>
    <w:rsid w:val="00082F69"/>
    <w:rsid w:val="00083BA8"/>
    <w:rsid w:val="00084CB2"/>
    <w:rsid w:val="000873E4"/>
    <w:rsid w:val="000876C5"/>
    <w:rsid w:val="00087B31"/>
    <w:rsid w:val="000919F0"/>
    <w:rsid w:val="000920D7"/>
    <w:rsid w:val="000922D9"/>
    <w:rsid w:val="00093A14"/>
    <w:rsid w:val="00094A45"/>
    <w:rsid w:val="0009787C"/>
    <w:rsid w:val="000A01D3"/>
    <w:rsid w:val="000A6F77"/>
    <w:rsid w:val="000B5F85"/>
    <w:rsid w:val="000C1626"/>
    <w:rsid w:val="000C4A59"/>
    <w:rsid w:val="000C677E"/>
    <w:rsid w:val="000C7794"/>
    <w:rsid w:val="000E004F"/>
    <w:rsid w:val="000E2114"/>
    <w:rsid w:val="000E252A"/>
    <w:rsid w:val="000E7FB3"/>
    <w:rsid w:val="000F046B"/>
    <w:rsid w:val="000F6941"/>
    <w:rsid w:val="00103EFE"/>
    <w:rsid w:val="00105405"/>
    <w:rsid w:val="001057E8"/>
    <w:rsid w:val="0011464B"/>
    <w:rsid w:val="00114BFD"/>
    <w:rsid w:val="00115F25"/>
    <w:rsid w:val="001163A5"/>
    <w:rsid w:val="00120082"/>
    <w:rsid w:val="00124E4B"/>
    <w:rsid w:val="0012665F"/>
    <w:rsid w:val="00130601"/>
    <w:rsid w:val="001313BB"/>
    <w:rsid w:val="00133669"/>
    <w:rsid w:val="00134767"/>
    <w:rsid w:val="00141A69"/>
    <w:rsid w:val="00154C70"/>
    <w:rsid w:val="00165E8E"/>
    <w:rsid w:val="00175B5D"/>
    <w:rsid w:val="00175C38"/>
    <w:rsid w:val="00175E55"/>
    <w:rsid w:val="0017655D"/>
    <w:rsid w:val="0017746E"/>
    <w:rsid w:val="001862B5"/>
    <w:rsid w:val="00187319"/>
    <w:rsid w:val="0019130B"/>
    <w:rsid w:val="00193CB5"/>
    <w:rsid w:val="0019537B"/>
    <w:rsid w:val="001A3E4F"/>
    <w:rsid w:val="001B0701"/>
    <w:rsid w:val="001B4E53"/>
    <w:rsid w:val="001C7948"/>
    <w:rsid w:val="001D4170"/>
    <w:rsid w:val="001D46A0"/>
    <w:rsid w:val="001F1324"/>
    <w:rsid w:val="001F302B"/>
    <w:rsid w:val="00204939"/>
    <w:rsid w:val="002073C5"/>
    <w:rsid w:val="00214243"/>
    <w:rsid w:val="00214AC2"/>
    <w:rsid w:val="00215B8E"/>
    <w:rsid w:val="00220CD2"/>
    <w:rsid w:val="002323BC"/>
    <w:rsid w:val="002351AE"/>
    <w:rsid w:val="00235A01"/>
    <w:rsid w:val="00240C45"/>
    <w:rsid w:val="00241EB5"/>
    <w:rsid w:val="002464D4"/>
    <w:rsid w:val="00252A9F"/>
    <w:rsid w:val="00253718"/>
    <w:rsid w:val="00254C87"/>
    <w:rsid w:val="002667F4"/>
    <w:rsid w:val="00267545"/>
    <w:rsid w:val="00271B53"/>
    <w:rsid w:val="00273797"/>
    <w:rsid w:val="00275E41"/>
    <w:rsid w:val="00280CCB"/>
    <w:rsid w:val="00281451"/>
    <w:rsid w:val="00283145"/>
    <w:rsid w:val="00286203"/>
    <w:rsid w:val="002919E9"/>
    <w:rsid w:val="00291F7D"/>
    <w:rsid w:val="0029250A"/>
    <w:rsid w:val="002A6D82"/>
    <w:rsid w:val="002B2206"/>
    <w:rsid w:val="002B4534"/>
    <w:rsid w:val="002C2B51"/>
    <w:rsid w:val="002C4A51"/>
    <w:rsid w:val="002C4DB6"/>
    <w:rsid w:val="002C7A49"/>
    <w:rsid w:val="002D21EF"/>
    <w:rsid w:val="002D50CE"/>
    <w:rsid w:val="002E499F"/>
    <w:rsid w:val="002E5C6F"/>
    <w:rsid w:val="002F0BC9"/>
    <w:rsid w:val="00303BED"/>
    <w:rsid w:val="00304A18"/>
    <w:rsid w:val="00304A2B"/>
    <w:rsid w:val="00306F6F"/>
    <w:rsid w:val="00310B79"/>
    <w:rsid w:val="00313925"/>
    <w:rsid w:val="00323841"/>
    <w:rsid w:val="00323936"/>
    <w:rsid w:val="00327C72"/>
    <w:rsid w:val="00333B11"/>
    <w:rsid w:val="0033756B"/>
    <w:rsid w:val="00337668"/>
    <w:rsid w:val="00343FC0"/>
    <w:rsid w:val="0036445B"/>
    <w:rsid w:val="00367B10"/>
    <w:rsid w:val="00372C94"/>
    <w:rsid w:val="00374501"/>
    <w:rsid w:val="00375951"/>
    <w:rsid w:val="0038151A"/>
    <w:rsid w:val="003826E9"/>
    <w:rsid w:val="00393961"/>
    <w:rsid w:val="00395159"/>
    <w:rsid w:val="003A59B7"/>
    <w:rsid w:val="003B2337"/>
    <w:rsid w:val="003B3EDC"/>
    <w:rsid w:val="003B6B47"/>
    <w:rsid w:val="003E2BCB"/>
    <w:rsid w:val="003E37AB"/>
    <w:rsid w:val="003E5301"/>
    <w:rsid w:val="003E5326"/>
    <w:rsid w:val="003E574C"/>
    <w:rsid w:val="003F2B6D"/>
    <w:rsid w:val="003F3EB9"/>
    <w:rsid w:val="003F4337"/>
    <w:rsid w:val="003F5146"/>
    <w:rsid w:val="003F607D"/>
    <w:rsid w:val="0040081F"/>
    <w:rsid w:val="00401C3C"/>
    <w:rsid w:val="00402BA5"/>
    <w:rsid w:val="00404404"/>
    <w:rsid w:val="004128BD"/>
    <w:rsid w:val="0043419C"/>
    <w:rsid w:val="00440DA4"/>
    <w:rsid w:val="004437A4"/>
    <w:rsid w:val="00447936"/>
    <w:rsid w:val="00451E30"/>
    <w:rsid w:val="004543B6"/>
    <w:rsid w:val="00463604"/>
    <w:rsid w:val="0046374D"/>
    <w:rsid w:val="0046736D"/>
    <w:rsid w:val="00482CED"/>
    <w:rsid w:val="00486096"/>
    <w:rsid w:val="00486B09"/>
    <w:rsid w:val="004921B6"/>
    <w:rsid w:val="004921DE"/>
    <w:rsid w:val="004A6BE9"/>
    <w:rsid w:val="004B47F0"/>
    <w:rsid w:val="004B54C7"/>
    <w:rsid w:val="004C6A4F"/>
    <w:rsid w:val="004D11B6"/>
    <w:rsid w:val="004D3EFF"/>
    <w:rsid w:val="004D746E"/>
    <w:rsid w:val="004E2C09"/>
    <w:rsid w:val="004E3AA3"/>
    <w:rsid w:val="004E4877"/>
    <w:rsid w:val="004F167F"/>
    <w:rsid w:val="00500569"/>
    <w:rsid w:val="00514523"/>
    <w:rsid w:val="0052286E"/>
    <w:rsid w:val="005238BE"/>
    <w:rsid w:val="00526259"/>
    <w:rsid w:val="005331AE"/>
    <w:rsid w:val="00533383"/>
    <w:rsid w:val="005336CA"/>
    <w:rsid w:val="00534863"/>
    <w:rsid w:val="00535BBA"/>
    <w:rsid w:val="005467EA"/>
    <w:rsid w:val="00546EE4"/>
    <w:rsid w:val="0055182D"/>
    <w:rsid w:val="005527C3"/>
    <w:rsid w:val="0056169E"/>
    <w:rsid w:val="005737C5"/>
    <w:rsid w:val="00580B9B"/>
    <w:rsid w:val="0058164F"/>
    <w:rsid w:val="00585286"/>
    <w:rsid w:val="00585777"/>
    <w:rsid w:val="0059069D"/>
    <w:rsid w:val="005923B7"/>
    <w:rsid w:val="00592B42"/>
    <w:rsid w:val="00594546"/>
    <w:rsid w:val="005A29E4"/>
    <w:rsid w:val="005B5298"/>
    <w:rsid w:val="005C2C7A"/>
    <w:rsid w:val="005C58AD"/>
    <w:rsid w:val="005D033E"/>
    <w:rsid w:val="005D0C87"/>
    <w:rsid w:val="005D3009"/>
    <w:rsid w:val="005D3B9C"/>
    <w:rsid w:val="005D4E64"/>
    <w:rsid w:val="005D5548"/>
    <w:rsid w:val="005E0D09"/>
    <w:rsid w:val="005E65A7"/>
    <w:rsid w:val="005E78D4"/>
    <w:rsid w:val="005F216E"/>
    <w:rsid w:val="005F2338"/>
    <w:rsid w:val="005F32F1"/>
    <w:rsid w:val="00610503"/>
    <w:rsid w:val="00611789"/>
    <w:rsid w:val="00611EE9"/>
    <w:rsid w:val="00620237"/>
    <w:rsid w:val="0062052C"/>
    <w:rsid w:val="00620D31"/>
    <w:rsid w:val="006236D8"/>
    <w:rsid w:val="00627F96"/>
    <w:rsid w:val="00630D47"/>
    <w:rsid w:val="00630F1E"/>
    <w:rsid w:val="00634B89"/>
    <w:rsid w:val="00637367"/>
    <w:rsid w:val="0064136F"/>
    <w:rsid w:val="00651FDB"/>
    <w:rsid w:val="00671AD7"/>
    <w:rsid w:val="00690A1B"/>
    <w:rsid w:val="006973C0"/>
    <w:rsid w:val="006976B8"/>
    <w:rsid w:val="006A08E4"/>
    <w:rsid w:val="006A41BF"/>
    <w:rsid w:val="006A476B"/>
    <w:rsid w:val="006A47B9"/>
    <w:rsid w:val="006B7C10"/>
    <w:rsid w:val="006C2B3D"/>
    <w:rsid w:val="006C5309"/>
    <w:rsid w:val="006D4003"/>
    <w:rsid w:val="006D794B"/>
    <w:rsid w:val="006E14E8"/>
    <w:rsid w:val="006E3255"/>
    <w:rsid w:val="006E3709"/>
    <w:rsid w:val="006F18C8"/>
    <w:rsid w:val="006F447D"/>
    <w:rsid w:val="006F4A73"/>
    <w:rsid w:val="006F7DDB"/>
    <w:rsid w:val="00702D47"/>
    <w:rsid w:val="00710CDD"/>
    <w:rsid w:val="007201D5"/>
    <w:rsid w:val="007203FA"/>
    <w:rsid w:val="007229F6"/>
    <w:rsid w:val="0073177A"/>
    <w:rsid w:val="007342A7"/>
    <w:rsid w:val="00735619"/>
    <w:rsid w:val="00740E54"/>
    <w:rsid w:val="00744012"/>
    <w:rsid w:val="0074480A"/>
    <w:rsid w:val="007472F2"/>
    <w:rsid w:val="00753476"/>
    <w:rsid w:val="00766AA1"/>
    <w:rsid w:val="00766D97"/>
    <w:rsid w:val="007906B6"/>
    <w:rsid w:val="007949BA"/>
    <w:rsid w:val="007A0733"/>
    <w:rsid w:val="007A109E"/>
    <w:rsid w:val="007B2E60"/>
    <w:rsid w:val="007B3642"/>
    <w:rsid w:val="007D1BF8"/>
    <w:rsid w:val="007D7837"/>
    <w:rsid w:val="007E426F"/>
    <w:rsid w:val="007F2581"/>
    <w:rsid w:val="007F2614"/>
    <w:rsid w:val="007F473B"/>
    <w:rsid w:val="00802A09"/>
    <w:rsid w:val="00812591"/>
    <w:rsid w:val="00814E4E"/>
    <w:rsid w:val="00817A6E"/>
    <w:rsid w:val="0082169A"/>
    <w:rsid w:val="0082471C"/>
    <w:rsid w:val="00825DED"/>
    <w:rsid w:val="00826855"/>
    <w:rsid w:val="0083184C"/>
    <w:rsid w:val="00840991"/>
    <w:rsid w:val="008438A0"/>
    <w:rsid w:val="00843D0D"/>
    <w:rsid w:val="0085119E"/>
    <w:rsid w:val="00853000"/>
    <w:rsid w:val="00854DCC"/>
    <w:rsid w:val="0085638C"/>
    <w:rsid w:val="00856B3D"/>
    <w:rsid w:val="0086777F"/>
    <w:rsid w:val="0086786E"/>
    <w:rsid w:val="00880081"/>
    <w:rsid w:val="008825E0"/>
    <w:rsid w:val="00883C1A"/>
    <w:rsid w:val="008866FD"/>
    <w:rsid w:val="00886976"/>
    <w:rsid w:val="00890C78"/>
    <w:rsid w:val="00896929"/>
    <w:rsid w:val="00897532"/>
    <w:rsid w:val="008C6AF5"/>
    <w:rsid w:val="008D0865"/>
    <w:rsid w:val="008D3B58"/>
    <w:rsid w:val="008D4F3B"/>
    <w:rsid w:val="008D7791"/>
    <w:rsid w:val="008E3756"/>
    <w:rsid w:val="008E7DCC"/>
    <w:rsid w:val="008F6FC3"/>
    <w:rsid w:val="00911CFE"/>
    <w:rsid w:val="00920D94"/>
    <w:rsid w:val="00921A8A"/>
    <w:rsid w:val="00930D5F"/>
    <w:rsid w:val="0093775D"/>
    <w:rsid w:val="00950BD7"/>
    <w:rsid w:val="009525F0"/>
    <w:rsid w:val="009565F3"/>
    <w:rsid w:val="009600CF"/>
    <w:rsid w:val="00960311"/>
    <w:rsid w:val="00960831"/>
    <w:rsid w:val="00965635"/>
    <w:rsid w:val="0096650C"/>
    <w:rsid w:val="00972AA3"/>
    <w:rsid w:val="009746C9"/>
    <w:rsid w:val="009941DB"/>
    <w:rsid w:val="0099471E"/>
    <w:rsid w:val="00994B75"/>
    <w:rsid w:val="009953E7"/>
    <w:rsid w:val="00997126"/>
    <w:rsid w:val="009A4F38"/>
    <w:rsid w:val="009A62BC"/>
    <w:rsid w:val="009B2902"/>
    <w:rsid w:val="009B527E"/>
    <w:rsid w:val="009B69B2"/>
    <w:rsid w:val="009B71E9"/>
    <w:rsid w:val="009C30BC"/>
    <w:rsid w:val="009C5DF9"/>
    <w:rsid w:val="009C736E"/>
    <w:rsid w:val="009D4AAA"/>
    <w:rsid w:val="009D4F54"/>
    <w:rsid w:val="009D6DF0"/>
    <w:rsid w:val="009E1139"/>
    <w:rsid w:val="009E403B"/>
    <w:rsid w:val="009E57F7"/>
    <w:rsid w:val="009E648A"/>
    <w:rsid w:val="009E6985"/>
    <w:rsid w:val="009E7BA6"/>
    <w:rsid w:val="009F1A54"/>
    <w:rsid w:val="009F1A7D"/>
    <w:rsid w:val="009F302F"/>
    <w:rsid w:val="009F43DA"/>
    <w:rsid w:val="009F446E"/>
    <w:rsid w:val="009F7805"/>
    <w:rsid w:val="00A114D7"/>
    <w:rsid w:val="00A261BF"/>
    <w:rsid w:val="00A316D4"/>
    <w:rsid w:val="00A31D12"/>
    <w:rsid w:val="00A3212E"/>
    <w:rsid w:val="00A32D4A"/>
    <w:rsid w:val="00A40A03"/>
    <w:rsid w:val="00A40A21"/>
    <w:rsid w:val="00A439C3"/>
    <w:rsid w:val="00A525F3"/>
    <w:rsid w:val="00A52720"/>
    <w:rsid w:val="00A52F75"/>
    <w:rsid w:val="00A53EDC"/>
    <w:rsid w:val="00A56968"/>
    <w:rsid w:val="00A64A5B"/>
    <w:rsid w:val="00A64C0E"/>
    <w:rsid w:val="00A707DA"/>
    <w:rsid w:val="00A72B3F"/>
    <w:rsid w:val="00A754E1"/>
    <w:rsid w:val="00A80CB7"/>
    <w:rsid w:val="00A83458"/>
    <w:rsid w:val="00A84250"/>
    <w:rsid w:val="00A859F7"/>
    <w:rsid w:val="00A96349"/>
    <w:rsid w:val="00AA5F4A"/>
    <w:rsid w:val="00AB2E99"/>
    <w:rsid w:val="00AC0230"/>
    <w:rsid w:val="00AC02E1"/>
    <w:rsid w:val="00AC4146"/>
    <w:rsid w:val="00AC51E4"/>
    <w:rsid w:val="00AD697F"/>
    <w:rsid w:val="00AF3353"/>
    <w:rsid w:val="00AF65A1"/>
    <w:rsid w:val="00AF69BE"/>
    <w:rsid w:val="00B009C9"/>
    <w:rsid w:val="00B17EC3"/>
    <w:rsid w:val="00B24A96"/>
    <w:rsid w:val="00B26936"/>
    <w:rsid w:val="00B3314D"/>
    <w:rsid w:val="00B3314F"/>
    <w:rsid w:val="00B34D37"/>
    <w:rsid w:val="00B42CAC"/>
    <w:rsid w:val="00B52A12"/>
    <w:rsid w:val="00B56F4D"/>
    <w:rsid w:val="00B6118D"/>
    <w:rsid w:val="00B715D5"/>
    <w:rsid w:val="00B72883"/>
    <w:rsid w:val="00B73918"/>
    <w:rsid w:val="00B739FC"/>
    <w:rsid w:val="00B80583"/>
    <w:rsid w:val="00B860FB"/>
    <w:rsid w:val="00B94A9A"/>
    <w:rsid w:val="00B96B18"/>
    <w:rsid w:val="00BA0BB4"/>
    <w:rsid w:val="00BA11E9"/>
    <w:rsid w:val="00BB2C8E"/>
    <w:rsid w:val="00BC0F03"/>
    <w:rsid w:val="00BC1C53"/>
    <w:rsid w:val="00BD2CEF"/>
    <w:rsid w:val="00BD4515"/>
    <w:rsid w:val="00BD5959"/>
    <w:rsid w:val="00BD7BFF"/>
    <w:rsid w:val="00BE340F"/>
    <w:rsid w:val="00BE4A53"/>
    <w:rsid w:val="00BE69BE"/>
    <w:rsid w:val="00C00678"/>
    <w:rsid w:val="00C02E37"/>
    <w:rsid w:val="00C0326C"/>
    <w:rsid w:val="00C07B4D"/>
    <w:rsid w:val="00C13E20"/>
    <w:rsid w:val="00C17E2F"/>
    <w:rsid w:val="00C17FC9"/>
    <w:rsid w:val="00C307BC"/>
    <w:rsid w:val="00C30829"/>
    <w:rsid w:val="00C37DDD"/>
    <w:rsid w:val="00C41672"/>
    <w:rsid w:val="00C4539F"/>
    <w:rsid w:val="00C474F1"/>
    <w:rsid w:val="00C5041A"/>
    <w:rsid w:val="00C507E4"/>
    <w:rsid w:val="00C65297"/>
    <w:rsid w:val="00C67365"/>
    <w:rsid w:val="00C70E6D"/>
    <w:rsid w:val="00C764A3"/>
    <w:rsid w:val="00C80A1C"/>
    <w:rsid w:val="00C80B36"/>
    <w:rsid w:val="00C8606F"/>
    <w:rsid w:val="00C93C3A"/>
    <w:rsid w:val="00CA57D2"/>
    <w:rsid w:val="00CB18DA"/>
    <w:rsid w:val="00CC1298"/>
    <w:rsid w:val="00CC5A7D"/>
    <w:rsid w:val="00CC5BCA"/>
    <w:rsid w:val="00CD128B"/>
    <w:rsid w:val="00CF341A"/>
    <w:rsid w:val="00CF5846"/>
    <w:rsid w:val="00D00BE5"/>
    <w:rsid w:val="00D019C5"/>
    <w:rsid w:val="00D049C1"/>
    <w:rsid w:val="00D055B2"/>
    <w:rsid w:val="00D2285A"/>
    <w:rsid w:val="00D257F4"/>
    <w:rsid w:val="00D324B8"/>
    <w:rsid w:val="00D366B2"/>
    <w:rsid w:val="00D433CA"/>
    <w:rsid w:val="00D562FA"/>
    <w:rsid w:val="00D622D4"/>
    <w:rsid w:val="00D623F3"/>
    <w:rsid w:val="00D63D2C"/>
    <w:rsid w:val="00D65A4A"/>
    <w:rsid w:val="00D769F2"/>
    <w:rsid w:val="00D8005E"/>
    <w:rsid w:val="00D853EC"/>
    <w:rsid w:val="00D85720"/>
    <w:rsid w:val="00D948AC"/>
    <w:rsid w:val="00D95025"/>
    <w:rsid w:val="00DA52F0"/>
    <w:rsid w:val="00DB411C"/>
    <w:rsid w:val="00DB5F3B"/>
    <w:rsid w:val="00DC1687"/>
    <w:rsid w:val="00DC1B2E"/>
    <w:rsid w:val="00DC4BE7"/>
    <w:rsid w:val="00DD3516"/>
    <w:rsid w:val="00DD3A12"/>
    <w:rsid w:val="00DD598E"/>
    <w:rsid w:val="00DD6421"/>
    <w:rsid w:val="00DE0C42"/>
    <w:rsid w:val="00DE1A6A"/>
    <w:rsid w:val="00DF5FE0"/>
    <w:rsid w:val="00E0224D"/>
    <w:rsid w:val="00E0754E"/>
    <w:rsid w:val="00E10605"/>
    <w:rsid w:val="00E20CA1"/>
    <w:rsid w:val="00E22081"/>
    <w:rsid w:val="00E33429"/>
    <w:rsid w:val="00E3457E"/>
    <w:rsid w:val="00E35C33"/>
    <w:rsid w:val="00E36BA4"/>
    <w:rsid w:val="00E45162"/>
    <w:rsid w:val="00E45864"/>
    <w:rsid w:val="00E51C8E"/>
    <w:rsid w:val="00E53F0D"/>
    <w:rsid w:val="00E54C31"/>
    <w:rsid w:val="00E56064"/>
    <w:rsid w:val="00E63929"/>
    <w:rsid w:val="00E6392D"/>
    <w:rsid w:val="00E6593C"/>
    <w:rsid w:val="00E66C8F"/>
    <w:rsid w:val="00E67203"/>
    <w:rsid w:val="00E725D4"/>
    <w:rsid w:val="00E775BB"/>
    <w:rsid w:val="00E83D49"/>
    <w:rsid w:val="00E870D8"/>
    <w:rsid w:val="00E870FC"/>
    <w:rsid w:val="00E9247C"/>
    <w:rsid w:val="00E96FA5"/>
    <w:rsid w:val="00EA1E5B"/>
    <w:rsid w:val="00EB028E"/>
    <w:rsid w:val="00EB0E93"/>
    <w:rsid w:val="00EB174A"/>
    <w:rsid w:val="00EB5DBB"/>
    <w:rsid w:val="00EC468D"/>
    <w:rsid w:val="00EC57D8"/>
    <w:rsid w:val="00ED2E5D"/>
    <w:rsid w:val="00EF4D87"/>
    <w:rsid w:val="00EF770F"/>
    <w:rsid w:val="00F00F1A"/>
    <w:rsid w:val="00F21BAA"/>
    <w:rsid w:val="00F22600"/>
    <w:rsid w:val="00F2450A"/>
    <w:rsid w:val="00F346B3"/>
    <w:rsid w:val="00F3471A"/>
    <w:rsid w:val="00F3481B"/>
    <w:rsid w:val="00F34DB0"/>
    <w:rsid w:val="00F35558"/>
    <w:rsid w:val="00F40262"/>
    <w:rsid w:val="00F41F6D"/>
    <w:rsid w:val="00F45456"/>
    <w:rsid w:val="00F46401"/>
    <w:rsid w:val="00F47094"/>
    <w:rsid w:val="00F51D4C"/>
    <w:rsid w:val="00F5656E"/>
    <w:rsid w:val="00F61C49"/>
    <w:rsid w:val="00F62B4C"/>
    <w:rsid w:val="00F712F9"/>
    <w:rsid w:val="00F74F3F"/>
    <w:rsid w:val="00F8010C"/>
    <w:rsid w:val="00F80DA7"/>
    <w:rsid w:val="00F81533"/>
    <w:rsid w:val="00F815B0"/>
    <w:rsid w:val="00F8435D"/>
    <w:rsid w:val="00FA7EC7"/>
    <w:rsid w:val="00FB38E3"/>
    <w:rsid w:val="00FB62BF"/>
    <w:rsid w:val="00FB6992"/>
    <w:rsid w:val="00FC5645"/>
    <w:rsid w:val="00FD24CB"/>
    <w:rsid w:val="00FE0613"/>
    <w:rsid w:val="00FE29E7"/>
    <w:rsid w:val="00FE4EE0"/>
    <w:rsid w:val="00FE5794"/>
    <w:rsid w:val="00FE7615"/>
    <w:rsid w:val="00FF0EEF"/>
    <w:rsid w:val="00FF2050"/>
    <w:rsid w:val="00FF22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47094"/>
    <w:rPr>
      <w:rFonts w:ascii="Arial" w:eastAsia="Calibri Light" w:hAnsi="Arial"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rsid w:val="003E574C"/>
    <w:pPr>
      <w:ind w:left="220"/>
      <w:outlineLvl w:val="1"/>
    </w:pPr>
    <w:rPr>
      <w:b/>
      <w:sz w:val="28"/>
      <w:szCs w:val="28"/>
    </w:rPr>
  </w:style>
  <w:style w:type="paragraph" w:styleId="Heading3">
    <w:name w:val="heading 3"/>
    <w:basedOn w:val="Normal"/>
    <w:uiPriority w:val="1"/>
    <w:qFormat/>
    <w:rsid w:val="00A64A5B"/>
    <w:pPr>
      <w:spacing w:before="10"/>
      <w:ind w:left="40"/>
      <w:outlineLvl w:val="2"/>
    </w:pPr>
    <w:rPr>
      <w:b/>
      <w:i/>
      <w:sz w:val="24"/>
      <w:szCs w:val="24"/>
    </w:rPr>
  </w:style>
  <w:style w:type="paragraph" w:styleId="Heading4">
    <w:name w:val="heading 4"/>
    <w:basedOn w:val="Normal"/>
    <w:next w:val="Normal"/>
    <w:link w:val="Heading4Char"/>
    <w:uiPriority w:val="9"/>
    <w:unhideWhenUsed/>
    <w:qFormat/>
    <w:rsid w:val="00083BA8"/>
    <w:pPr>
      <w:keepNext/>
      <w:keepLines/>
      <w:spacing w:before="40"/>
      <w:outlineLvl w:val="3"/>
    </w:pPr>
    <w:rPr>
      <w:rFonts w:eastAsiaTheme="majorEastAsia" w:cstheme="majorBidi"/>
      <w:b/>
      <w:i/>
      <w:iCs/>
      <w:color w:val="365F91" w:themeColor="accent1" w:themeShade="BF"/>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tabs>
        <w:tab w:val="center" w:pos="4513"/>
        <w:tab w:val="right" w:pos="9026"/>
      </w:tabs>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tabs>
        <w:tab w:val="center" w:pos="4513"/>
        <w:tab w:val="right" w:pos="9026"/>
      </w:tabs>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286E"/>
    <w:rPr>
      <w:color w:val="0000FF" w:themeColor="hyperlink"/>
      <w:u w:val="single"/>
    </w:rPr>
  </w:style>
  <w:style w:type="character" w:styleId="UnresolvedMention">
    <w:name w:val="Unresolved Mention"/>
    <w:basedOn w:val="DefaultParagraphFont"/>
    <w:uiPriority w:val="99"/>
    <w:semiHidden/>
    <w:unhideWhenUsed/>
    <w:rsid w:val="002E5C6F"/>
    <w:rPr>
      <w:color w:val="605E5C"/>
      <w:shd w:val="clear" w:color="auto" w:fill="E1DFDD"/>
    </w:rPr>
  </w:style>
  <w:style w:type="character" w:styleId="FollowedHyperlink">
    <w:name w:val="FollowedHyperlink"/>
    <w:basedOn w:val="DefaultParagraphFont"/>
    <w:uiPriority w:val="99"/>
    <w:semiHidden/>
    <w:unhideWhenUsed/>
    <w:rsid w:val="00E0224D"/>
    <w:rPr>
      <w:color w:val="800080" w:themeColor="followedHyperlink"/>
      <w:u w:val="single"/>
    </w:rPr>
  </w:style>
  <w:style w:type="character" w:customStyle="1" w:styleId="Heading4Char">
    <w:name w:val="Heading 4 Char"/>
    <w:basedOn w:val="DefaultParagraphFont"/>
    <w:link w:val="Heading4"/>
    <w:uiPriority w:val="9"/>
    <w:rsid w:val="00083BA8"/>
    <w:rPr>
      <w:rFonts w:ascii="Arial" w:eastAsiaTheme="majorEastAsia" w:hAnsi="Arial" w:cstheme="majorBidi"/>
      <w:b/>
      <w:i/>
      <w:iCs/>
      <w:color w:val="365F91" w:themeColor="accent1" w:themeShade="BF"/>
      <w:sz w:val="24"/>
      <w:lang w:val="en-GB" w:eastAsia="en-GB" w:bidi="en-GB"/>
    </w:rPr>
  </w:style>
  <w:style w:type="paragraph" w:styleId="TOCHeading">
    <w:name w:val="TOC Heading"/>
    <w:basedOn w:val="Heading1"/>
    <w:next w:val="Normal"/>
    <w:uiPriority w:val="39"/>
    <w:unhideWhenUsed/>
    <w:qFormat/>
    <w:rsid w:val="004C6A4F"/>
    <w:pPr>
      <w:keepNext/>
      <w:keepLines/>
      <w:spacing w:before="240" w:line="259" w:lineRule="auto"/>
      <w:ind w:left="0"/>
      <w:outlineLvl w:val="9"/>
    </w:pPr>
    <w:rPr>
      <w:rFonts w:asciiTheme="majorHAnsi" w:eastAsiaTheme="majorEastAsia" w:hAnsiTheme="majorHAnsi" w:cstheme="majorBidi"/>
      <w:b w:val="0"/>
      <w:color w:val="365F91" w:themeColor="accent1" w:themeShade="BF"/>
      <w:lang w:bidi="ar-SA"/>
    </w:rPr>
  </w:style>
  <w:style w:type="paragraph" w:styleId="TOC1">
    <w:name w:val="toc 1"/>
    <w:basedOn w:val="Normal"/>
    <w:next w:val="Normal"/>
    <w:autoRedefine/>
    <w:uiPriority w:val="39"/>
    <w:unhideWhenUsed/>
    <w:rsid w:val="004C6A4F"/>
    <w:pPr>
      <w:spacing w:after="100"/>
    </w:pPr>
  </w:style>
  <w:style w:type="paragraph" w:styleId="TOC2">
    <w:name w:val="toc 2"/>
    <w:basedOn w:val="Normal"/>
    <w:next w:val="Normal"/>
    <w:autoRedefine/>
    <w:uiPriority w:val="39"/>
    <w:unhideWhenUsed/>
    <w:rsid w:val="004C6A4F"/>
    <w:pPr>
      <w:spacing w:after="100"/>
      <w:ind w:left="220"/>
    </w:pPr>
  </w:style>
  <w:style w:type="paragraph" w:styleId="TOC3">
    <w:name w:val="toc 3"/>
    <w:basedOn w:val="Normal"/>
    <w:next w:val="Normal"/>
    <w:autoRedefine/>
    <w:uiPriority w:val="39"/>
    <w:unhideWhenUsed/>
    <w:rsid w:val="004C6A4F"/>
    <w:pPr>
      <w:spacing w:after="100"/>
      <w:ind w:left="440"/>
    </w:pPr>
  </w:style>
  <w:style w:type="paragraph" w:styleId="TOC4">
    <w:name w:val="toc 4"/>
    <w:basedOn w:val="Normal"/>
    <w:next w:val="Normal"/>
    <w:autoRedefine/>
    <w:uiPriority w:val="39"/>
    <w:unhideWhenUsed/>
    <w:rsid w:val="004C6A4F"/>
    <w:pPr>
      <w:spacing w:after="100" w:line="278" w:lineRule="auto"/>
      <w:ind w:left="720"/>
    </w:pPr>
    <w:rPr>
      <w:rFonts w:asciiTheme="minorHAnsi" w:eastAsiaTheme="minorEastAsia" w:hAnsiTheme="minorHAnsi" w:cstheme="minorBidi"/>
      <w:kern w:val="2"/>
      <w:sz w:val="24"/>
      <w:szCs w:val="24"/>
      <w:lang w:bidi="ar-SA"/>
      <w14:ligatures w14:val="standardContextual"/>
    </w:rPr>
  </w:style>
  <w:style w:type="paragraph" w:styleId="TOC5">
    <w:name w:val="toc 5"/>
    <w:basedOn w:val="Normal"/>
    <w:next w:val="Normal"/>
    <w:autoRedefine/>
    <w:uiPriority w:val="39"/>
    <w:unhideWhenUsed/>
    <w:rsid w:val="004C6A4F"/>
    <w:pPr>
      <w:spacing w:after="100" w:line="278" w:lineRule="auto"/>
      <w:ind w:left="960"/>
    </w:pPr>
    <w:rPr>
      <w:rFonts w:asciiTheme="minorHAnsi" w:eastAsiaTheme="minorEastAsia" w:hAnsiTheme="minorHAnsi" w:cstheme="minorBidi"/>
      <w:kern w:val="2"/>
      <w:sz w:val="24"/>
      <w:szCs w:val="24"/>
      <w:lang w:bidi="ar-SA"/>
      <w14:ligatures w14:val="standardContextual"/>
    </w:rPr>
  </w:style>
  <w:style w:type="paragraph" w:styleId="TOC6">
    <w:name w:val="toc 6"/>
    <w:basedOn w:val="Normal"/>
    <w:next w:val="Normal"/>
    <w:autoRedefine/>
    <w:uiPriority w:val="39"/>
    <w:unhideWhenUsed/>
    <w:rsid w:val="004C6A4F"/>
    <w:pPr>
      <w:spacing w:after="100" w:line="278" w:lineRule="auto"/>
      <w:ind w:left="1200"/>
    </w:pPr>
    <w:rPr>
      <w:rFonts w:asciiTheme="minorHAnsi" w:eastAsiaTheme="minorEastAsia" w:hAnsiTheme="minorHAnsi" w:cstheme="minorBidi"/>
      <w:kern w:val="2"/>
      <w:sz w:val="24"/>
      <w:szCs w:val="24"/>
      <w:lang w:bidi="ar-SA"/>
      <w14:ligatures w14:val="standardContextual"/>
    </w:rPr>
  </w:style>
  <w:style w:type="paragraph" w:styleId="TOC7">
    <w:name w:val="toc 7"/>
    <w:basedOn w:val="Normal"/>
    <w:next w:val="Normal"/>
    <w:autoRedefine/>
    <w:uiPriority w:val="39"/>
    <w:unhideWhenUsed/>
    <w:rsid w:val="004C6A4F"/>
    <w:pPr>
      <w:spacing w:after="100" w:line="278" w:lineRule="auto"/>
      <w:ind w:left="1440"/>
    </w:pPr>
    <w:rPr>
      <w:rFonts w:asciiTheme="minorHAnsi" w:eastAsiaTheme="minorEastAsia" w:hAnsiTheme="minorHAnsi" w:cstheme="minorBidi"/>
      <w:kern w:val="2"/>
      <w:sz w:val="24"/>
      <w:szCs w:val="24"/>
      <w:lang w:bidi="ar-SA"/>
      <w14:ligatures w14:val="standardContextual"/>
    </w:rPr>
  </w:style>
  <w:style w:type="paragraph" w:styleId="TOC8">
    <w:name w:val="toc 8"/>
    <w:basedOn w:val="Normal"/>
    <w:next w:val="Normal"/>
    <w:autoRedefine/>
    <w:uiPriority w:val="39"/>
    <w:unhideWhenUsed/>
    <w:rsid w:val="004C6A4F"/>
    <w:pPr>
      <w:spacing w:after="100" w:line="278" w:lineRule="auto"/>
      <w:ind w:left="1680"/>
    </w:pPr>
    <w:rPr>
      <w:rFonts w:asciiTheme="minorHAnsi" w:eastAsiaTheme="minorEastAsia" w:hAnsiTheme="minorHAnsi" w:cstheme="minorBidi"/>
      <w:kern w:val="2"/>
      <w:sz w:val="24"/>
      <w:szCs w:val="24"/>
      <w:lang w:bidi="ar-SA"/>
      <w14:ligatures w14:val="standardContextual"/>
    </w:rPr>
  </w:style>
  <w:style w:type="paragraph" w:styleId="TOC9">
    <w:name w:val="toc 9"/>
    <w:basedOn w:val="Normal"/>
    <w:next w:val="Normal"/>
    <w:autoRedefine/>
    <w:uiPriority w:val="39"/>
    <w:unhideWhenUsed/>
    <w:rsid w:val="004C6A4F"/>
    <w:pPr>
      <w:spacing w:after="100" w:line="278" w:lineRule="auto"/>
      <w:ind w:left="1920"/>
    </w:pPr>
    <w:rPr>
      <w:rFonts w:asciiTheme="minorHAnsi" w:eastAsiaTheme="minorEastAsia" w:hAnsiTheme="minorHAnsi" w:cstheme="minorBidi"/>
      <w:kern w:val="2"/>
      <w:sz w:val="24"/>
      <w:szCs w:val="24"/>
      <w:lang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ealth.org.uk/publications/long-reads/health-inequalities-in-the-uk" TargetMode="External"/><Relationship Id="rId21" Type="http://schemas.openxmlformats.org/officeDocument/2006/relationships/hyperlink" Target="https://us.sagepub.com/en-us/nam/research-design/book255675" TargetMode="External"/><Relationship Id="rId34" Type="http://schemas.openxmlformats.org/officeDocument/2006/relationships/hyperlink" Target="https://www.kingsfund.org.uk" TargetMode="External"/><Relationship Id="rId42" Type="http://schemas.openxmlformats.org/officeDocument/2006/relationships/hyperlink" Target="https://www.england.nhs.uk" TargetMode="External"/><Relationship Id="rId47" Type="http://schemas.openxmlformats.org/officeDocument/2006/relationships/hyperlink" Target="https://publichealthscotland.scot" TargetMode="External"/><Relationship Id="rId50" Type="http://schemas.openxmlformats.org/officeDocument/2006/relationships/hyperlink" Target="https://www.who.int/publications/i/item/9789241500852" TargetMode="External"/><Relationship Id="rId55" Type="http://schemas.openxmlformats.org/officeDocument/2006/relationships/hyperlink" Target="https://www.who.int/health-topics/digital-health" TargetMode="External"/><Relationship Id="rId63"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6/j.socscimed.2016.08.023" TargetMode="External"/><Relationship Id="rId29" Type="http://schemas.openxmlformats.org/officeDocument/2006/relationships/hyperlink" Target="https://www.healthwatch.co.uk/report/2021-06-23/locked-out-digitally-excluded-peoples-experiences-gp-services" TargetMode="External"/><Relationship Id="rId11" Type="http://schemas.openxmlformats.org/officeDocument/2006/relationships/image" Target="media/image1.jpeg"/><Relationship Id="rId24" Type="http://schemas.openxmlformats.org/officeDocument/2006/relationships/hyperlink" Target="https://doi.org/10.1258/135581902760082517" TargetMode="External"/><Relationship Id="rId32" Type="http://schemas.openxmlformats.org/officeDocument/2006/relationships/hyperlink" Target="https://www.npeu.ox.ac.uk/mbrrace-uk" TargetMode="External"/><Relationship Id="rId37" Type="http://schemas.openxmlformats.org/officeDocument/2006/relationships/hyperlink" Target="https://www.health.org.uk/publications/the-marmot-review-10-years-on" TargetMode="External"/><Relationship Id="rId40" Type="http://schemas.openxmlformats.org/officeDocument/2006/relationships/hyperlink" Target="https://www.longtermplan.nhs.uk?utm_source=chatgpt.com" TargetMode="External"/><Relationship Id="rId45" Type="http://schemas.openxmlformats.org/officeDocument/2006/relationships/hyperlink" Target="https://www.ons.gov.uk" TargetMode="External"/><Relationship Id="rId53" Type="http://schemas.openxmlformats.org/officeDocument/2006/relationships/hyperlink" Target="https://www.who.int/publications/i/item/WHO-IER-CSDH-08.1" TargetMode="External"/><Relationship Id="rId58" Type="http://schemas.openxmlformats.org/officeDocument/2006/relationships/hyperlink" Target="https://www.nhsconfed.org" TargetMode="External"/><Relationship Id="rId5" Type="http://schemas.openxmlformats.org/officeDocument/2006/relationships/numbering" Target="numbering.xml"/><Relationship Id="rId61" Type="http://schemas.openxmlformats.org/officeDocument/2006/relationships/hyperlink" Target="https://www.commonwealthfund.org" TargetMode="External"/><Relationship Id="rId19" Type="http://schemas.openxmlformats.org/officeDocument/2006/relationships/hyperlink" Target="https://ageing-better.org.uk/work/inequalities" TargetMode="External"/><Relationship Id="rId14" Type="http://schemas.openxmlformats.org/officeDocument/2006/relationships/hyperlink" Target="https://www.ageuk.org.uk/information-advice/health-wellbeing/" TargetMode="External"/><Relationship Id="rId22" Type="http://schemas.openxmlformats.org/officeDocument/2006/relationships/hyperlink" Target="https://us.sagepub.com/en-us/nam/research-design/book255675" TargetMode="External"/><Relationship Id="rId27" Type="http://schemas.openxmlformats.org/officeDocument/2006/relationships/hyperlink" Target="https://www.health.org.uk/publications/reports/the-digital-health-divide" TargetMode="External"/><Relationship Id="rId30" Type="http://schemas.openxmlformats.org/officeDocument/2006/relationships/hyperlink" Target="https://www.qqml-journal.net/index.php/qqml/article/view/169" TargetMode="External"/><Relationship Id="rId35" Type="http://schemas.openxmlformats.org/officeDocument/2006/relationships/hyperlink" Target="https://www.local.gov.uk/topics/social-care-health-and-integration/health-inequalities" TargetMode="External"/><Relationship Id="rId43" Type="http://schemas.openxmlformats.org/officeDocument/2006/relationships/hyperlink" Target="https://www.nhsrho.org/research-and-evidence" TargetMode="External"/><Relationship Id="rId48" Type="http://schemas.openxmlformats.org/officeDocument/2006/relationships/hyperlink" Target="https://doi.org/10.1016/S2468-2667(20)30143-8" TargetMode="External"/><Relationship Id="rId56" Type="http://schemas.openxmlformats.org/officeDocument/2006/relationships/hyperlink" Target="https://www.yhphnetwork.co.uk"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bmcmedresmethodol.biomedcentral.com/articles/10.1186/1471-2288-8-45"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bma.org.uk" TargetMode="External"/><Relationship Id="rId25" Type="http://schemas.openxmlformats.org/officeDocument/2006/relationships/hyperlink" Target="https://doi.org/10.1016/S0140-6736(71)92480-5" TargetMode="External"/><Relationship Id="rId33" Type="http://schemas.openxmlformats.org/officeDocument/2006/relationships/hyperlink" Target="https://www.kingsfund.org.uk/publications/tackling-health-inequalities" TargetMode="External"/><Relationship Id="rId38" Type="http://schemas.openxmlformats.org/officeDocument/2006/relationships/hyperlink" Target="https://doi.org/10.1111/1467-9566.13001" TargetMode="External"/><Relationship Id="rId46" Type="http://schemas.openxmlformats.org/officeDocument/2006/relationships/hyperlink" Target="https://www.gov.uk/government/publications/covid-19-review-of-disparities-in-risks-and-outcomes?utm_source=chatgpt.com" TargetMode="External"/><Relationship Id="rId59" Type="http://schemas.openxmlformats.org/officeDocument/2006/relationships/hyperlink" Target="https://www.cps.org.uk" TargetMode="External"/><Relationship Id="rId20" Type="http://schemas.openxmlformats.org/officeDocument/2006/relationships/hyperlink" Target="https://chicagounbound.uchicago.edu/uclf/vol1989/iss1/8" TargetMode="External"/><Relationship Id="rId41" Type="http://schemas.openxmlformats.org/officeDocument/2006/relationships/hyperlink" Target="https://www.england.nhs.uk" TargetMode="External"/><Relationship Id="rId54" Type="http://schemas.openxmlformats.org/officeDocument/2006/relationships/hyperlink" Target="https://www.who.int"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136/jech-2021-218060" TargetMode="External"/><Relationship Id="rId23" Type="http://schemas.openxmlformats.org/officeDocument/2006/relationships/hyperlink" Target="https://www.goodthingsfoundation.org" TargetMode="External"/><Relationship Id="rId28" Type="http://schemas.openxmlformats.org/officeDocument/2006/relationships/hyperlink" Target="https://www.health.org.uk" TargetMode="External"/><Relationship Id="rId36" Type="http://schemas.openxmlformats.org/officeDocument/2006/relationships/hyperlink" Target="https://www.instituteofhealthequity.org/resources-reports/fair-society-healthy-lives-the-marmot-review" TargetMode="External"/><Relationship Id="rId49" Type="http://schemas.openxmlformats.org/officeDocument/2006/relationships/hyperlink" Target="https://www.pearson.com/en-gb/subject-catalog/p/research-methods-for-business-students/P200000003295" TargetMode="External"/><Relationship Id="rId57" Type="http://schemas.openxmlformats.org/officeDocument/2006/relationships/hyperlink" Target="https://www.jmir.org/2022/4/e34567" TargetMode="External"/><Relationship Id="rId10" Type="http://schemas.openxmlformats.org/officeDocument/2006/relationships/endnotes" Target="endnotes.xml"/><Relationship Id="rId31" Type="http://schemas.openxmlformats.org/officeDocument/2006/relationships/hyperlink" Target="https://www.jrf.org.uk" TargetMode="External"/><Relationship Id="rId44" Type="http://schemas.openxmlformats.org/officeDocument/2006/relationships/hyperlink" Target="https://www.ofcom.org.uk/research-and-data/media-literacy-research/online-nation" TargetMode="External"/><Relationship Id="rId52" Type="http://schemas.openxmlformats.org/officeDocument/2006/relationships/hyperlink" Target="https://doi.org/10.1136/bmj.n1224" TargetMode="External"/><Relationship Id="rId60" Type="http://schemas.openxmlformats.org/officeDocument/2006/relationships/hyperlink" Target="https://www.gov.uk/government/publication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ebarchive.nationalarchives.gov.uk/ukgwa/20130107105354/http://www.archive.official-documents.co.uk/document/doh/ih/contents.htm" TargetMode="External"/><Relationship Id="rId18" Type="http://schemas.openxmlformats.org/officeDocument/2006/relationships/hyperlink" Target="https://global.oup.com/academic/product/social-research-methods-9780199689452" TargetMode="External"/><Relationship Id="rId39"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0bce102b60a5db2f6f8624e1e54638e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fb808fa56996bbd51524f09b0c2fef0"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1EF70-FFDC-4D3B-9D9A-2BF49B3D2A4C}">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78AA38DA-EA94-48A2-AB07-B3177B2E9AE6}">
  <ds:schemaRefs>
    <ds:schemaRef ds:uri="http://schemas.microsoft.com/sharepoint/v3/contenttype/forms"/>
  </ds:schemaRefs>
</ds:datastoreItem>
</file>

<file path=customXml/itemProps3.xml><?xml version="1.0" encoding="utf-8"?>
<ds:datastoreItem xmlns:ds="http://schemas.openxmlformats.org/officeDocument/2006/customXml" ds:itemID="{7200CB5E-0243-4264-A732-9D64BBF67F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33C883B-11FF-4C2A-A6D6-DE409260C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10648</TotalTime>
  <Pages>38</Pages>
  <Words>10513</Words>
  <Characters>66553</Characters>
  <Application>Microsoft Office Word</Application>
  <DocSecurity>0</DocSecurity>
  <Lines>1167</Lines>
  <Paragraphs>389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76677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Paula Andrea Latorre Restrepo (2231782)</cp:lastModifiedBy>
  <cp:revision>487</cp:revision>
  <dcterms:created xsi:type="dcterms:W3CDTF">2025-09-07T16:20:00Z</dcterms:created>
  <dcterms:modified xsi:type="dcterms:W3CDTF">2025-12-14T13:50:00Z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ContentTypeId">
    <vt:lpwstr>0x010100A20804DBFC42F64693D899720BA9B0FE</vt:lpwstr>
  </property>
</Properties>
</file>