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F2D9D" w14:textId="77777777" w:rsidR="00794430" w:rsidRDefault="00794430" w:rsidP="00CB7264">
      <w:pPr>
        <w:jc w:val="center"/>
        <w:rPr>
          <w:rFonts w:cs="Times New Roman"/>
          <w:b/>
          <w:sz w:val="32"/>
          <w:szCs w:val="32"/>
        </w:rPr>
      </w:pPr>
      <w:r w:rsidRPr="008A73FB">
        <w:rPr>
          <w:b/>
          <w:sz w:val="32"/>
          <w:szCs w:val="32"/>
          <w:lang w:val="en-US"/>
        </w:rPr>
        <w:t xml:space="preserve">Module title: </w:t>
      </w:r>
      <w:r w:rsidRPr="00224ECC">
        <w:rPr>
          <w:rFonts w:cs="Times New Roman"/>
          <w:b/>
          <w:sz w:val="32"/>
          <w:szCs w:val="32"/>
        </w:rPr>
        <w:t>Sustainable Hospitality &amp; Tourism Management</w:t>
      </w:r>
    </w:p>
    <w:p w14:paraId="41058F51" w14:textId="77777777" w:rsidR="00794430" w:rsidRPr="00224ECC" w:rsidRDefault="00794430" w:rsidP="00CB7264">
      <w:pPr>
        <w:jc w:val="center"/>
        <w:rPr>
          <w:rFonts w:cs="Times New Roman"/>
          <w:b/>
          <w:sz w:val="32"/>
          <w:szCs w:val="32"/>
        </w:rPr>
      </w:pPr>
      <w:r>
        <w:rPr>
          <w:rFonts w:cs="Times New Roman"/>
          <w:b/>
          <w:sz w:val="32"/>
          <w:szCs w:val="32"/>
        </w:rPr>
        <w:t>Module code: BMIH5006</w:t>
      </w:r>
    </w:p>
    <w:p w14:paraId="0D57E182" w14:textId="630B3DEE" w:rsidR="00794430" w:rsidRPr="008A73FB" w:rsidRDefault="00794430" w:rsidP="00CB7264">
      <w:pPr>
        <w:spacing w:before="200" w:after="200"/>
        <w:jc w:val="center"/>
        <w:rPr>
          <w:b/>
          <w:sz w:val="32"/>
          <w:szCs w:val="32"/>
          <w:lang w:val="en-US"/>
        </w:rPr>
      </w:pPr>
      <w:bookmarkStart w:id="0" w:name="_heading=h.1fob9te"/>
      <w:bookmarkStart w:id="1" w:name="_heading=h.3znysh7"/>
      <w:bookmarkEnd w:id="0"/>
      <w:bookmarkEnd w:id="1"/>
      <w:r w:rsidRPr="008A73FB">
        <w:rPr>
          <w:b/>
          <w:sz w:val="32"/>
          <w:szCs w:val="32"/>
          <w:lang w:val="en-US"/>
        </w:rPr>
        <w:t>Student name:</w:t>
      </w:r>
      <w:r w:rsidR="00A81D51">
        <w:rPr>
          <w:b/>
          <w:sz w:val="32"/>
          <w:szCs w:val="32"/>
          <w:lang w:val="en-US"/>
        </w:rPr>
        <w:t xml:space="preserve"> Tudor Adalbert Radu </w:t>
      </w:r>
    </w:p>
    <w:p w14:paraId="5DDBBF2E" w14:textId="77777777" w:rsidR="008D3F7B" w:rsidRPr="008A73FB" w:rsidRDefault="008D3F7B" w:rsidP="008D3F7B">
      <w:pPr>
        <w:spacing w:before="200" w:after="200"/>
        <w:jc w:val="center"/>
        <w:rPr>
          <w:b/>
          <w:sz w:val="32"/>
          <w:szCs w:val="32"/>
          <w:lang w:val="en-US"/>
        </w:rPr>
      </w:pPr>
      <w:bookmarkStart w:id="2" w:name="_heading=h.2et92p0"/>
      <w:bookmarkEnd w:id="2"/>
      <w:r w:rsidRPr="008A73FB">
        <w:rPr>
          <w:b/>
          <w:sz w:val="32"/>
          <w:szCs w:val="32"/>
          <w:lang w:val="en-US"/>
        </w:rPr>
        <w:t xml:space="preserve">Student ID: </w:t>
      </w:r>
      <w:r w:rsidRPr="00DF3ACE">
        <w:rPr>
          <w:b/>
          <w:sz w:val="32"/>
          <w:szCs w:val="32"/>
        </w:rPr>
        <w:t>2243696</w:t>
      </w:r>
    </w:p>
    <w:p w14:paraId="52421FAD" w14:textId="77777777" w:rsidR="008D3F7B" w:rsidRDefault="008D3F7B" w:rsidP="008D3F7B">
      <w:pPr>
        <w:spacing w:before="200" w:after="200"/>
        <w:jc w:val="center"/>
        <w:rPr>
          <w:b/>
          <w:sz w:val="32"/>
          <w:szCs w:val="32"/>
        </w:rPr>
      </w:pPr>
      <w:r w:rsidRPr="008A73FB">
        <w:rPr>
          <w:b/>
          <w:sz w:val="32"/>
          <w:szCs w:val="32"/>
          <w:lang w:val="en-US"/>
        </w:rPr>
        <w:t xml:space="preserve">Lecturer Name: </w:t>
      </w:r>
      <w:r w:rsidRPr="00737337">
        <w:rPr>
          <w:b/>
          <w:sz w:val="32"/>
          <w:szCs w:val="32"/>
        </w:rPr>
        <w:t>Christopher Wilkin</w:t>
      </w:r>
    </w:p>
    <w:p w14:paraId="78976CC4" w14:textId="77777777" w:rsidR="00CB7264" w:rsidRPr="00BC0EBF" w:rsidRDefault="00CB7264" w:rsidP="00CB7264">
      <w:pPr>
        <w:jc w:val="center"/>
        <w:rPr>
          <w:sz w:val="32"/>
          <w:szCs w:val="32"/>
        </w:rPr>
      </w:pPr>
      <w:r w:rsidRPr="00BC0EBF">
        <w:rPr>
          <w:b/>
          <w:bCs/>
          <w:sz w:val="32"/>
          <w:szCs w:val="32"/>
        </w:rPr>
        <w:t>Title: Bridging Sustainability Gaps in Luxury Hospitality: A Strategic Green Initiative for The Savoy, London</w:t>
      </w:r>
    </w:p>
    <w:p w14:paraId="7AEC54FB" w14:textId="77777777" w:rsidR="00794430" w:rsidRPr="008A73FB" w:rsidRDefault="00794430" w:rsidP="00CB7264">
      <w:pPr>
        <w:spacing w:before="200" w:after="200"/>
        <w:jc w:val="center"/>
        <w:rPr>
          <w:b/>
          <w:sz w:val="32"/>
          <w:szCs w:val="32"/>
          <w:lang w:val="en-US"/>
        </w:rPr>
      </w:pPr>
    </w:p>
    <w:p w14:paraId="57851698" w14:textId="77777777" w:rsidR="00794430" w:rsidRDefault="00794430" w:rsidP="00794430">
      <w:pPr>
        <w:spacing w:before="200" w:after="200"/>
        <w:jc w:val="center"/>
        <w:rPr>
          <w:rFonts w:eastAsia="Times New Roman" w:cs="Times New Roman"/>
          <w:b/>
        </w:rPr>
      </w:pPr>
    </w:p>
    <w:p w14:paraId="27C0B756" w14:textId="77777777" w:rsidR="00794430" w:rsidRDefault="00794430" w:rsidP="00794430">
      <w:pPr>
        <w:spacing w:before="200" w:after="200"/>
        <w:jc w:val="center"/>
        <w:rPr>
          <w:rFonts w:eastAsia="Times New Roman" w:cs="Times New Roman"/>
          <w:b/>
        </w:rPr>
      </w:pPr>
    </w:p>
    <w:p w14:paraId="27462A39" w14:textId="77777777" w:rsidR="00794430" w:rsidRPr="0080596A" w:rsidRDefault="00794430" w:rsidP="00476421">
      <w:pPr>
        <w:spacing w:before="200" w:after="200" w:line="276" w:lineRule="auto"/>
        <w:jc w:val="center"/>
        <w:rPr>
          <w:rFonts w:eastAsia="Times New Roman" w:cs="Times New Roman"/>
          <w:b/>
        </w:rPr>
      </w:pPr>
      <w:r w:rsidRPr="0080596A">
        <w:rPr>
          <w:rFonts w:eastAsia="Times New Roman" w:cs="Times New Roman"/>
          <w:b/>
        </w:rPr>
        <w:t>AI guidance acknowledgement</w:t>
      </w:r>
    </w:p>
    <w:p w14:paraId="49CE873A" w14:textId="77777777" w:rsidR="00794430" w:rsidRPr="0080596A" w:rsidRDefault="00794430" w:rsidP="00476421">
      <w:pPr>
        <w:spacing w:before="200" w:after="200" w:line="276" w:lineRule="auto"/>
        <w:rPr>
          <w:rFonts w:eastAsia="Times New Roman" w:cs="Times New Roman"/>
        </w:rPr>
      </w:pPr>
      <w:r w:rsidRPr="0080596A">
        <w:rPr>
          <w:rFonts w:eastAsia="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294CB10E" w14:textId="06E4DF24" w:rsidR="00BC0EBF" w:rsidRPr="00BC0EBF" w:rsidRDefault="00BC0EBF" w:rsidP="00476421">
      <w:pPr>
        <w:spacing w:line="276" w:lineRule="auto"/>
      </w:pPr>
    </w:p>
    <w:p w14:paraId="669E28DD" w14:textId="77777777" w:rsidR="00CB7264" w:rsidRDefault="00CB7264" w:rsidP="00476421">
      <w:pPr>
        <w:spacing w:line="276" w:lineRule="auto"/>
        <w:rPr>
          <w:b/>
          <w:bCs/>
        </w:rPr>
      </w:pPr>
    </w:p>
    <w:p w14:paraId="003DC445" w14:textId="77777777" w:rsidR="00CB7264" w:rsidRDefault="00CB7264" w:rsidP="00476421">
      <w:pPr>
        <w:spacing w:line="276" w:lineRule="auto"/>
        <w:rPr>
          <w:b/>
          <w:bCs/>
        </w:rPr>
      </w:pPr>
    </w:p>
    <w:p w14:paraId="61F8E5A5" w14:textId="77777777" w:rsidR="00CB7264" w:rsidRDefault="00CB7264" w:rsidP="00476421">
      <w:pPr>
        <w:spacing w:line="276" w:lineRule="auto"/>
        <w:rPr>
          <w:b/>
          <w:bCs/>
        </w:rPr>
      </w:pPr>
    </w:p>
    <w:p w14:paraId="17253B8B" w14:textId="77777777" w:rsidR="00CB7264" w:rsidRDefault="00CB7264" w:rsidP="00476421">
      <w:pPr>
        <w:spacing w:line="276" w:lineRule="auto"/>
        <w:rPr>
          <w:b/>
          <w:bCs/>
        </w:rPr>
      </w:pPr>
    </w:p>
    <w:p w14:paraId="1EBB9A0E" w14:textId="77777777" w:rsidR="00CB7264" w:rsidRDefault="00CB7264" w:rsidP="00476421">
      <w:pPr>
        <w:spacing w:line="276" w:lineRule="auto"/>
        <w:rPr>
          <w:b/>
          <w:bCs/>
        </w:rPr>
      </w:pPr>
    </w:p>
    <w:p w14:paraId="296F4FFF" w14:textId="77777777" w:rsidR="00CB7264" w:rsidRDefault="00CB7264" w:rsidP="00476421">
      <w:pPr>
        <w:spacing w:line="276" w:lineRule="auto"/>
        <w:rPr>
          <w:b/>
          <w:bCs/>
        </w:rPr>
      </w:pPr>
    </w:p>
    <w:p w14:paraId="33D8BE21" w14:textId="77777777" w:rsidR="00CB7264" w:rsidRDefault="00CB7264" w:rsidP="00476421">
      <w:pPr>
        <w:spacing w:line="276" w:lineRule="auto"/>
        <w:rPr>
          <w:b/>
          <w:bCs/>
        </w:rPr>
      </w:pPr>
    </w:p>
    <w:p w14:paraId="0D390639" w14:textId="77777777" w:rsidR="00CB7264" w:rsidRDefault="00CB7264" w:rsidP="00476421">
      <w:pPr>
        <w:spacing w:line="276" w:lineRule="auto"/>
        <w:rPr>
          <w:b/>
          <w:bCs/>
        </w:rPr>
      </w:pPr>
    </w:p>
    <w:p w14:paraId="0C4D4E9B" w14:textId="77777777" w:rsidR="00CB7264" w:rsidRDefault="00CB7264" w:rsidP="00476421">
      <w:pPr>
        <w:spacing w:line="276" w:lineRule="auto"/>
        <w:rPr>
          <w:b/>
          <w:bCs/>
        </w:rPr>
      </w:pPr>
    </w:p>
    <w:p w14:paraId="3A801E40" w14:textId="77777777" w:rsidR="00CB7264" w:rsidRDefault="00CB7264" w:rsidP="00476421">
      <w:pPr>
        <w:spacing w:line="276" w:lineRule="auto"/>
        <w:rPr>
          <w:b/>
          <w:bCs/>
        </w:rPr>
      </w:pPr>
    </w:p>
    <w:p w14:paraId="2E927554" w14:textId="77777777" w:rsidR="00CB7264" w:rsidRDefault="00CB7264" w:rsidP="00476421">
      <w:pPr>
        <w:spacing w:line="276" w:lineRule="auto"/>
        <w:rPr>
          <w:b/>
          <w:bCs/>
        </w:rPr>
      </w:pPr>
    </w:p>
    <w:p w14:paraId="35F26642" w14:textId="77777777" w:rsidR="00CB7264" w:rsidRDefault="00CB7264" w:rsidP="00476421">
      <w:pPr>
        <w:spacing w:line="276" w:lineRule="auto"/>
        <w:rPr>
          <w:b/>
          <w:bCs/>
        </w:rPr>
      </w:pPr>
    </w:p>
    <w:p w14:paraId="40FACBAF" w14:textId="77777777" w:rsidR="00A271F0" w:rsidRDefault="00A271F0" w:rsidP="0022586A">
      <w:pPr>
        <w:spacing w:line="276" w:lineRule="auto"/>
      </w:pPr>
      <w:r w:rsidRPr="00A271F0">
        <w:t xml:space="preserve">Sustainability is now fundamental to hospitality operations and strategy, not merely a trend (UNEP, 2023). While The Savoy has achieved notable successes like Green Key certification and renewable energy, critical gaps remain in food waste and workforce sustainability skills (The Savoy, 2024). To secure leadership, the hotel must implement key initiatives: an AI food waste system with carbon tracking (WRAP, 2022); an equity-focused green skills training program (ILO, 2023); and heritage-compatible innovations like a rooftop greenhouse applying circular principles (Ellen MacArthur Foundation, 2022). This integrated approach will minimize environmental impact, boost efficiency and resilience, and enhance reputation (WTTC, 2023), solidifying The Savoy's competitive edge. By pursuing these systemic changes, The Savoy can advance beyond incrementalism to pioneer "regenerative luxury" (Pollock, 2024), demonstrating that true 21st-century luxury requires planetary stewardship and social impact (Bendell &amp; </w:t>
      </w:r>
      <w:proofErr w:type="spellStart"/>
      <w:r w:rsidRPr="00A271F0">
        <w:t>Kleanthous</w:t>
      </w:r>
      <w:proofErr w:type="spellEnd"/>
      <w:r w:rsidRPr="00A271F0">
        <w:t>, 2022). This transformation, requiring investment and commitment, positions The Savoy as a future leader seamlessly blending timeless elegance with deep ecological responsibility (Jones et al., 2023).</w:t>
      </w:r>
    </w:p>
    <w:p w14:paraId="08248A6C" w14:textId="77777777" w:rsidR="000256C0" w:rsidRPr="000256C0" w:rsidRDefault="000256C0" w:rsidP="000256C0">
      <w:pPr>
        <w:spacing w:line="276" w:lineRule="auto"/>
      </w:pPr>
      <w:r w:rsidRPr="000256C0">
        <w:t xml:space="preserve">Green practices in hospitality involve environmentally responsible operations integrated into daily functions and strategy, including energy/water conservation, waste reduction, plastic elimination, and ethical sourcing (Khalil et al., 2024; </w:t>
      </w:r>
      <w:proofErr w:type="spellStart"/>
      <w:r w:rsidRPr="000256C0">
        <w:t>Elgalb</w:t>
      </w:r>
      <w:proofErr w:type="spellEnd"/>
      <w:r w:rsidRPr="000256C0">
        <w:t xml:space="preserve"> &amp; Gerges, 2024). These are now essential to meet global climate goals and satisfy environmentally conscious guests (</w:t>
      </w:r>
      <w:proofErr w:type="spellStart"/>
      <w:r w:rsidRPr="000256C0">
        <w:t>Nyangchak</w:t>
      </w:r>
      <w:proofErr w:type="spellEnd"/>
      <w:r w:rsidRPr="000256C0">
        <w:t xml:space="preserve">, 2022). For luxury hotels like The Savoy, deep sustainability offers cost savings and enhanced reputation but faces challenges like high capital costs, technological barriers in historic buildings, and balancing heritage with innovation (Tse, 2018; </w:t>
      </w:r>
      <w:proofErr w:type="spellStart"/>
      <w:r w:rsidRPr="000256C0">
        <w:t>Eventdec</w:t>
      </w:r>
      <w:proofErr w:type="spellEnd"/>
      <w:r w:rsidRPr="000256C0">
        <w:t>, 2023).</w:t>
      </w:r>
    </w:p>
    <w:p w14:paraId="7CDF0D53" w14:textId="77777777" w:rsidR="000256C0" w:rsidRPr="000256C0" w:rsidRDefault="000256C0" w:rsidP="000256C0">
      <w:pPr>
        <w:spacing w:line="276" w:lineRule="auto"/>
      </w:pPr>
      <w:r w:rsidRPr="000256C0">
        <w:t xml:space="preserve">Integrating sustainability yields triple bottom line benefits: economic gains via efficiency, environmental support through emission reductions, and social advantages like improved staff engagement (Qu et al., 2022; </w:t>
      </w:r>
      <w:proofErr w:type="spellStart"/>
      <w:r w:rsidRPr="000256C0">
        <w:t>Brachio</w:t>
      </w:r>
      <w:proofErr w:type="spellEnd"/>
      <w:r w:rsidRPr="000256C0">
        <w:t>, 2024). Green certifications boost credibility and bookings (Savoy, 2024; Global Wellness Institute, 2024). However, significant hurdles persist, including prohibitive retrofit costs, space constraints, operational resistance, and complex regulations (Fairmont, 2025; Tse, 2018). The "Green Gap" between corporate goals and practical execution remains a barrier, particularly in workforce training and technology integration (</w:t>
      </w:r>
      <w:proofErr w:type="spellStart"/>
      <w:r w:rsidRPr="000256C0">
        <w:t>Genghini</w:t>
      </w:r>
      <w:proofErr w:type="spellEnd"/>
      <w:r w:rsidRPr="000256C0">
        <w:t>, 2024).</w:t>
      </w:r>
    </w:p>
    <w:p w14:paraId="6EAAF9AA" w14:textId="77777777" w:rsidR="0022586A" w:rsidRPr="0022586A" w:rsidRDefault="0022586A" w:rsidP="0022586A">
      <w:pPr>
        <w:spacing w:line="276" w:lineRule="auto"/>
      </w:pPr>
      <w:r w:rsidRPr="0022586A">
        <w:t xml:space="preserve">The Savoy has made substantial and commendable strides in embedding eco-friendly operations, positioning itself as a leader in many areas. These include the comprehensive introduction of LED lighting, advanced water-saving fixtures throughout the property, and the establishment of rigorous partnerships with certified sustainable suppliers (Savoy London, 2024). Its achievements extend notably to sourcing 100% renewable electricity and utilizing carbon-offset gas, implementing innovative circular systems like the "Savoy Well" onsite water bottling plant which successfully eliminates </w:t>
      </w:r>
      <w:r w:rsidRPr="0022586A">
        <w:lastRenderedPageBreak/>
        <w:t xml:space="preserve">over 500,000 plastic bottles annually, and adopting the </w:t>
      </w:r>
      <w:proofErr w:type="spellStart"/>
      <w:r w:rsidRPr="0022586A">
        <w:t>ecoSPIRITS</w:t>
      </w:r>
      <w:proofErr w:type="spellEnd"/>
      <w:r w:rsidRPr="0022586A">
        <w:t xml:space="preserve"> technology platform to dramatically reduce liquor supply chain emissions by approximately 90% (Savoy London, 2024). Community-focused partnerships, such as active collaborations with the London Heritage Quarter and support for urban biodiversity projects like the Trafalgar Square "Bee Hotel," further underscore its holistic commitment to environmental and social stewardship (Savoy London, 2024; London Heritage Quarter, 2024). Nonetheless, despite these significant efforts, several critical gaps persist, hindering the hotel's full transition to a genuinely low-impact operational model and revealing tensions between its luxury positioning and deeper ecological integration. Operational audits, including those utilizing the existing </w:t>
      </w:r>
      <w:proofErr w:type="spellStart"/>
      <w:r w:rsidRPr="0022586A">
        <w:t>Orbisk</w:t>
      </w:r>
      <w:proofErr w:type="spellEnd"/>
      <w:r w:rsidRPr="0022586A">
        <w:t xml:space="preserve"> system, reveal unresolved inefficiencies, particularly concerning food waste, where high-volume banquet operations consistently generate approximately 28% higher waste than restaurant outlets due to entrenched overproduction cycles and reactive rather than predictive management (</w:t>
      </w:r>
      <w:proofErr w:type="spellStart"/>
      <w:r w:rsidRPr="0022586A">
        <w:t>Orbisk</w:t>
      </w:r>
      <w:proofErr w:type="spellEnd"/>
      <w:r w:rsidRPr="0022586A">
        <w:t xml:space="preserve"> Case Study, 2024).</w:t>
      </w:r>
    </w:p>
    <w:p w14:paraId="3038F302" w14:textId="77777777" w:rsidR="0022586A" w:rsidRPr="0022586A" w:rsidRDefault="0022586A" w:rsidP="0022586A">
      <w:pPr>
        <w:spacing w:line="276" w:lineRule="auto"/>
      </w:pPr>
      <w:r w:rsidRPr="0022586A">
        <w:t xml:space="preserve">A critical shortfall demanding urgent attention lies in the development of verifiable green skills among the diverse employee base. The hospitality sector remains inherently </w:t>
      </w:r>
      <w:proofErr w:type="spellStart"/>
      <w:r w:rsidRPr="0022586A">
        <w:t>labor-intensive</w:t>
      </w:r>
      <w:proofErr w:type="spellEnd"/>
      <w:r w:rsidRPr="0022586A">
        <w:t>, and without a comprehensively well-trained, empowered workforce, even the most well-intentioned sustainable initiatives often fail to be implemented effectively or sustained over time (</w:t>
      </w:r>
      <w:proofErr w:type="spellStart"/>
      <w:r w:rsidRPr="0022586A">
        <w:t>Brachio</w:t>
      </w:r>
      <w:proofErr w:type="spellEnd"/>
      <w:r w:rsidRPr="0022586A">
        <w:t>, 2024). The Savoy, while demonstrably committed to green principles at a strategic level, currently lacks structured, accredited programs to systematically train its staff in specialized sustainability-focused tasks—an issue critically amplified by the fast-changing nature of environmental standards, reporting requirements, and the ongoing need for seamless technology adoption across departments (Qu et al., 2022). Current sustainability training remains largely ad hoc, relying primarily on infrequent monthly briefings without standardized competency frameworks, measurable outcomes, or accredited certification pathways, creating a significant workforce capability gap that directly impacts operational effectiveness (</w:t>
      </w:r>
      <w:proofErr w:type="spellStart"/>
      <w:r w:rsidRPr="0022586A">
        <w:t>Brachio</w:t>
      </w:r>
      <w:proofErr w:type="spellEnd"/>
      <w:r w:rsidRPr="0022586A">
        <w:t>, 2024). Another persistent area of concern is food waste management, which remains a significant environmental and economic issue despite the hotel's luxury positioning and existing efforts. Large-scale catering operations, especially banquets and events, inherently risk overproduction, and without highly effective, predictive monitoring and responsive processes, surplus food frequently ends up in landfills, contributing substantially to harmful methane emissions and representing a profound waste of valuable resources (</w:t>
      </w:r>
      <w:proofErr w:type="spellStart"/>
      <w:r w:rsidRPr="0022586A">
        <w:t>Karvounidi</w:t>
      </w:r>
      <w:proofErr w:type="spellEnd"/>
      <w:r w:rsidRPr="0022586A">
        <w:t xml:space="preserve"> et al., 2024). Although The Savoy emphasizes ethical sourcing and utilizes the </w:t>
      </w:r>
      <w:proofErr w:type="spellStart"/>
      <w:r w:rsidRPr="0022586A">
        <w:t>Orbisk</w:t>
      </w:r>
      <w:proofErr w:type="spellEnd"/>
      <w:r w:rsidRPr="0022586A">
        <w:t xml:space="preserve"> imaging system for basic waste tracking, its current approach lacks sophisticated predictive intelligence and deep integration with procurement and menu planning systems, significantly limiting its effectiveness in preventing waste, particularly for complex, high-cover banquet events (</w:t>
      </w:r>
      <w:proofErr w:type="spellStart"/>
      <w:r w:rsidRPr="0022586A">
        <w:t>Orbisk</w:t>
      </w:r>
      <w:proofErr w:type="spellEnd"/>
      <w:r w:rsidRPr="0022586A">
        <w:t xml:space="preserve"> Case Study, 2024; </w:t>
      </w:r>
      <w:proofErr w:type="spellStart"/>
      <w:r w:rsidRPr="0022586A">
        <w:t>Elgalb</w:t>
      </w:r>
      <w:proofErr w:type="spellEnd"/>
      <w:r w:rsidRPr="0022586A">
        <w:t xml:space="preserve"> &amp; Gerges, 2024).</w:t>
      </w:r>
    </w:p>
    <w:p w14:paraId="13CF5E22" w14:textId="77777777" w:rsidR="0022586A" w:rsidRPr="0022586A" w:rsidRDefault="0022586A" w:rsidP="0022586A">
      <w:pPr>
        <w:spacing w:line="276" w:lineRule="auto"/>
      </w:pPr>
      <w:r w:rsidRPr="0022586A">
        <w:lastRenderedPageBreak/>
        <w:t>As a Grade II-listed historical building, The Savoy also faces inherent spatial and architectural challenges that severely limit the installation of certain green technologies. The physical constraints and preservation requirements rule out conventional solutions like extensive rooftop solar arrays, wind turbines, or geothermal systems, making meaningful on-site renewable energy generation largely infeasible without innovative workarounds (</w:t>
      </w:r>
      <w:proofErr w:type="spellStart"/>
      <w:r w:rsidRPr="0022586A">
        <w:t>Eventdec</w:t>
      </w:r>
      <w:proofErr w:type="spellEnd"/>
      <w:r w:rsidRPr="0022586A">
        <w:t>, 2023; Tse, 2018). Additionally, the complex planning regulations governing heritage properties in central London often cause significant delays or impose strict limitations on sustainable modifications, adding cost and complexity to any retrofit ambitions (Tse, 2018). These constraints necessitate highly creative, context-specific solutions that move beyond conventional technological retrofits and embrace collaboration.</w:t>
      </w:r>
    </w:p>
    <w:p w14:paraId="155AFFFE" w14:textId="77777777" w:rsidR="0022586A" w:rsidRPr="0022586A" w:rsidRDefault="0022586A" w:rsidP="0022586A">
      <w:pPr>
        <w:spacing w:line="276" w:lineRule="auto"/>
      </w:pPr>
      <w:r w:rsidRPr="0022586A">
        <w:t xml:space="preserve">To address the food waste challenge comprehensively and move beyond the limitations of its current system, this essay proposes strategically enhancing The Savoy’s existing </w:t>
      </w:r>
      <w:proofErr w:type="spellStart"/>
      <w:r w:rsidRPr="0022586A">
        <w:t>Orbisk</w:t>
      </w:r>
      <w:proofErr w:type="spellEnd"/>
      <w:r w:rsidRPr="0022586A">
        <w:t xml:space="preserve"> AI monitoring into a next-generation predictive intelligence platform. While </w:t>
      </w:r>
      <w:proofErr w:type="spellStart"/>
      <w:r w:rsidRPr="0022586A">
        <w:t>Orbisk</w:t>
      </w:r>
      <w:proofErr w:type="spellEnd"/>
      <w:r w:rsidRPr="0022586A">
        <w:t xml:space="preserve"> effectively tracks waste via imaging and identifies basic patterns, a significantly more advanced AI integration would utilize sophisticated deep learning algorithms trained on extensive datasets—incorporating 12 months of historical waste data, real-time cover bookings, event types, seasonal menu variations, and even weather forecasts—to accurately forecast banquet cover wastage probabilities (</w:t>
      </w:r>
      <w:proofErr w:type="spellStart"/>
      <w:r w:rsidRPr="0022586A">
        <w:t>Elgalb</w:t>
      </w:r>
      <w:proofErr w:type="spellEnd"/>
      <w:r w:rsidRPr="0022586A">
        <w:t xml:space="preserve"> &amp; Gerges, 2024). This crucial evolution from reactive tracking to proactive, predictive resource governance could empower kitchen management with prescriptive insights, enabling dynamic adjustments to preparation quantities and menu offerings </w:t>
      </w:r>
      <w:r w:rsidRPr="0022586A">
        <w:rPr>
          <w:i/>
          <w:iCs/>
        </w:rPr>
        <w:t>before</w:t>
      </w:r>
      <w:r w:rsidRPr="0022586A">
        <w:t xml:space="preserve"> waste occurs, potentially reducing overproduction by 30-40% based on comparable implementations (ESG News, 2024). Furthermore, synergizing this rich AI-generated waste data with platforms like </w:t>
      </w:r>
      <w:proofErr w:type="spellStart"/>
      <w:r w:rsidRPr="0022586A">
        <w:t>Klimato’s</w:t>
      </w:r>
      <w:proofErr w:type="spellEnd"/>
      <w:r w:rsidRPr="0022586A">
        <w:t xml:space="preserve"> granular carbon metrics would allow for intelligent "low waste + low emissions" dish tagging on menus, significantly enhancing guest choice transparency and promoting genuinely sustainable dining options (</w:t>
      </w:r>
      <w:proofErr w:type="spellStart"/>
      <w:r w:rsidRPr="0022586A">
        <w:t>Klimato</w:t>
      </w:r>
      <w:proofErr w:type="spellEnd"/>
      <w:r w:rsidRPr="0022586A">
        <w:t>, 2024). Establishing robust closed-loop partnerships, such as redirecting AI-optimized surplus via efficient routes to charities like City Harvest London, would seamlessly align waste reduction efforts with The Savoy’s established corporate social responsibility commitments while potentially cutting annual disposal costs by approximately £48,000 and generating positive community impact (City Harvest London, 2024; DEFRA, 2024).</w:t>
      </w:r>
    </w:p>
    <w:p w14:paraId="5F1B6B3E" w14:textId="77777777" w:rsidR="0022586A" w:rsidRPr="0022586A" w:rsidRDefault="0022586A" w:rsidP="0022586A">
      <w:pPr>
        <w:spacing w:line="276" w:lineRule="auto"/>
      </w:pPr>
      <w:r w:rsidRPr="0022586A">
        <w:t xml:space="preserve">Beyond AI integration for waste, The Savoy could further enhance its sustainability credentials and guest experience by constructing a technologically advanced hydroponic rooftop greenhouse. This initiative would supply ultra-fresh herbs, microgreens, and select vegetables directly to its kitchens, aligning conceptually with successful initiatives like Marriott’s “Meat-Free Mondays” while actively promoting hyper-local sourcing (ESG News, 2024). Such a system could reduce associated transportation emissions for these items by an estimated 15%, provide a unique </w:t>
      </w:r>
      <w:r w:rsidRPr="0022586A">
        <w:lastRenderedPageBreak/>
        <w:t xml:space="preserve">narrative for guest engagement through culinary storytelling, and demonstrate innovation in utilizing constrained urban space productively (Hydroponics Journal, 2024). To address the fundamental spatial limitations for renewable energy generation inherent in its heritage status, proactively exploring pooled renewable energy investments with neighbouring landmark hotels under the auspices of the London Heritage Quarter banner could offer a viable path to scale impact beyond what any single property can achieve independently (London Heritage Quarter, 2024). Implementing tangible circular economy models, such as partnering with specialized suppliers like </w:t>
      </w:r>
      <w:proofErr w:type="spellStart"/>
      <w:r w:rsidRPr="0022586A">
        <w:t>Textilia</w:t>
      </w:r>
      <w:proofErr w:type="spellEnd"/>
      <w:r w:rsidRPr="0022586A">
        <w:t xml:space="preserve"> </w:t>
      </w:r>
      <w:proofErr w:type="spellStart"/>
      <w:r w:rsidRPr="0022586A">
        <w:t>Upcy</w:t>
      </w:r>
      <w:proofErr w:type="spellEnd"/>
      <w:r w:rsidRPr="0022586A">
        <w:t xml:space="preserve"> for upcycled staff uniforms created from recycled materials, would provide a visible, daily demonstration of closed-loop resource commitment to both staff and guests (</w:t>
      </w:r>
      <w:proofErr w:type="spellStart"/>
      <w:r w:rsidRPr="0022586A">
        <w:t>Textilia</w:t>
      </w:r>
      <w:proofErr w:type="spellEnd"/>
      <w:r w:rsidRPr="0022586A">
        <w:t xml:space="preserve"> </w:t>
      </w:r>
      <w:proofErr w:type="spellStart"/>
      <w:r w:rsidRPr="0022586A">
        <w:t>Upcy</w:t>
      </w:r>
      <w:proofErr w:type="spellEnd"/>
      <w:r w:rsidRPr="0022586A">
        <w:t>, 2024).</w:t>
      </w:r>
    </w:p>
    <w:p w14:paraId="39EE1DAA" w14:textId="77777777" w:rsidR="0022586A" w:rsidRPr="0022586A" w:rsidRDefault="0022586A" w:rsidP="0022586A">
      <w:pPr>
        <w:spacing w:line="276" w:lineRule="auto"/>
      </w:pPr>
      <w:r w:rsidRPr="0022586A">
        <w:t xml:space="preserve">To complement these technological and infrastructural investments and ensure their long-term success, The Savoy must prioritize the development of a genuinely green-capable workforce through a structured, multi-tiered, and accredited strategy. This involves implementing and expanding upon </w:t>
      </w:r>
      <w:proofErr w:type="spellStart"/>
      <w:r w:rsidRPr="0022586A">
        <w:t>Brachio’s</w:t>
      </w:r>
      <w:proofErr w:type="spellEnd"/>
      <w:r w:rsidRPr="0022586A">
        <w:t xml:space="preserve"> (2024) foundational four-step framework with specific, actionable programs: developing mandatory core "Green Savoy" e-modules covering essential energy, water, and waste protocols to achieve baseline sustainability certification for 100% of staff; creating targeted department-specific training curricula (e.g., advanced AI waste tool utilization for kitchen teams, certified chemical-free cleaning techniques for housekeeping); establishing an advanced leadership program in carbon accounting, ESG reporting, and sustainable innovation to cultivate a cohort of 25 qualified "Sustainability Champions" by 2026; and forming strategic ecosystem partnerships with respected institutions like the London School of Hospitality and Green Key International to offer accredited external qualifications that enhance career development (</w:t>
      </w:r>
      <w:proofErr w:type="spellStart"/>
      <w:r w:rsidRPr="0022586A">
        <w:t>Brachio</w:t>
      </w:r>
      <w:proofErr w:type="spellEnd"/>
      <w:r w:rsidRPr="0022586A">
        <w:t>, 2024; Accor, 2024). Crucially, ensuring equitable access to these upskilling opportunities, particularly for women who comprise approximately 70% of the housekeeping staff and other potentially marginalized groups within the workforce, is essential for achieving genuine social sustainability and aligns powerfully with the hotel’s broader diversity and inclusion goals (Jen, 2025). Tangible incentives such as quarterly "Green Innovator Awards" recognizing departmental achievements can foster widespread engagement, nurture a culture of continuous improvement, and deeply embed sustainability into the organizational DNA.</w:t>
      </w:r>
    </w:p>
    <w:p w14:paraId="7EF4CB0F" w14:textId="77777777" w:rsidR="0022586A" w:rsidRPr="0022586A" w:rsidRDefault="0022586A" w:rsidP="0022586A">
      <w:pPr>
        <w:spacing w:line="276" w:lineRule="auto"/>
      </w:pPr>
      <w:r w:rsidRPr="0022586A">
        <w:t>The multifaceted benefits of implementing an advanced predictive AI food monitoring system, establishing a productive rooftop greenhouse, and deploying comprehensive green skills training at The Savoy are substantial and far-reaching. Environmentally, drastically reduced food waste translates directly into lower methane emissions from landfills and minimized wastage of embedded resources (water, energy, land), while the rooftop garden contributes positively to urban biodiversity, aids in rainwater retention, and strengthens localized, resilient food systems (</w:t>
      </w:r>
      <w:proofErr w:type="spellStart"/>
      <w:r w:rsidRPr="0022586A">
        <w:t>Karvounidi</w:t>
      </w:r>
      <w:proofErr w:type="spellEnd"/>
      <w:r w:rsidRPr="0022586A">
        <w:t xml:space="preserve"> et al., 2024; Hydroponics </w:t>
      </w:r>
      <w:r w:rsidRPr="0022586A">
        <w:lastRenderedPageBreak/>
        <w:t>Journal, 2024). Collectively, these integrated initiatives could achieve a reduction of approximately 600 tons in annual CO₂ equivalent emissions—comparable to removing 150 conventional cars from London's roads—and significantly advance the hotel's stated goal of reducing overall energy consumption by 40%, contributing meaningfully to city-wide climate targets (Jen, 2025; DEFRA, 2024). Operationally, enhanced efficiency driven by AI insights in kitchen operations and procurement reduces costs, simplifies inventory management, and could lower overall food costs by up to 22% alongside generating savings exceeding £35,000 annually on waste disposal fees alone (</w:t>
      </w:r>
      <w:proofErr w:type="spellStart"/>
      <w:r w:rsidRPr="0022586A">
        <w:t>Elgalb</w:t>
      </w:r>
      <w:proofErr w:type="spellEnd"/>
      <w:r w:rsidRPr="0022586A">
        <w:t xml:space="preserve"> &amp; Gerges, 2024; ESG News, 2024). Reputationally, these measurable, innovative actions strengthen alignment with globally recognized green standards like Green Key, reinforcing The Savoy's brand identity as a forward-thinking, responsible luxury destination—a critical factor for competitiveness among the rapidly growing demographic (projected at 42% market increase by 2027) of eco-conscious </w:t>
      </w:r>
      <w:proofErr w:type="spellStart"/>
      <w:r w:rsidRPr="0022586A">
        <w:t>travelers</w:t>
      </w:r>
      <w:proofErr w:type="spellEnd"/>
      <w:r w:rsidRPr="0022586A">
        <w:t xml:space="preserve"> who actively seek out such credentials (Savoy, 2024; Global Wellness Institute, 2024). Economically, the combination of reduced waste disposal costs, lower utility bills through ongoing efficiency gains, and increased patronage from this valuable demographic segment contributes directly to enhanced long-term profitability and asset value. Socially, the upskilling programs enhance employee retention, morale, and pride, while high-visibility initiatives like surplus food donation foster stronger community bonds and positive local visibility.</w:t>
      </w:r>
    </w:p>
    <w:p w14:paraId="1BB6D3BF" w14:textId="4217F679" w:rsidR="00954F72" w:rsidRDefault="00FB58A7" w:rsidP="0022586A">
      <w:pPr>
        <w:spacing w:line="276" w:lineRule="auto"/>
      </w:pPr>
      <w:r w:rsidRPr="00FB58A7">
        <w:t>Sustainability is now essential to hospitality, not just a trend. The Savoy has made strong progress—with Green Key certification, ethical sourcing, renewable energy, and circular initiatives like its in-house bottling plant—but must address key gaps in food waste and workforce sustainability. Adopting AI-driven food waste systems with carbon tracking, launching inclusive green skills training, and introducing heritage-sensitive innovations like a rooftop greenhouse can create major environmental and operational gains. These efforts will boost resilience, efficiency, and brand value, positioning The Savoy as a leader in “regenerative luxury”—where lasting elegance aligns with ecological and social responsibility. This shift, though requiring investment, will redefine luxury for the 21st century.</w:t>
      </w:r>
    </w:p>
    <w:p w14:paraId="46C32D08" w14:textId="77777777" w:rsidR="00954F72" w:rsidRDefault="00954F72" w:rsidP="0022586A">
      <w:pPr>
        <w:spacing w:line="276" w:lineRule="auto"/>
      </w:pPr>
    </w:p>
    <w:p w14:paraId="3CFAD83C" w14:textId="77777777" w:rsidR="00A81D51" w:rsidRDefault="00A81D51" w:rsidP="0022586A">
      <w:pPr>
        <w:spacing w:line="276" w:lineRule="auto"/>
      </w:pPr>
    </w:p>
    <w:p w14:paraId="67509594" w14:textId="77777777" w:rsidR="00A81D51" w:rsidRDefault="00A81D51" w:rsidP="0022586A">
      <w:pPr>
        <w:spacing w:line="276" w:lineRule="auto"/>
      </w:pPr>
    </w:p>
    <w:p w14:paraId="74DC698F" w14:textId="77777777" w:rsidR="00A81D51" w:rsidRDefault="00A81D51" w:rsidP="0022586A">
      <w:pPr>
        <w:spacing w:line="276" w:lineRule="auto"/>
      </w:pPr>
    </w:p>
    <w:p w14:paraId="6311E135" w14:textId="77777777" w:rsidR="00A81D51" w:rsidRDefault="00A81D51" w:rsidP="0022586A">
      <w:pPr>
        <w:spacing w:line="276" w:lineRule="auto"/>
      </w:pPr>
    </w:p>
    <w:p w14:paraId="66F483B4" w14:textId="77777777" w:rsidR="00A81D51" w:rsidRDefault="00A81D51" w:rsidP="0022586A">
      <w:pPr>
        <w:spacing w:line="276" w:lineRule="auto"/>
      </w:pPr>
    </w:p>
    <w:p w14:paraId="402CBA6E" w14:textId="77777777" w:rsidR="00954F72" w:rsidRPr="0022586A" w:rsidRDefault="00954F72" w:rsidP="0022586A">
      <w:pPr>
        <w:spacing w:line="276" w:lineRule="auto"/>
      </w:pPr>
    </w:p>
    <w:p w14:paraId="7940D1A4" w14:textId="77777777" w:rsidR="00954F72" w:rsidRPr="00954F72" w:rsidRDefault="00954F72" w:rsidP="00A81D51">
      <w:pPr>
        <w:spacing w:line="276" w:lineRule="auto"/>
      </w:pPr>
      <w:r w:rsidRPr="00954F72">
        <w:rPr>
          <w:b/>
          <w:bCs/>
        </w:rPr>
        <w:lastRenderedPageBreak/>
        <w:t>References</w:t>
      </w:r>
    </w:p>
    <w:p w14:paraId="38D42A61" w14:textId="77777777" w:rsidR="00C54D85" w:rsidRDefault="00954F72" w:rsidP="00A81D51">
      <w:pPr>
        <w:spacing w:line="276" w:lineRule="auto"/>
      </w:pPr>
      <w:r w:rsidRPr="00954F72">
        <w:t>Accor. (2024). Planet 21 – Acting Here. </w:t>
      </w:r>
      <w:hyperlink r:id="rId5" w:tgtFrame="_blank" w:history="1">
        <w:r w:rsidRPr="00954F72">
          <w:rPr>
            <w:rStyle w:val="Hyperlink"/>
          </w:rPr>
          <w:t>https://all.accor.com/planet21/index.en.shtml</w:t>
        </w:r>
      </w:hyperlink>
      <w:r w:rsidRPr="00954F72">
        <w:br/>
      </w:r>
      <w:proofErr w:type="spellStart"/>
      <w:r w:rsidRPr="00954F72">
        <w:t>Brachio</w:t>
      </w:r>
      <w:proofErr w:type="spellEnd"/>
      <w:r w:rsidRPr="00954F72">
        <w:t>, A. (2024). A four-step plan to closing the global green skills gap. World Economic Forum. </w:t>
      </w:r>
      <w:hyperlink r:id="rId6" w:tgtFrame="_blank" w:history="1">
        <w:r w:rsidRPr="00954F72">
          <w:rPr>
            <w:rStyle w:val="Hyperlink"/>
          </w:rPr>
          <w:t>https://www.weforum.org/stories/2024/12/green-skills-gap-four-step-plan/</w:t>
        </w:r>
      </w:hyperlink>
    </w:p>
    <w:p w14:paraId="32DC9199" w14:textId="282B9BD4" w:rsidR="00A81D51" w:rsidRDefault="00954F72" w:rsidP="00A81D51">
      <w:pPr>
        <w:spacing w:line="276" w:lineRule="auto"/>
      </w:pPr>
      <w:r w:rsidRPr="00954F72">
        <w:t>City Harvest London. (2024). Food Rescue Partners. </w:t>
      </w:r>
      <w:hyperlink r:id="rId7" w:tgtFrame="_blank" w:history="1">
        <w:r w:rsidRPr="00954F72">
          <w:rPr>
            <w:rStyle w:val="Hyperlink"/>
          </w:rPr>
          <w:t>https://cityharvest.org.uk/partners/</w:t>
        </w:r>
      </w:hyperlink>
      <w:r w:rsidRPr="00954F72">
        <w:br/>
        <w:t>DEFRA. (2024). Emissions Conversion Factors for Company Reporting. UK Government. </w:t>
      </w:r>
      <w:hyperlink r:id="rId8" w:tgtFrame="_blank" w:history="1">
        <w:r w:rsidRPr="00954F72">
          <w:rPr>
            <w:rStyle w:val="Hyperlink"/>
          </w:rPr>
          <w:t>https://www.gov.uk/government/publications/greenhouse-gas-reporting-conversion-factors-2024</w:t>
        </w:r>
      </w:hyperlink>
      <w:r w:rsidRPr="00954F72">
        <w:br/>
      </w:r>
      <w:proofErr w:type="spellStart"/>
      <w:r w:rsidRPr="00954F72">
        <w:t>Elgalb</w:t>
      </w:r>
      <w:proofErr w:type="spellEnd"/>
      <w:r w:rsidRPr="00954F72">
        <w:t>, A., &amp; Gerges, M. (2024). Optimizing Supply Chain Logistics with Big Data and AI: Applications for Reducing Food Waste. </w:t>
      </w:r>
      <w:r w:rsidRPr="00954F72">
        <w:rPr>
          <w:i/>
          <w:iCs/>
        </w:rPr>
        <w:t>Journal of Current Science and Research Review</w:t>
      </w:r>
      <w:r w:rsidRPr="00954F72">
        <w:t>, 2(02), 29–39.</w:t>
      </w:r>
      <w:r w:rsidRPr="00954F72">
        <w:br/>
        <w:t>ESG News. (2024). Marriott Hotels UK Implements Winnow AI to Cut Food Waste by 50% by 2025. </w:t>
      </w:r>
      <w:hyperlink r:id="rId9" w:tgtFrame="_blank" w:history="1">
        <w:r w:rsidRPr="00954F72">
          <w:rPr>
            <w:rStyle w:val="Hyperlink"/>
          </w:rPr>
          <w:t>https://esgnews.com/marriott-hotels-uk-implements-winnow-ai-to-cut-food-waste-by-50-by-2025/</w:t>
        </w:r>
      </w:hyperlink>
    </w:p>
    <w:p w14:paraId="7DBC6087" w14:textId="468D3950" w:rsidR="008F0C7D" w:rsidRDefault="00A81D51" w:rsidP="00A81D51">
      <w:pPr>
        <w:spacing w:line="276" w:lineRule="auto"/>
      </w:pPr>
      <w:r w:rsidRPr="004433CC">
        <w:t>Ellen MacArthur Foundation. (2022). </w:t>
      </w:r>
      <w:r w:rsidRPr="004433CC">
        <w:rPr>
          <w:i/>
          <w:iCs/>
        </w:rPr>
        <w:t>Global Commitment 2022 Progress Report</w:t>
      </w:r>
      <w:r w:rsidRPr="004433CC">
        <w:t>.</w:t>
      </w:r>
      <w:r w:rsidR="00954F72" w:rsidRPr="00954F72">
        <w:br/>
      </w:r>
      <w:proofErr w:type="spellStart"/>
      <w:r w:rsidR="00954F72" w:rsidRPr="00954F72">
        <w:t>Eventdec</w:t>
      </w:r>
      <w:proofErr w:type="spellEnd"/>
      <w:r w:rsidR="00954F72" w:rsidRPr="00954F72">
        <w:t>. (2023). Sustainability in Heritage Venues: Challenges &amp; Solutions. </w:t>
      </w:r>
      <w:hyperlink r:id="rId10" w:tgtFrame="_blank" w:history="1">
        <w:r w:rsidR="00954F72" w:rsidRPr="00954F72">
          <w:rPr>
            <w:rStyle w:val="Hyperlink"/>
          </w:rPr>
          <w:t>https://www.eventdec.com/insights/sustainability-heritage-venues</w:t>
        </w:r>
      </w:hyperlink>
      <w:r w:rsidR="00954F72" w:rsidRPr="00954F72">
        <w:br/>
        <w:t>Fairmont. (2025). Hotel Initiatives – Fairmont. </w:t>
      </w:r>
      <w:hyperlink r:id="rId11" w:tgtFrame="_blank" w:history="1">
        <w:r w:rsidR="00954F72" w:rsidRPr="00954F72">
          <w:rPr>
            <w:rStyle w:val="Hyperlink"/>
          </w:rPr>
          <w:t>https://www.fairmont.com/hotel-initiatives/</w:t>
        </w:r>
      </w:hyperlink>
      <w:r w:rsidR="00954F72" w:rsidRPr="00954F72">
        <w:br/>
      </w:r>
      <w:proofErr w:type="spellStart"/>
      <w:r w:rsidR="00954F72" w:rsidRPr="00954F72">
        <w:t>Genghini</w:t>
      </w:r>
      <w:proofErr w:type="spellEnd"/>
      <w:r w:rsidR="00954F72" w:rsidRPr="00954F72">
        <w:t>, L. (2024). The Green Gap: 6 Reasons Companies Struggle with Sustainability Goals. 2030.Builders. </w:t>
      </w:r>
      <w:hyperlink r:id="rId12" w:tgtFrame="_blank" w:history="1">
        <w:r w:rsidR="00954F72" w:rsidRPr="00954F72">
          <w:rPr>
            <w:rStyle w:val="Hyperlink"/>
          </w:rPr>
          <w:t>https://2030.builders/6-reasons-why-companies-struggle-to-achieve-sustainability-goals/</w:t>
        </w:r>
      </w:hyperlink>
    </w:p>
    <w:p w14:paraId="217FE6DD" w14:textId="77777777" w:rsidR="008F0C7D" w:rsidRDefault="008F0C7D" w:rsidP="00A81D51">
      <w:pPr>
        <w:spacing w:line="276" w:lineRule="auto"/>
      </w:pPr>
      <w:r w:rsidRPr="004433CC">
        <w:t>Savoy London. (2024). Sustainability Initiatives. </w:t>
      </w:r>
      <w:r w:rsidRPr="004433CC">
        <w:rPr>
          <w:i/>
          <w:iCs/>
        </w:rPr>
        <w:t xml:space="preserve">The </w:t>
      </w:r>
      <w:proofErr w:type="spellStart"/>
      <w:r w:rsidRPr="004433CC">
        <w:rPr>
          <w:i/>
          <w:iCs/>
        </w:rPr>
        <w:t>Savoy</w:t>
      </w:r>
      <w:r w:rsidRPr="004433CC">
        <w:t>.</w:t>
      </w:r>
      <w:proofErr w:type="spellEnd"/>
    </w:p>
    <w:p w14:paraId="3BAE1199" w14:textId="4F30E2F6" w:rsidR="00C54D85" w:rsidRPr="00A81D51" w:rsidRDefault="00954F72" w:rsidP="00A81D51">
      <w:pPr>
        <w:spacing w:line="276" w:lineRule="auto"/>
      </w:pPr>
      <w:r w:rsidRPr="00954F72">
        <w:t>Global Wellness Institute. (2024). The Future of Wellness Tourism Report. </w:t>
      </w:r>
      <w:hyperlink r:id="rId13" w:tgtFrame="_blank" w:history="1">
        <w:r w:rsidRPr="00954F72">
          <w:rPr>
            <w:rStyle w:val="Hyperlink"/>
          </w:rPr>
          <w:t>https://globalwellnessinstitute.org/industry-research/future-of-wellness-tourism/</w:t>
        </w:r>
      </w:hyperlink>
      <w:r w:rsidRPr="00954F72">
        <w:br/>
        <w:t>Hydroponics Journal. (2024). Commercial Rooftop Farming in Urban Hospitality: Yield and Emission Impacts. </w:t>
      </w:r>
      <w:r w:rsidRPr="00954F72">
        <w:rPr>
          <w:i/>
          <w:iCs/>
        </w:rPr>
        <w:t>Hydroponics Journal</w:t>
      </w:r>
      <w:r w:rsidRPr="00954F72">
        <w:t>, 18(3), 45-59.</w:t>
      </w:r>
      <w:r w:rsidRPr="00954F72">
        <w:br/>
        <w:t>Jen. (2025). The Savoy to Reduce 40% Energy Consumption. </w:t>
      </w:r>
      <w:r w:rsidRPr="00954F72">
        <w:rPr>
          <w:i/>
          <w:iCs/>
        </w:rPr>
        <w:t>Environment + Energy Leader</w:t>
      </w:r>
      <w:r w:rsidRPr="00954F72">
        <w:t>. </w:t>
      </w:r>
      <w:hyperlink r:id="rId14" w:tgtFrame="_blank" w:history="1">
        <w:r w:rsidRPr="00954F72">
          <w:rPr>
            <w:rStyle w:val="Hyperlink"/>
          </w:rPr>
          <w:t>https://www.environmentenergyleader.com/stories/the-savoy-to-reduce-40-energy-consumption,33711</w:t>
        </w:r>
      </w:hyperlink>
      <w:r w:rsidRPr="00954F72">
        <w:br/>
      </w:r>
      <w:proofErr w:type="spellStart"/>
      <w:r w:rsidRPr="00954F72">
        <w:t>Karvounidi</w:t>
      </w:r>
      <w:proofErr w:type="spellEnd"/>
      <w:r w:rsidRPr="00954F72">
        <w:t xml:space="preserve">, M.D., Alexandropoulou, A.P., &amp; </w:t>
      </w:r>
      <w:proofErr w:type="spellStart"/>
      <w:r w:rsidRPr="00954F72">
        <w:t>Fousteris</w:t>
      </w:r>
      <w:proofErr w:type="spellEnd"/>
      <w:r w:rsidRPr="00954F72">
        <w:t>, A.E. (2024). Sustainable Food Waste Management in the Hospitality Industry: Innovations and Best Practices. </w:t>
      </w:r>
      <w:r w:rsidRPr="00954F72">
        <w:rPr>
          <w:i/>
          <w:iCs/>
        </w:rPr>
        <w:t>Journal of Sustainable Tourism</w:t>
      </w:r>
      <w:r w:rsidRPr="00954F72">
        <w:t>, 32(5), 789-807.</w:t>
      </w:r>
      <w:r w:rsidRPr="00954F72">
        <w:br/>
        <w:t>Khalil, N., Abdullah, S.N.C., Haron, S.N., &amp; Hamid, M.Y. (2024). Green practices in hotel operations: Stakeholder perspectives. </w:t>
      </w:r>
      <w:r w:rsidRPr="00954F72">
        <w:rPr>
          <w:i/>
          <w:iCs/>
        </w:rPr>
        <w:t>Journal of Facilities Management</w:t>
      </w:r>
      <w:r w:rsidRPr="00954F72">
        <w:t>, 22(4), 653–682.</w:t>
      </w:r>
    </w:p>
    <w:p w14:paraId="54CA5A4D" w14:textId="3B11ADA7" w:rsidR="00C54D85" w:rsidRPr="00A81D51" w:rsidRDefault="00C54D85" w:rsidP="00A81D51">
      <w:pPr>
        <w:spacing w:line="276" w:lineRule="auto"/>
      </w:pPr>
      <w:r w:rsidRPr="004433CC">
        <w:lastRenderedPageBreak/>
        <w:t>WRAP. (2023). Future-Proof Food. </w:t>
      </w:r>
      <w:r w:rsidRPr="004433CC">
        <w:rPr>
          <w:i/>
          <w:iCs/>
        </w:rPr>
        <w:t>WRAP</w:t>
      </w:r>
      <w:r w:rsidRPr="004433CC">
        <w:t>.</w:t>
      </w:r>
    </w:p>
    <w:p w14:paraId="46B78533" w14:textId="689DC67F" w:rsidR="00954F72" w:rsidRPr="00954F72" w:rsidRDefault="00C54D85" w:rsidP="00A81D51">
      <w:pPr>
        <w:spacing w:line="276" w:lineRule="auto"/>
      </w:pPr>
      <w:r w:rsidRPr="004433CC">
        <w:t>UNEP &amp; Ellen MacArthur Foundation</w:t>
      </w:r>
      <w:r w:rsidRPr="004433CC">
        <w:rPr>
          <w:b/>
          <w:bCs/>
        </w:rPr>
        <w:t>.</w:t>
      </w:r>
      <w:r w:rsidRPr="004433CC">
        <w:t> (2023). </w:t>
      </w:r>
      <w:r w:rsidRPr="004433CC">
        <w:rPr>
          <w:i/>
          <w:iCs/>
        </w:rPr>
        <w:t>Global Commitment 2022</w:t>
      </w:r>
      <w:r w:rsidRPr="004433CC">
        <w:t>.</w:t>
      </w:r>
      <w:r w:rsidR="00954F72" w:rsidRPr="00954F72">
        <w:br/>
      </w:r>
      <w:proofErr w:type="spellStart"/>
      <w:r w:rsidR="00954F72" w:rsidRPr="00954F72">
        <w:t>Klimato</w:t>
      </w:r>
      <w:proofErr w:type="spellEnd"/>
      <w:r w:rsidR="00954F72" w:rsidRPr="00954F72">
        <w:t xml:space="preserve">. (2024). Carbon </w:t>
      </w:r>
      <w:proofErr w:type="spellStart"/>
      <w:r w:rsidR="00954F72" w:rsidRPr="00954F72">
        <w:t>Labeling</w:t>
      </w:r>
      <w:proofErr w:type="spellEnd"/>
      <w:r w:rsidR="00954F72" w:rsidRPr="00954F72">
        <w:t xml:space="preserve"> for the Food Service Industry. </w:t>
      </w:r>
      <w:hyperlink r:id="rId15" w:tgtFrame="_blank" w:history="1">
        <w:r w:rsidR="00954F72" w:rsidRPr="00954F72">
          <w:rPr>
            <w:rStyle w:val="Hyperlink"/>
          </w:rPr>
          <w:t>https://klimato.com/solutions/</w:t>
        </w:r>
      </w:hyperlink>
      <w:r w:rsidR="00954F72" w:rsidRPr="00954F72">
        <w:br/>
        <w:t>London Heritage Quarter. (2024). Collaborative Sustainability Charter. </w:t>
      </w:r>
      <w:hyperlink r:id="rId16" w:tgtFrame="_blank" w:history="1">
        <w:r w:rsidR="00954F72" w:rsidRPr="00954F72">
          <w:rPr>
            <w:rStyle w:val="Hyperlink"/>
          </w:rPr>
          <w:t>https://londonheritagequarter.org/sustainability</w:t>
        </w:r>
      </w:hyperlink>
      <w:r w:rsidR="00954F72" w:rsidRPr="00954F72">
        <w:br/>
      </w:r>
      <w:proofErr w:type="spellStart"/>
      <w:r w:rsidR="00954F72" w:rsidRPr="00954F72">
        <w:t>Nyangchak</w:t>
      </w:r>
      <w:proofErr w:type="spellEnd"/>
      <w:r w:rsidR="00954F72" w:rsidRPr="00954F72">
        <w:t>, N. (2022). Emerging green industry toward net-zero economy. </w:t>
      </w:r>
      <w:r w:rsidR="00954F72" w:rsidRPr="00954F72">
        <w:rPr>
          <w:i/>
          <w:iCs/>
        </w:rPr>
        <w:t>Journal of Cleaner Production</w:t>
      </w:r>
      <w:r w:rsidR="00954F72" w:rsidRPr="00954F72">
        <w:t>, 378, 134622. </w:t>
      </w:r>
      <w:hyperlink r:id="rId17" w:tgtFrame="_blank" w:history="1">
        <w:r w:rsidR="00954F72" w:rsidRPr="00954F72">
          <w:rPr>
            <w:rStyle w:val="Hyperlink"/>
          </w:rPr>
          <w:t>https://doi.org/10.1016/j.jclepro.2022.134622</w:t>
        </w:r>
      </w:hyperlink>
      <w:r w:rsidR="00954F72" w:rsidRPr="00954F72">
        <w:br/>
      </w:r>
      <w:proofErr w:type="spellStart"/>
      <w:r w:rsidR="00954F72" w:rsidRPr="00954F72">
        <w:t>Orbisk</w:t>
      </w:r>
      <w:proofErr w:type="spellEnd"/>
      <w:r w:rsidR="00954F72" w:rsidRPr="00954F72">
        <w:t xml:space="preserve"> Case Study. (2024). Waste Reduction in Luxury Banquet Operations: The Savoy Audit Findings. </w:t>
      </w:r>
      <w:proofErr w:type="spellStart"/>
      <w:r w:rsidR="00954F72" w:rsidRPr="00954F72">
        <w:t>Orbisk</w:t>
      </w:r>
      <w:proofErr w:type="spellEnd"/>
      <w:r w:rsidR="00954F72" w:rsidRPr="00954F72">
        <w:t xml:space="preserve"> Internal Report.</w:t>
      </w:r>
      <w:r w:rsidR="00954F72" w:rsidRPr="00954F72">
        <w:br/>
        <w:t>Qu, X., Khan, A., Yahya, S., Zafar, A.U., &amp; Shahzad, M. (2022). Green core competencies, green innovation, and hotel performance: The moderating role of green organizational identity. </w:t>
      </w:r>
      <w:r w:rsidR="00954F72" w:rsidRPr="00954F72">
        <w:rPr>
          <w:i/>
          <w:iCs/>
        </w:rPr>
        <w:t>Journal of Environmental Planning and Management</w:t>
      </w:r>
      <w:r w:rsidR="00954F72" w:rsidRPr="00954F72">
        <w:t>, 65(3), 536–561. </w:t>
      </w:r>
      <w:hyperlink r:id="rId18" w:tgtFrame="_blank" w:history="1">
        <w:r w:rsidR="00954F72" w:rsidRPr="00954F72">
          <w:rPr>
            <w:rStyle w:val="Hyperlink"/>
          </w:rPr>
          <w:t>https://doi.org/10.1080/09640568.2021.1891029</w:t>
        </w:r>
      </w:hyperlink>
      <w:r w:rsidR="00954F72" w:rsidRPr="00954F72">
        <w:br/>
        <w:t>Savoy London. (2024). Sustainability Initiatives. </w:t>
      </w:r>
      <w:hyperlink r:id="rId19" w:tgtFrame="_blank" w:history="1">
        <w:r w:rsidR="00954F72" w:rsidRPr="00954F72">
          <w:rPr>
            <w:rStyle w:val="Hyperlink"/>
          </w:rPr>
          <w:t>https://www.thesavoylondon.com/sustainability-initiatives/</w:t>
        </w:r>
      </w:hyperlink>
      <w:r w:rsidR="00954F72" w:rsidRPr="00954F72">
        <w:br/>
      </w:r>
      <w:proofErr w:type="spellStart"/>
      <w:r w:rsidR="00954F72" w:rsidRPr="00954F72">
        <w:t>Textilia</w:t>
      </w:r>
      <w:proofErr w:type="spellEnd"/>
      <w:r w:rsidR="00954F72" w:rsidRPr="00954F72">
        <w:t xml:space="preserve"> </w:t>
      </w:r>
      <w:proofErr w:type="spellStart"/>
      <w:r w:rsidR="00954F72" w:rsidRPr="00954F72">
        <w:t>Upcy</w:t>
      </w:r>
      <w:proofErr w:type="spellEnd"/>
      <w:r w:rsidR="00954F72" w:rsidRPr="00954F72">
        <w:t>. (2024). Circular Uniform Solutions for Hospitality. </w:t>
      </w:r>
      <w:hyperlink r:id="rId20" w:tgtFrame="_blank" w:history="1">
        <w:r w:rsidR="00954F72" w:rsidRPr="00954F72">
          <w:rPr>
            <w:rStyle w:val="Hyperlink"/>
          </w:rPr>
          <w:t>https://textiliaupcy.com/hospitality/</w:t>
        </w:r>
      </w:hyperlink>
    </w:p>
    <w:p w14:paraId="2C4B9EA7" w14:textId="16281E1D" w:rsidR="004433CC" w:rsidRPr="004433CC" w:rsidRDefault="004433CC" w:rsidP="00A81D51">
      <w:pPr>
        <w:spacing w:line="276" w:lineRule="auto"/>
      </w:pPr>
      <w:r w:rsidRPr="004433CC">
        <w:t>Accor. (2024). Ethics &amp; Corporate Social Responsibility Charter. </w:t>
      </w:r>
      <w:r w:rsidRPr="004433CC">
        <w:rPr>
          <w:i/>
          <w:iCs/>
        </w:rPr>
        <w:t>Accor</w:t>
      </w:r>
      <w:r w:rsidRPr="004433CC">
        <w:t>.</w:t>
      </w:r>
    </w:p>
    <w:p w14:paraId="6C12313A" w14:textId="5EF10025" w:rsidR="004433CC" w:rsidRPr="004433CC" w:rsidRDefault="004433CC" w:rsidP="00A81D51">
      <w:pPr>
        <w:spacing w:line="276" w:lineRule="auto"/>
      </w:pPr>
      <w:proofErr w:type="spellStart"/>
      <w:r w:rsidRPr="004433CC">
        <w:t>Brachio</w:t>
      </w:r>
      <w:proofErr w:type="spellEnd"/>
      <w:r w:rsidRPr="004433CC">
        <w:t>, A. (2024). </w:t>
      </w:r>
      <w:r w:rsidRPr="004433CC">
        <w:rPr>
          <w:i/>
          <w:iCs/>
        </w:rPr>
        <w:t>Skills Development for a Just Transition</w:t>
      </w:r>
      <w:r w:rsidRPr="004433CC">
        <w:t>. ILO Policy Brief.</w:t>
      </w:r>
    </w:p>
    <w:p w14:paraId="10F75FA1" w14:textId="4ACB33F0" w:rsidR="004433CC" w:rsidRPr="004433CC" w:rsidRDefault="004433CC" w:rsidP="00A81D51">
      <w:pPr>
        <w:spacing w:line="276" w:lineRule="auto"/>
      </w:pPr>
      <w:r w:rsidRPr="004433CC">
        <w:t>Deloitte. (2024). Sustainability in the Hospitality Industry. </w:t>
      </w:r>
      <w:r w:rsidRPr="004433CC">
        <w:rPr>
          <w:i/>
          <w:iCs/>
        </w:rPr>
        <w:t xml:space="preserve">Deloitte </w:t>
      </w:r>
      <w:proofErr w:type="gramStart"/>
      <w:r w:rsidRPr="004433CC">
        <w:rPr>
          <w:i/>
          <w:iCs/>
        </w:rPr>
        <w:t>UK</w:t>
      </w:r>
      <w:r w:rsidRPr="004433CC">
        <w:t>.</w:t>
      </w:r>
      <w:r w:rsidRPr="004433CC">
        <w:rPr>
          <w:i/>
          <w:iCs/>
        </w:rPr>
        <w:t>[</w:t>
      </w:r>
      <w:proofErr w:type="gramEnd"/>
      <w:r w:rsidRPr="004433CC">
        <w:rPr>
          <w:i/>
          <w:iCs/>
        </w:rPr>
        <w:t>Supports operational challenges/benefits]7</w:t>
      </w:r>
      <w:r w:rsidRPr="004433CC">
        <w:t>.</w:t>
      </w:r>
    </w:p>
    <w:p w14:paraId="4620F24B" w14:textId="12E4486F" w:rsidR="004433CC" w:rsidRPr="004433CC" w:rsidRDefault="004433CC" w:rsidP="00A81D51">
      <w:pPr>
        <w:spacing w:line="276" w:lineRule="auto"/>
      </w:pPr>
      <w:r w:rsidRPr="004433CC">
        <w:t>ILO. (2023). </w:t>
      </w:r>
      <w:r w:rsidRPr="004433CC">
        <w:rPr>
          <w:i/>
          <w:iCs/>
        </w:rPr>
        <w:t>Greening TVET and Skills Development: A Practical Guidance Tool</w:t>
      </w:r>
      <w:r w:rsidRPr="004433CC">
        <w:t>.</w:t>
      </w:r>
    </w:p>
    <w:p w14:paraId="1AD8A5BF" w14:textId="1CD811B2" w:rsidR="00C54D85" w:rsidRDefault="004433CC" w:rsidP="00A81D51">
      <w:pPr>
        <w:spacing w:line="276" w:lineRule="auto"/>
      </w:pPr>
      <w:proofErr w:type="spellStart"/>
      <w:r w:rsidRPr="004433CC">
        <w:t>Klimato</w:t>
      </w:r>
      <w:proofErr w:type="spellEnd"/>
      <w:r w:rsidRPr="004433CC">
        <w:t>. (2024). Carbon Footprint Menu Labelling. </w:t>
      </w:r>
      <w:r w:rsidRPr="004433CC">
        <w:rPr>
          <w:i/>
          <w:iCs/>
        </w:rPr>
        <w:t>The Savoy London</w:t>
      </w:r>
      <w:r w:rsidRPr="004433CC">
        <w:t>.</w:t>
      </w:r>
      <w:r w:rsidRPr="004433CC">
        <w:br/>
      </w:r>
      <w:r w:rsidR="00A81D51" w:rsidRPr="00954F72">
        <w:t>Tse, C. (2018). Green spotlight: The Savoy Hotel is about energy efficiency. </w:t>
      </w:r>
      <w:r w:rsidR="00A81D51" w:rsidRPr="00954F72">
        <w:rPr>
          <w:i/>
          <w:iCs/>
        </w:rPr>
        <w:t>BizEnergy</w:t>
      </w:r>
      <w:r w:rsidR="00A81D51" w:rsidRPr="00954F72">
        <w:t>. </w:t>
      </w:r>
      <w:hyperlink r:id="rId21" w:tgtFrame="_blank" w:history="1">
        <w:r w:rsidR="00A81D51" w:rsidRPr="00954F72">
          <w:rPr>
            <w:rStyle w:val="Hyperlink"/>
          </w:rPr>
          <w:t>https://www.bizenergy.ca/success-stories/green-spotlight-the-savoy-hotel-is-about-energy-efficiency/</w:t>
        </w:r>
      </w:hyperlink>
    </w:p>
    <w:p w14:paraId="7996DA12" w14:textId="0896966C" w:rsidR="004433CC" w:rsidRPr="004433CC" w:rsidRDefault="004433CC" w:rsidP="00A81D51">
      <w:pPr>
        <w:spacing w:line="276" w:lineRule="auto"/>
      </w:pPr>
      <w:r w:rsidRPr="004433CC">
        <w:br/>
      </w:r>
    </w:p>
    <w:p w14:paraId="403923F2" w14:textId="081C2705" w:rsidR="004433CC" w:rsidRPr="004433CC" w:rsidRDefault="004433CC" w:rsidP="00A81D51">
      <w:pPr>
        <w:spacing w:line="276" w:lineRule="auto"/>
      </w:pPr>
      <w:r w:rsidRPr="004433CC">
        <w:br/>
      </w:r>
    </w:p>
    <w:p w14:paraId="0665EC04" w14:textId="77777777" w:rsidR="002A444D" w:rsidRDefault="002A444D" w:rsidP="00A81D51">
      <w:pPr>
        <w:spacing w:line="276" w:lineRule="auto"/>
      </w:pPr>
    </w:p>
    <w:sectPr w:rsidR="002A4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40EAB"/>
    <w:multiLevelType w:val="multilevel"/>
    <w:tmpl w:val="D6C01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F57AF6"/>
    <w:multiLevelType w:val="multilevel"/>
    <w:tmpl w:val="094E3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9B658D"/>
    <w:multiLevelType w:val="multilevel"/>
    <w:tmpl w:val="B2EEEC1C"/>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9852BF"/>
    <w:multiLevelType w:val="multilevel"/>
    <w:tmpl w:val="5EE0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7816AD"/>
    <w:multiLevelType w:val="multilevel"/>
    <w:tmpl w:val="28E4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448342">
    <w:abstractNumId w:val="4"/>
  </w:num>
  <w:num w:numId="2" w16cid:durableId="1236818076">
    <w:abstractNumId w:val="0"/>
  </w:num>
  <w:num w:numId="3" w16cid:durableId="1891769821">
    <w:abstractNumId w:val="1"/>
  </w:num>
  <w:num w:numId="4" w16cid:durableId="1253708933">
    <w:abstractNumId w:val="3"/>
  </w:num>
  <w:num w:numId="5" w16cid:durableId="550189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8FE"/>
    <w:rsid w:val="000256C0"/>
    <w:rsid w:val="0022586A"/>
    <w:rsid w:val="00250D65"/>
    <w:rsid w:val="002A444D"/>
    <w:rsid w:val="002D1CE5"/>
    <w:rsid w:val="003B78DD"/>
    <w:rsid w:val="004433CC"/>
    <w:rsid w:val="00476421"/>
    <w:rsid w:val="00725116"/>
    <w:rsid w:val="0073587A"/>
    <w:rsid w:val="00794430"/>
    <w:rsid w:val="008D045B"/>
    <w:rsid w:val="008D3F7B"/>
    <w:rsid w:val="008F0C7D"/>
    <w:rsid w:val="00954F72"/>
    <w:rsid w:val="00980551"/>
    <w:rsid w:val="00A271F0"/>
    <w:rsid w:val="00A81D51"/>
    <w:rsid w:val="00B30942"/>
    <w:rsid w:val="00BC0EBF"/>
    <w:rsid w:val="00C54D85"/>
    <w:rsid w:val="00CA746F"/>
    <w:rsid w:val="00CB7264"/>
    <w:rsid w:val="00D232A8"/>
    <w:rsid w:val="00DF28FE"/>
    <w:rsid w:val="00FB5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75DB20"/>
  <w15:chartTrackingRefBased/>
  <w15:docId w15:val="{06073D32-4E84-441F-8DC0-E618726CD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2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2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2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8FE"/>
    <w:rPr>
      <w:rFonts w:eastAsiaTheme="majorEastAsia" w:cstheme="majorBidi"/>
      <w:color w:val="272727" w:themeColor="text1" w:themeTint="D8"/>
    </w:rPr>
  </w:style>
  <w:style w:type="paragraph" w:styleId="Title">
    <w:name w:val="Title"/>
    <w:basedOn w:val="Normal"/>
    <w:next w:val="Normal"/>
    <w:link w:val="TitleChar"/>
    <w:uiPriority w:val="10"/>
    <w:qFormat/>
    <w:rsid w:val="00DF2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8FE"/>
    <w:pPr>
      <w:spacing w:before="160"/>
      <w:jc w:val="center"/>
    </w:pPr>
    <w:rPr>
      <w:i/>
      <w:iCs/>
      <w:color w:val="404040" w:themeColor="text1" w:themeTint="BF"/>
    </w:rPr>
  </w:style>
  <w:style w:type="character" w:customStyle="1" w:styleId="QuoteChar">
    <w:name w:val="Quote Char"/>
    <w:basedOn w:val="DefaultParagraphFont"/>
    <w:link w:val="Quote"/>
    <w:uiPriority w:val="29"/>
    <w:rsid w:val="00DF28FE"/>
    <w:rPr>
      <w:i/>
      <w:iCs/>
      <w:color w:val="404040" w:themeColor="text1" w:themeTint="BF"/>
    </w:rPr>
  </w:style>
  <w:style w:type="paragraph" w:styleId="ListParagraph">
    <w:name w:val="List Paragraph"/>
    <w:basedOn w:val="Normal"/>
    <w:uiPriority w:val="34"/>
    <w:qFormat/>
    <w:rsid w:val="00DF28FE"/>
    <w:pPr>
      <w:ind w:left="720"/>
      <w:contextualSpacing/>
    </w:pPr>
  </w:style>
  <w:style w:type="character" w:styleId="IntenseEmphasis">
    <w:name w:val="Intense Emphasis"/>
    <w:basedOn w:val="DefaultParagraphFont"/>
    <w:uiPriority w:val="21"/>
    <w:qFormat/>
    <w:rsid w:val="00DF28FE"/>
    <w:rPr>
      <w:i/>
      <w:iCs/>
      <w:color w:val="0F4761" w:themeColor="accent1" w:themeShade="BF"/>
    </w:rPr>
  </w:style>
  <w:style w:type="paragraph" w:styleId="IntenseQuote">
    <w:name w:val="Intense Quote"/>
    <w:basedOn w:val="Normal"/>
    <w:next w:val="Normal"/>
    <w:link w:val="IntenseQuoteChar"/>
    <w:uiPriority w:val="30"/>
    <w:qFormat/>
    <w:rsid w:val="00DF2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8FE"/>
    <w:rPr>
      <w:i/>
      <w:iCs/>
      <w:color w:val="0F4761" w:themeColor="accent1" w:themeShade="BF"/>
    </w:rPr>
  </w:style>
  <w:style w:type="character" w:styleId="IntenseReference">
    <w:name w:val="Intense Reference"/>
    <w:basedOn w:val="DefaultParagraphFont"/>
    <w:uiPriority w:val="32"/>
    <w:qFormat/>
    <w:rsid w:val="00DF28FE"/>
    <w:rPr>
      <w:b/>
      <w:bCs/>
      <w:smallCaps/>
      <w:color w:val="0F4761" w:themeColor="accent1" w:themeShade="BF"/>
      <w:spacing w:val="5"/>
    </w:rPr>
  </w:style>
  <w:style w:type="character" w:styleId="Hyperlink">
    <w:name w:val="Hyperlink"/>
    <w:basedOn w:val="DefaultParagraphFont"/>
    <w:uiPriority w:val="99"/>
    <w:unhideWhenUsed/>
    <w:rsid w:val="00BC0EBF"/>
    <w:rPr>
      <w:color w:val="467886" w:themeColor="hyperlink"/>
      <w:u w:val="single"/>
    </w:rPr>
  </w:style>
  <w:style w:type="character" w:styleId="UnresolvedMention">
    <w:name w:val="Unresolved Mention"/>
    <w:basedOn w:val="DefaultParagraphFont"/>
    <w:uiPriority w:val="99"/>
    <w:semiHidden/>
    <w:unhideWhenUsed/>
    <w:rsid w:val="00BC0E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569990">
      <w:bodyDiv w:val="1"/>
      <w:marLeft w:val="0"/>
      <w:marRight w:val="0"/>
      <w:marTop w:val="0"/>
      <w:marBottom w:val="0"/>
      <w:divBdr>
        <w:top w:val="none" w:sz="0" w:space="0" w:color="auto"/>
        <w:left w:val="none" w:sz="0" w:space="0" w:color="auto"/>
        <w:bottom w:val="none" w:sz="0" w:space="0" w:color="auto"/>
        <w:right w:val="none" w:sz="0" w:space="0" w:color="auto"/>
      </w:divBdr>
    </w:div>
    <w:div w:id="898056666">
      <w:bodyDiv w:val="1"/>
      <w:marLeft w:val="0"/>
      <w:marRight w:val="0"/>
      <w:marTop w:val="0"/>
      <w:marBottom w:val="0"/>
      <w:divBdr>
        <w:top w:val="none" w:sz="0" w:space="0" w:color="auto"/>
        <w:left w:val="none" w:sz="0" w:space="0" w:color="auto"/>
        <w:bottom w:val="none" w:sz="0" w:space="0" w:color="auto"/>
        <w:right w:val="none" w:sz="0" w:space="0" w:color="auto"/>
      </w:divBdr>
    </w:div>
    <w:div w:id="931619386">
      <w:bodyDiv w:val="1"/>
      <w:marLeft w:val="0"/>
      <w:marRight w:val="0"/>
      <w:marTop w:val="0"/>
      <w:marBottom w:val="0"/>
      <w:divBdr>
        <w:top w:val="none" w:sz="0" w:space="0" w:color="auto"/>
        <w:left w:val="none" w:sz="0" w:space="0" w:color="auto"/>
        <w:bottom w:val="none" w:sz="0" w:space="0" w:color="auto"/>
        <w:right w:val="none" w:sz="0" w:space="0" w:color="auto"/>
      </w:divBdr>
    </w:div>
    <w:div w:id="959185462">
      <w:bodyDiv w:val="1"/>
      <w:marLeft w:val="0"/>
      <w:marRight w:val="0"/>
      <w:marTop w:val="0"/>
      <w:marBottom w:val="0"/>
      <w:divBdr>
        <w:top w:val="none" w:sz="0" w:space="0" w:color="auto"/>
        <w:left w:val="none" w:sz="0" w:space="0" w:color="auto"/>
        <w:bottom w:val="none" w:sz="0" w:space="0" w:color="auto"/>
        <w:right w:val="none" w:sz="0" w:space="0" w:color="auto"/>
      </w:divBdr>
      <w:divsChild>
        <w:div w:id="905190014">
          <w:marLeft w:val="0"/>
          <w:marRight w:val="0"/>
          <w:marTop w:val="100"/>
          <w:marBottom w:val="100"/>
          <w:divBdr>
            <w:top w:val="none" w:sz="0" w:space="0" w:color="auto"/>
            <w:left w:val="none" w:sz="0" w:space="0" w:color="auto"/>
            <w:bottom w:val="none" w:sz="0" w:space="0" w:color="auto"/>
            <w:right w:val="none" w:sz="0" w:space="0" w:color="auto"/>
          </w:divBdr>
          <w:divsChild>
            <w:div w:id="609820328">
              <w:marLeft w:val="0"/>
              <w:marRight w:val="0"/>
              <w:marTop w:val="0"/>
              <w:marBottom w:val="0"/>
              <w:divBdr>
                <w:top w:val="none" w:sz="0" w:space="0" w:color="auto"/>
                <w:left w:val="none" w:sz="0" w:space="0" w:color="auto"/>
                <w:bottom w:val="none" w:sz="0" w:space="0" w:color="auto"/>
                <w:right w:val="none" w:sz="0" w:space="0" w:color="auto"/>
              </w:divBdr>
              <w:divsChild>
                <w:div w:id="128708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686912">
      <w:bodyDiv w:val="1"/>
      <w:marLeft w:val="0"/>
      <w:marRight w:val="0"/>
      <w:marTop w:val="0"/>
      <w:marBottom w:val="0"/>
      <w:divBdr>
        <w:top w:val="none" w:sz="0" w:space="0" w:color="auto"/>
        <w:left w:val="none" w:sz="0" w:space="0" w:color="auto"/>
        <w:bottom w:val="none" w:sz="0" w:space="0" w:color="auto"/>
        <w:right w:val="none" w:sz="0" w:space="0" w:color="auto"/>
      </w:divBdr>
    </w:div>
    <w:div w:id="1074012957">
      <w:bodyDiv w:val="1"/>
      <w:marLeft w:val="0"/>
      <w:marRight w:val="0"/>
      <w:marTop w:val="0"/>
      <w:marBottom w:val="0"/>
      <w:divBdr>
        <w:top w:val="none" w:sz="0" w:space="0" w:color="auto"/>
        <w:left w:val="none" w:sz="0" w:space="0" w:color="auto"/>
        <w:bottom w:val="none" w:sz="0" w:space="0" w:color="auto"/>
        <w:right w:val="none" w:sz="0" w:space="0" w:color="auto"/>
      </w:divBdr>
    </w:div>
    <w:div w:id="1672298486">
      <w:bodyDiv w:val="1"/>
      <w:marLeft w:val="0"/>
      <w:marRight w:val="0"/>
      <w:marTop w:val="0"/>
      <w:marBottom w:val="0"/>
      <w:divBdr>
        <w:top w:val="none" w:sz="0" w:space="0" w:color="auto"/>
        <w:left w:val="none" w:sz="0" w:space="0" w:color="auto"/>
        <w:bottom w:val="none" w:sz="0" w:space="0" w:color="auto"/>
        <w:right w:val="none" w:sz="0" w:space="0" w:color="auto"/>
      </w:divBdr>
    </w:div>
    <w:div w:id="1689139642">
      <w:bodyDiv w:val="1"/>
      <w:marLeft w:val="0"/>
      <w:marRight w:val="0"/>
      <w:marTop w:val="0"/>
      <w:marBottom w:val="0"/>
      <w:divBdr>
        <w:top w:val="none" w:sz="0" w:space="0" w:color="auto"/>
        <w:left w:val="none" w:sz="0" w:space="0" w:color="auto"/>
        <w:bottom w:val="none" w:sz="0" w:space="0" w:color="auto"/>
        <w:right w:val="none" w:sz="0" w:space="0" w:color="auto"/>
      </w:divBdr>
    </w:div>
    <w:div w:id="1786925503">
      <w:bodyDiv w:val="1"/>
      <w:marLeft w:val="0"/>
      <w:marRight w:val="0"/>
      <w:marTop w:val="0"/>
      <w:marBottom w:val="0"/>
      <w:divBdr>
        <w:top w:val="none" w:sz="0" w:space="0" w:color="auto"/>
        <w:left w:val="none" w:sz="0" w:space="0" w:color="auto"/>
        <w:bottom w:val="none" w:sz="0" w:space="0" w:color="auto"/>
        <w:right w:val="none" w:sz="0" w:space="0" w:color="auto"/>
      </w:divBdr>
      <w:divsChild>
        <w:div w:id="1194616035">
          <w:marLeft w:val="0"/>
          <w:marRight w:val="0"/>
          <w:marTop w:val="100"/>
          <w:marBottom w:val="100"/>
          <w:divBdr>
            <w:top w:val="none" w:sz="0" w:space="0" w:color="auto"/>
            <w:left w:val="none" w:sz="0" w:space="0" w:color="auto"/>
            <w:bottom w:val="none" w:sz="0" w:space="0" w:color="auto"/>
            <w:right w:val="none" w:sz="0" w:space="0" w:color="auto"/>
          </w:divBdr>
          <w:divsChild>
            <w:div w:id="578171893">
              <w:marLeft w:val="0"/>
              <w:marRight w:val="0"/>
              <w:marTop w:val="0"/>
              <w:marBottom w:val="0"/>
              <w:divBdr>
                <w:top w:val="none" w:sz="0" w:space="0" w:color="auto"/>
                <w:left w:val="none" w:sz="0" w:space="0" w:color="auto"/>
                <w:bottom w:val="none" w:sz="0" w:space="0" w:color="auto"/>
                <w:right w:val="none" w:sz="0" w:space="0" w:color="auto"/>
              </w:divBdr>
              <w:divsChild>
                <w:div w:id="88440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78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reenhouse-gas-reporting-conversion-factors-2024" TargetMode="External"/><Relationship Id="rId13" Type="http://schemas.openxmlformats.org/officeDocument/2006/relationships/hyperlink" Target="https://globalwellnessinstitute.org/industry-research/future-of-wellness-tourism/" TargetMode="External"/><Relationship Id="rId18" Type="http://schemas.openxmlformats.org/officeDocument/2006/relationships/hyperlink" Target="https://doi.org/10.1080/09640568.2021.1891029" TargetMode="External"/><Relationship Id="rId3" Type="http://schemas.openxmlformats.org/officeDocument/2006/relationships/settings" Target="settings.xml"/><Relationship Id="rId21" Type="http://schemas.openxmlformats.org/officeDocument/2006/relationships/hyperlink" Target="https://www.bizenergy.ca/success-stories/green-spotlight-the-savoy-hotel-is-about-energy-efficiency/" TargetMode="External"/><Relationship Id="rId7" Type="http://schemas.openxmlformats.org/officeDocument/2006/relationships/hyperlink" Target="https://cityharvest.org.uk/partners/" TargetMode="External"/><Relationship Id="rId12" Type="http://schemas.openxmlformats.org/officeDocument/2006/relationships/hyperlink" Target="https://2030.builders/6-reasons-why-companies-struggle-to-achieve-sustainability-goals/" TargetMode="External"/><Relationship Id="rId17" Type="http://schemas.openxmlformats.org/officeDocument/2006/relationships/hyperlink" Target="https://doi.org/10.1016/j.jclepro.2022.134622" TargetMode="External"/><Relationship Id="rId2" Type="http://schemas.openxmlformats.org/officeDocument/2006/relationships/styles" Target="styles.xml"/><Relationship Id="rId16" Type="http://schemas.openxmlformats.org/officeDocument/2006/relationships/hyperlink" Target="https://londonheritagequarter.org/sustainability" TargetMode="External"/><Relationship Id="rId20" Type="http://schemas.openxmlformats.org/officeDocument/2006/relationships/hyperlink" Target="https://textiliaupcy.com/hospitality/" TargetMode="External"/><Relationship Id="rId1" Type="http://schemas.openxmlformats.org/officeDocument/2006/relationships/numbering" Target="numbering.xml"/><Relationship Id="rId6" Type="http://schemas.openxmlformats.org/officeDocument/2006/relationships/hyperlink" Target="https://www.weforum.org/stories/2024/12/green-skills-gap-four-step-plan/" TargetMode="External"/><Relationship Id="rId11" Type="http://schemas.openxmlformats.org/officeDocument/2006/relationships/hyperlink" Target="https://www.fairmont.com/hotel-initiatives/" TargetMode="External"/><Relationship Id="rId5" Type="http://schemas.openxmlformats.org/officeDocument/2006/relationships/hyperlink" Target="https://all.accor.com/planet21/index.en.shtml" TargetMode="External"/><Relationship Id="rId15" Type="http://schemas.openxmlformats.org/officeDocument/2006/relationships/hyperlink" Target="https://klimato.com/solutions/" TargetMode="External"/><Relationship Id="rId23" Type="http://schemas.openxmlformats.org/officeDocument/2006/relationships/theme" Target="theme/theme1.xml"/><Relationship Id="rId10" Type="http://schemas.openxmlformats.org/officeDocument/2006/relationships/hyperlink" Target="https://www.eventdec.com/insights/sustainability-heritage-venues" TargetMode="External"/><Relationship Id="rId19" Type="http://schemas.openxmlformats.org/officeDocument/2006/relationships/hyperlink" Target="https://www.thesavoylondon.com/sustainability-initiatives/" TargetMode="External"/><Relationship Id="rId4" Type="http://schemas.openxmlformats.org/officeDocument/2006/relationships/webSettings" Target="webSettings.xml"/><Relationship Id="rId9" Type="http://schemas.openxmlformats.org/officeDocument/2006/relationships/hyperlink" Target="https://esgnews.com/marriott-hotels-uk-implements-winnow-ai-to-cut-food-waste-by-50-by-2025/" TargetMode="External"/><Relationship Id="rId14" Type="http://schemas.openxmlformats.org/officeDocument/2006/relationships/hyperlink" Target="https://www.environmentenergyleader.com/stories/the-savoy-to-reduce-40-energy-consumption,337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TotalTime>
  <Pages>8</Pages>
  <Words>2625</Words>
  <Characters>18721</Characters>
  <Application>Microsoft Office Word</Application>
  <DocSecurity>0</DocSecurity>
  <Lines>317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25</cp:revision>
  <dcterms:created xsi:type="dcterms:W3CDTF">2025-06-02T19:25:00Z</dcterms:created>
  <dcterms:modified xsi:type="dcterms:W3CDTF">2025-06-02T21:11:00Z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c7fae05e-bfc9-448f-8a42-952c4ec94abf</vt:lpwstr>
  </property>
</Properties>
</file>