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3A8FE" w14:textId="77777777" w:rsidR="00893FB1" w:rsidRDefault="00893FB1" w:rsidP="00893FB1">
      <w:pPr>
        <w:pStyle w:val="Default"/>
        <w:rPr>
          <w:sz w:val="22"/>
          <w:szCs w:val="22"/>
        </w:rPr>
      </w:pPr>
      <w:r>
        <w:rPr>
          <w:b/>
          <w:bCs/>
          <w:sz w:val="22"/>
          <w:szCs w:val="22"/>
        </w:rPr>
        <w:t xml:space="preserve">Essay one – Maintaining Professional Standards </w:t>
      </w:r>
    </w:p>
    <w:p w14:paraId="55F6CCF2" w14:textId="77777777" w:rsidR="00893FB1" w:rsidRDefault="00893FB1" w:rsidP="00893FB1">
      <w:pPr>
        <w:pStyle w:val="Default"/>
        <w:rPr>
          <w:sz w:val="22"/>
          <w:szCs w:val="22"/>
        </w:rPr>
      </w:pPr>
      <w:r>
        <w:rPr>
          <w:sz w:val="22"/>
          <w:szCs w:val="22"/>
        </w:rPr>
        <w:t>Critically examine policing policies and procedures (</w:t>
      </w:r>
      <w:proofErr w:type="gramStart"/>
      <w:r>
        <w:rPr>
          <w:sz w:val="22"/>
          <w:szCs w:val="22"/>
        </w:rPr>
        <w:t>e.g.</w:t>
      </w:r>
      <w:proofErr w:type="gramEnd"/>
      <w:r>
        <w:rPr>
          <w:sz w:val="22"/>
          <w:szCs w:val="22"/>
        </w:rPr>
        <w:t xml:space="preserve"> PACE, Code of Ethics, NDM, use of BWV) aimed at reducing misconduct and malpractice by police officers. How might these increase public confidence in police? </w:t>
      </w:r>
    </w:p>
    <w:p w14:paraId="7821545A" w14:textId="77777777" w:rsidR="00893FB1" w:rsidRDefault="00893FB1" w:rsidP="00893FB1">
      <w:pPr>
        <w:pStyle w:val="Default"/>
        <w:rPr>
          <w:sz w:val="22"/>
          <w:szCs w:val="22"/>
        </w:rPr>
      </w:pPr>
      <w:r>
        <w:rPr>
          <w:sz w:val="22"/>
          <w:szCs w:val="22"/>
        </w:rPr>
        <w:t xml:space="preserve">Support your answer with relevant evidence drawn from academic sources. </w:t>
      </w:r>
    </w:p>
    <w:p w14:paraId="31ADF057" w14:textId="77777777" w:rsidR="00893FB1" w:rsidRDefault="00893FB1" w:rsidP="00893FB1">
      <w:pPr>
        <w:pStyle w:val="Default"/>
        <w:rPr>
          <w:sz w:val="22"/>
          <w:szCs w:val="22"/>
        </w:rPr>
      </w:pPr>
      <w:r>
        <w:rPr>
          <w:sz w:val="22"/>
          <w:szCs w:val="22"/>
        </w:rPr>
        <w:t xml:space="preserve">NB – to </w:t>
      </w:r>
      <w:r>
        <w:rPr>
          <w:i/>
          <w:iCs/>
          <w:sz w:val="22"/>
          <w:szCs w:val="22"/>
        </w:rPr>
        <w:t xml:space="preserve">critically examine </w:t>
      </w:r>
      <w:r>
        <w:rPr>
          <w:sz w:val="22"/>
          <w:szCs w:val="22"/>
        </w:rPr>
        <w:t xml:space="preserve">is to give a balanced answer that points out weaknesses as well as favourable aspects of the topic in question. </w:t>
      </w:r>
    </w:p>
    <w:p w14:paraId="3A02B848" w14:textId="1F440813" w:rsidR="00893FB1" w:rsidRDefault="00893FB1" w:rsidP="00893FB1">
      <w:pPr>
        <w:rPr>
          <w:rFonts w:cstheme="minorHAnsi"/>
        </w:rPr>
      </w:pPr>
      <w:r>
        <w:rPr>
          <w:b/>
          <w:bCs/>
        </w:rPr>
        <w:t xml:space="preserve">Word limit: </w:t>
      </w:r>
      <w:r>
        <w:t>1000 words.</w:t>
      </w:r>
    </w:p>
    <w:p w14:paraId="7C8542C9" w14:textId="77777777" w:rsidR="00893FB1" w:rsidRDefault="00893FB1" w:rsidP="00893FB1">
      <w:pPr>
        <w:rPr>
          <w:rFonts w:cstheme="minorHAnsi"/>
        </w:rPr>
      </w:pPr>
    </w:p>
    <w:p w14:paraId="421BC213" w14:textId="68FFD7B2" w:rsidR="00893FB1" w:rsidRPr="003F3BEE" w:rsidRDefault="00893FB1" w:rsidP="00893FB1">
      <w:pPr>
        <w:rPr>
          <w:rFonts w:cstheme="minorHAnsi"/>
          <w:sz w:val="24"/>
          <w:szCs w:val="24"/>
        </w:rPr>
      </w:pPr>
      <w:r w:rsidRPr="003F3BEE">
        <w:rPr>
          <w:rFonts w:cstheme="minorHAnsi"/>
          <w:sz w:val="24"/>
          <w:szCs w:val="24"/>
        </w:rPr>
        <w:t>Professional standards in policing have become a topic of increased cultural and societal relevance in recent years. Increasing transparency within organisational culture within the police, and a growing appetite from the public to hold the police to account has resulted in a shift in public confidence and perception. Within this essay I will aim to critically examine the policies and procedure which have been adopted by police to examine their effectiveness at reducing misconduct and malpractice by police officers, and the wider effect that this has on public confidence in policing.</w:t>
      </w:r>
    </w:p>
    <w:p w14:paraId="3DF11B0F" w14:textId="18CA2828" w:rsidR="00893FB1" w:rsidRPr="003F3BEE" w:rsidRDefault="00893FB1" w:rsidP="00893FB1">
      <w:pPr>
        <w:rPr>
          <w:rFonts w:cstheme="minorHAnsi"/>
          <w:sz w:val="24"/>
          <w:szCs w:val="24"/>
        </w:rPr>
      </w:pPr>
      <w:r w:rsidRPr="003F3BEE">
        <w:rPr>
          <w:rFonts w:cstheme="minorHAnsi"/>
          <w:sz w:val="24"/>
          <w:szCs w:val="24"/>
        </w:rPr>
        <w:t>The British police system is firmly rooted in the fundamental principle of policing by consent (</w:t>
      </w:r>
      <w:r w:rsidRPr="003F3BEE">
        <w:rPr>
          <w:rFonts w:cstheme="minorHAnsi"/>
          <w:sz w:val="24"/>
          <w:szCs w:val="24"/>
          <w:shd w:val="clear" w:color="auto" w:fill="FFFFFF"/>
        </w:rPr>
        <w:t xml:space="preserve">Oxford, 1984). </w:t>
      </w:r>
      <w:r w:rsidRPr="003F3BEE">
        <w:rPr>
          <w:rFonts w:cstheme="minorHAnsi"/>
          <w:sz w:val="24"/>
          <w:szCs w:val="24"/>
        </w:rPr>
        <w:t xml:space="preserve">However, in recent years, there has been a marked decline in public confidence in policing. Whilst the British police have historically benefitted from high levels of confidence from the public, recent high-profile events have affected the level of trust and confidence significantly. For example, following the murder of Sarah Everard by a then serving Metropolitan Police Officer Wayne Cousens, statistics indicated that more people had lost confidence in the police, compared to those who retained their overall confidence (Farrow, 2022). In a recent IOPC annual report, the overall confidence statistic for 2022/2023 fell for a second consecutive year from 41% to 39% (IPOC, 2023). This supports the argument that further work is necessary to reverse the declining trend in public confidence. </w:t>
      </w:r>
    </w:p>
    <w:p w14:paraId="65A7E537" w14:textId="73748508" w:rsidR="00893FB1" w:rsidRPr="003F3BEE" w:rsidRDefault="00893FB1" w:rsidP="00893FB1">
      <w:pPr>
        <w:rPr>
          <w:rFonts w:cstheme="minorHAnsi"/>
          <w:color w:val="000000" w:themeColor="text1"/>
          <w:sz w:val="24"/>
          <w:szCs w:val="24"/>
        </w:rPr>
      </w:pPr>
      <w:r w:rsidRPr="003F3BEE">
        <w:rPr>
          <w:rFonts w:cstheme="minorHAnsi"/>
          <w:sz w:val="24"/>
          <w:szCs w:val="24"/>
        </w:rPr>
        <w:t>Public confidence in policing has long been a dynamic and unstable metric, often affected by significant cultural events. In 1984, the Police and Criminal Evidence Act was introduced (</w:t>
      </w:r>
      <w:r w:rsidRPr="003F3BEE">
        <w:rPr>
          <w:rFonts w:cstheme="minorHAnsi"/>
          <w:color w:val="1E1E1E"/>
          <w:sz w:val="24"/>
          <w:szCs w:val="24"/>
          <w:shd w:val="clear" w:color="auto" w:fill="FFFFFF"/>
        </w:rPr>
        <w:t>Legislation.gov.uk).</w:t>
      </w:r>
      <w:r w:rsidRPr="003F3BEE">
        <w:rPr>
          <w:rFonts w:cstheme="minorHAnsi"/>
          <w:b/>
          <w:bCs/>
          <w:sz w:val="24"/>
          <w:szCs w:val="24"/>
        </w:rPr>
        <w:t xml:space="preserve"> </w:t>
      </w:r>
      <w:r w:rsidRPr="003F3BEE">
        <w:rPr>
          <w:rFonts w:cstheme="minorHAnsi"/>
          <w:sz w:val="24"/>
          <w:szCs w:val="24"/>
        </w:rPr>
        <w:t>This significant piece of legislation was introduced following several high-profile events, one of which being the Brixton Riots. This resulted in the Scarman report which informed the legislation that came to be PACE (</w:t>
      </w:r>
      <w:r w:rsidRPr="003F3BEE">
        <w:rPr>
          <w:rFonts w:cstheme="minorHAnsi"/>
          <w:sz w:val="24"/>
          <w:szCs w:val="24"/>
          <w:shd w:val="clear" w:color="auto" w:fill="FFFFFF"/>
        </w:rPr>
        <w:t xml:space="preserve">Taylor, 1984). PACE reformed the legislative framework for police in England and Wales and set clear and concise guidelines around police powers and suspects rights </w:t>
      </w:r>
      <w:r w:rsidRPr="003F3BEE">
        <w:rPr>
          <w:rFonts w:cstheme="minorHAnsi"/>
          <w:color w:val="000000" w:themeColor="text1"/>
          <w:sz w:val="24"/>
          <w:szCs w:val="24"/>
          <w:shd w:val="clear" w:color="auto" w:fill="FFFFFF"/>
        </w:rPr>
        <w:t>(</w:t>
      </w:r>
      <w:r w:rsidRPr="003F3BEE">
        <w:rPr>
          <w:rFonts w:cstheme="minorHAnsi"/>
          <w:color w:val="000000" w:themeColor="text1"/>
          <w:sz w:val="24"/>
          <w:szCs w:val="24"/>
        </w:rPr>
        <w:t>Dixon, 1992). There was a feeling that new legislation was required to respond to growing mistrust and confidence in policing. “PACE was introduced due to a growing perception that the public had lost all confidence in the criminal justice system” (Walker, Starmer, 2004).</w:t>
      </w:r>
    </w:p>
    <w:p w14:paraId="751155DB" w14:textId="025A33E1" w:rsidR="00893FB1" w:rsidRPr="003F3BEE" w:rsidRDefault="00893FB1" w:rsidP="00893FB1">
      <w:pPr>
        <w:rPr>
          <w:rFonts w:cstheme="minorHAnsi"/>
          <w:color w:val="000000" w:themeColor="text1"/>
          <w:sz w:val="24"/>
          <w:szCs w:val="24"/>
          <w:shd w:val="clear" w:color="auto" w:fill="FFFFFF"/>
        </w:rPr>
      </w:pPr>
      <w:r w:rsidRPr="003F3BEE">
        <w:rPr>
          <w:rFonts w:cstheme="minorHAnsi"/>
          <w:color w:val="000000" w:themeColor="text1"/>
          <w:sz w:val="24"/>
          <w:szCs w:val="24"/>
        </w:rPr>
        <w:t>There were initial concerns relayed by frontline officers regarding the long-term effects that PACE would have on policing. Officers indicated that there were already signs that the legislation would have harmful effects of staff morale, and that the legislation would reduce the effectiveness of police in dealing with crime (</w:t>
      </w:r>
      <w:r w:rsidRPr="003F3BEE">
        <w:rPr>
          <w:rFonts w:cstheme="minorHAnsi"/>
          <w:color w:val="000000" w:themeColor="text1"/>
          <w:sz w:val="24"/>
          <w:szCs w:val="24"/>
          <w:shd w:val="clear" w:color="auto" w:fill="FFFFFF"/>
        </w:rPr>
        <w:t>Maguire, 1988). The standardisation of police procedures and operational policy appears to have had a largely positive effect on policing and public confidence due to clearly defined policy on stop and search and the treatment of detainees.</w:t>
      </w:r>
    </w:p>
    <w:p w14:paraId="35179B76" w14:textId="189E5A02" w:rsidR="00893FB1" w:rsidRPr="003F3BEE" w:rsidRDefault="00893FB1" w:rsidP="00893FB1">
      <w:pPr>
        <w:rPr>
          <w:rFonts w:cstheme="minorHAnsi"/>
          <w:color w:val="000000" w:themeColor="text1"/>
          <w:sz w:val="24"/>
          <w:szCs w:val="24"/>
          <w:shd w:val="clear" w:color="auto" w:fill="FFFFFF"/>
        </w:rPr>
      </w:pPr>
      <w:r w:rsidRPr="003F3BEE">
        <w:rPr>
          <w:rFonts w:cstheme="minorHAnsi"/>
          <w:color w:val="000000" w:themeColor="text1"/>
          <w:sz w:val="24"/>
          <w:szCs w:val="24"/>
          <w:shd w:val="clear" w:color="auto" w:fill="FFFFFF"/>
        </w:rPr>
        <w:lastRenderedPageBreak/>
        <w:t>Police forces in England and Wales have introduced organisational guidance and policies throughout the years to improve professional standards in policing. One the core policies that forces have underpinned their organisational practices on, is the code of ethics. Police officers’ decisions can raise complex issues of ethics since they affect members of the public during challenging moments in their lives. The Code of ethics are guiding principles which enables officers to do the right thing, at the right time for the right reasons (College of Policing, 2024). The guidance in question has been amended as recently as January 2024, to streamline and simplify the guidelines for officers, allowing them to better understand what is expected of them daily. Professions are often guided by a code of ethics to enable them to maintain high standards of conduct (</w:t>
      </w:r>
      <w:proofErr w:type="spellStart"/>
      <w:r w:rsidRPr="003F3BEE">
        <w:rPr>
          <w:rFonts w:cstheme="minorHAnsi"/>
          <w:color w:val="000000" w:themeColor="text1"/>
          <w:sz w:val="24"/>
          <w:szCs w:val="24"/>
          <w:shd w:val="clear" w:color="auto" w:fill="FFFFFF"/>
        </w:rPr>
        <w:t>Mouhanna</w:t>
      </w:r>
      <w:proofErr w:type="spellEnd"/>
      <w:r w:rsidRPr="003F3BEE">
        <w:rPr>
          <w:rFonts w:cstheme="minorHAnsi"/>
          <w:color w:val="000000" w:themeColor="text1"/>
          <w:sz w:val="24"/>
          <w:szCs w:val="24"/>
          <w:shd w:val="clear" w:color="auto" w:fill="FFFFFF"/>
        </w:rPr>
        <w:t>, 2017).</w:t>
      </w:r>
    </w:p>
    <w:p w14:paraId="65B3BCBB" w14:textId="4AC4D8D5" w:rsidR="00893FB1" w:rsidRPr="003F3BEE" w:rsidRDefault="00893FB1" w:rsidP="00893FB1">
      <w:pPr>
        <w:rPr>
          <w:rFonts w:cstheme="minorHAnsi"/>
          <w:color w:val="212121"/>
          <w:sz w:val="24"/>
          <w:szCs w:val="24"/>
          <w:shd w:val="clear" w:color="auto" w:fill="FFFFFF"/>
        </w:rPr>
      </w:pPr>
      <w:r w:rsidRPr="003F3BEE">
        <w:rPr>
          <w:sz w:val="24"/>
          <w:szCs w:val="24"/>
        </w:rPr>
        <w:t xml:space="preserve">In the last decade, police forces have adopted a more widespread use of body worn cameras. </w:t>
      </w:r>
      <w:r w:rsidRPr="003F3BEE">
        <w:rPr>
          <w:rFonts w:cstheme="minorHAnsi"/>
          <w:color w:val="212121"/>
          <w:sz w:val="24"/>
          <w:szCs w:val="24"/>
          <w:shd w:val="clear" w:color="auto" w:fill="FFFFFF"/>
        </w:rPr>
        <w:t xml:space="preserve">Body worn cameras have gained a large amount of support from community groups and members of the public, in the hope that the technology would help to deter misconduct and better capture use of force events and increase transparency. (Lum, 2019). Police use of force incidents continue to be one of the primary concerns for citizens. Many police complaints relate to police use of force and despite many uses of force events being justified, it nonetheless can tarnish the relationship with the community (Arial, 2015). Although it appears that use of BWV does correlate with a decrease in complaints from the public, with a 0.7 complaints per 1000 incidents dropping to 0.07 complaints per 1000 incidents where BWV was utilised (Arial, 2015), It does not appear that the use of BWV has a substantial </w:t>
      </w:r>
      <w:r w:rsidRPr="003F3BEE">
        <w:rPr>
          <w:rFonts w:cstheme="minorHAnsi"/>
          <w:color w:val="212121"/>
          <w:sz w:val="24"/>
          <w:szCs w:val="24"/>
          <w:shd w:val="clear" w:color="auto" w:fill="FFFFFF"/>
        </w:rPr>
        <w:t>effect</w:t>
      </w:r>
      <w:r w:rsidRPr="003F3BEE">
        <w:rPr>
          <w:rFonts w:cstheme="minorHAnsi"/>
          <w:color w:val="212121"/>
          <w:sz w:val="24"/>
          <w:szCs w:val="24"/>
          <w:shd w:val="clear" w:color="auto" w:fill="FFFFFF"/>
        </w:rPr>
        <w:t xml:space="preserve"> on officers use of force, or arrest activities, nor does it have a significant impact on citizens reporting to police or assaulting police. (Lum, 2019). </w:t>
      </w:r>
    </w:p>
    <w:p w14:paraId="3B5C3AFC" w14:textId="50E41046" w:rsidR="00893FB1" w:rsidRPr="003F3BEE" w:rsidRDefault="00893FB1" w:rsidP="00893FB1">
      <w:pPr>
        <w:rPr>
          <w:sz w:val="24"/>
          <w:szCs w:val="24"/>
        </w:rPr>
      </w:pPr>
      <w:r w:rsidRPr="003F3BEE">
        <w:rPr>
          <w:sz w:val="24"/>
          <w:szCs w:val="24"/>
        </w:rPr>
        <w:t>The NDM is another operational guideline that police forces in England and Wales utilise to assist their officers in making ethical, defensible decisions. Police officers are ultimately held accountable for their actions and the notions of legitimacy and public confidence are integral to this accountability, therefore it is imperative that officers’ decisions are impartial, and their decision making is ethical (Edwards, 2012). The NDM has 6 key elements that support officers’ decision making and enables officers to keep in mind that the overarching mission is to act with integrity and to protect and serve the public (College of Policing, 2013).</w:t>
      </w:r>
    </w:p>
    <w:p w14:paraId="5C4FA259" w14:textId="77777777" w:rsidR="00893FB1" w:rsidRPr="003F3BEE" w:rsidRDefault="00893FB1" w:rsidP="00893FB1">
      <w:pPr>
        <w:rPr>
          <w:sz w:val="24"/>
          <w:szCs w:val="24"/>
        </w:rPr>
      </w:pPr>
      <w:r w:rsidRPr="003F3BEE">
        <w:rPr>
          <w:sz w:val="24"/>
          <w:szCs w:val="24"/>
        </w:rPr>
        <w:t>In conclusion, it is of fundamental importance that professional standards in policing are held to the highest possible standard, if public confidence and trust is to be maintained and increased. Police forces have improved in their operational transparency and have provided tools and guidance to assist officers to make ethical and defensible decisions which stand up to public scrutiny and build confidence in the police force. Despite this, the statistics indicate that the trend in public confidence is continuing to fall. Policing by consent is the foundational principle that British policing is built on. However, increasing pressures on police services and high-profile scandals in recent times has meant that more work is required for the police to continue to operate with the publics consent.</w:t>
      </w:r>
    </w:p>
    <w:p w14:paraId="3AE404C6" w14:textId="787068A7" w:rsidR="00893FB1" w:rsidRDefault="00893FB1" w:rsidP="003F3BEE">
      <w:pPr>
        <w:rPr>
          <w:b/>
          <w:bCs/>
        </w:rPr>
      </w:pPr>
      <w:r w:rsidRPr="00893FB1">
        <w:rPr>
          <w:b/>
          <w:bCs/>
        </w:rPr>
        <w:t xml:space="preserve">Word Count – </w:t>
      </w:r>
      <w:r w:rsidR="003F3BEE">
        <w:rPr>
          <w:b/>
          <w:bCs/>
        </w:rPr>
        <w:t>996</w:t>
      </w:r>
    </w:p>
    <w:p w14:paraId="1A100D9E" w14:textId="1BFC58B6" w:rsidR="00893FB1" w:rsidRDefault="00893FB1" w:rsidP="00893FB1">
      <w:pPr>
        <w:pStyle w:val="Default"/>
        <w:rPr>
          <w:sz w:val="22"/>
          <w:szCs w:val="22"/>
        </w:rPr>
      </w:pPr>
      <w:r>
        <w:rPr>
          <w:b/>
          <w:bCs/>
          <w:sz w:val="22"/>
          <w:szCs w:val="22"/>
        </w:rPr>
        <w:t xml:space="preserve">Essay two – Public Protection </w:t>
      </w:r>
    </w:p>
    <w:p w14:paraId="74E73811" w14:textId="77777777" w:rsidR="00893FB1" w:rsidRDefault="00893FB1" w:rsidP="00893FB1">
      <w:pPr>
        <w:pStyle w:val="Default"/>
        <w:rPr>
          <w:sz w:val="22"/>
          <w:szCs w:val="22"/>
        </w:rPr>
      </w:pPr>
      <w:r>
        <w:rPr>
          <w:sz w:val="22"/>
          <w:szCs w:val="22"/>
        </w:rPr>
        <w:t xml:space="preserve">What characteristics (socio-economic, psychological etc.) can make a person vulnerable to exploitation to criminal gangs? </w:t>
      </w:r>
    </w:p>
    <w:p w14:paraId="655EE3ED" w14:textId="77777777" w:rsidR="00893FB1" w:rsidRDefault="00893FB1" w:rsidP="00893FB1">
      <w:pPr>
        <w:pStyle w:val="Default"/>
        <w:rPr>
          <w:sz w:val="22"/>
          <w:szCs w:val="22"/>
        </w:rPr>
      </w:pPr>
      <w:r>
        <w:rPr>
          <w:sz w:val="22"/>
          <w:szCs w:val="22"/>
        </w:rPr>
        <w:t xml:space="preserve">Your answer must be based on academic research. </w:t>
      </w:r>
    </w:p>
    <w:p w14:paraId="47AB5096" w14:textId="045AEFC4" w:rsidR="00893FB1" w:rsidRDefault="00893FB1" w:rsidP="00893FB1">
      <w:r>
        <w:rPr>
          <w:b/>
          <w:bCs/>
        </w:rPr>
        <w:t xml:space="preserve">Word limit: </w:t>
      </w:r>
      <w:r>
        <w:t>1000 words.</w:t>
      </w:r>
    </w:p>
    <w:p w14:paraId="5AFC593A" w14:textId="77777777" w:rsidR="00893FB1" w:rsidRDefault="00893FB1" w:rsidP="00893FB1"/>
    <w:p w14:paraId="024ECEC6" w14:textId="77777777" w:rsidR="00893FB1" w:rsidRPr="003F3BEE" w:rsidRDefault="00893FB1" w:rsidP="00893FB1">
      <w:pPr>
        <w:rPr>
          <w:rFonts w:cstheme="minorHAnsi"/>
          <w:sz w:val="24"/>
          <w:szCs w:val="24"/>
        </w:rPr>
      </w:pPr>
      <w:r w:rsidRPr="003F3BEE">
        <w:rPr>
          <w:rFonts w:cstheme="minorHAnsi"/>
          <w:sz w:val="24"/>
          <w:szCs w:val="24"/>
        </w:rPr>
        <w:t>There are many socio-economic and psychological factors that may determine a person’s vulnerability and risk of being exploited by criminal gangs. “a person is vulnerable if, as a result of their situation or circumstances, they are unable to take care of or protect themselves or others from harm or exploitation” (College of policing, 2021). Policing plays a vital role in protecting people with vulnerabilities that make them more susceptible to crime. Offenders will target people with specific vulnerabilities such as those with poor mental health, those who are isolated, and those who suffer with substance dependency, as they know that they will be easier to groom and manipulate (College of Policing, 2021).</w:t>
      </w:r>
    </w:p>
    <w:p w14:paraId="245F3B2D" w14:textId="69378B3A" w:rsidR="00893FB1" w:rsidRPr="003F3BEE" w:rsidRDefault="00893FB1" w:rsidP="00893FB1">
      <w:pPr>
        <w:rPr>
          <w:rFonts w:cstheme="minorHAnsi"/>
          <w:color w:val="000000" w:themeColor="text1"/>
          <w:sz w:val="24"/>
          <w:szCs w:val="24"/>
          <w:shd w:val="clear" w:color="auto" w:fill="FFFFFF"/>
        </w:rPr>
      </w:pPr>
      <w:r w:rsidRPr="003F3BEE">
        <w:rPr>
          <w:rFonts w:cstheme="minorHAnsi"/>
          <w:sz w:val="24"/>
          <w:szCs w:val="24"/>
          <w:shd w:val="clear" w:color="auto" w:fill="FFFFFF"/>
        </w:rPr>
        <w:t>Child criminal exploitation has become an increasingly prioritised area of concern across many different agencies and jurisdictions (</w:t>
      </w:r>
      <w:proofErr w:type="spellStart"/>
      <w:r w:rsidRPr="003F3BEE">
        <w:rPr>
          <w:rFonts w:cstheme="minorHAnsi"/>
          <w:sz w:val="24"/>
          <w:szCs w:val="24"/>
          <w:shd w:val="clear" w:color="auto" w:fill="FFFFFF"/>
        </w:rPr>
        <w:t>Baidawi</w:t>
      </w:r>
      <w:proofErr w:type="spellEnd"/>
      <w:r w:rsidRPr="003F3BEE">
        <w:rPr>
          <w:rFonts w:cstheme="minorHAnsi"/>
          <w:sz w:val="24"/>
          <w:szCs w:val="24"/>
          <w:shd w:val="clear" w:color="auto" w:fill="FFFFFF"/>
        </w:rPr>
        <w:t>, Sheehan, Flynn, 2020). There are many factors which contribute to a child’s vulnerability, such as minimal life experience and a lower understanding of risk. Children that are housed in residential care, those who are neurodivergent, and those who are involved in the youth justice system are also at a higher risk of criminal exploitation (</w:t>
      </w:r>
      <w:proofErr w:type="spellStart"/>
      <w:r w:rsidRPr="003F3BEE">
        <w:rPr>
          <w:rFonts w:cstheme="minorHAnsi"/>
          <w:sz w:val="24"/>
          <w:szCs w:val="24"/>
          <w:shd w:val="clear" w:color="auto" w:fill="FFFFFF"/>
        </w:rPr>
        <w:t>Baidawi</w:t>
      </w:r>
      <w:proofErr w:type="spellEnd"/>
      <w:r w:rsidRPr="003F3BEE">
        <w:rPr>
          <w:rFonts w:cstheme="minorHAnsi"/>
          <w:sz w:val="24"/>
          <w:szCs w:val="24"/>
          <w:shd w:val="clear" w:color="auto" w:fill="FFFFFF"/>
        </w:rPr>
        <w:t>, Sheehan, Flynn, 2020). One of the most prevalent forms of child criminal exploitation is the emergence of ‘County Lines’. County Lines is the criminal activity of commuting gang members between major cities and small rural and urban areas to facilitate the distribution of drugs (</w:t>
      </w:r>
      <w:r w:rsidRPr="003F3BEE">
        <w:rPr>
          <w:rFonts w:cstheme="minorHAnsi"/>
          <w:color w:val="000000" w:themeColor="text1"/>
          <w:sz w:val="24"/>
          <w:szCs w:val="24"/>
          <w:shd w:val="clear" w:color="auto" w:fill="FFFFFF"/>
        </w:rPr>
        <w:t xml:space="preserve">Robinson, McLean, </w:t>
      </w:r>
      <w:proofErr w:type="spellStart"/>
      <w:r w:rsidRPr="003F3BEE">
        <w:rPr>
          <w:rFonts w:cstheme="minorHAnsi"/>
          <w:color w:val="000000" w:themeColor="text1"/>
          <w:sz w:val="24"/>
          <w:szCs w:val="24"/>
          <w:shd w:val="clear" w:color="auto" w:fill="FFFFFF"/>
        </w:rPr>
        <w:t>Densley</w:t>
      </w:r>
      <w:proofErr w:type="spellEnd"/>
      <w:r w:rsidRPr="003F3BEE">
        <w:rPr>
          <w:rFonts w:cstheme="minorHAnsi"/>
          <w:color w:val="000000" w:themeColor="text1"/>
          <w:sz w:val="24"/>
          <w:szCs w:val="24"/>
          <w:shd w:val="clear" w:color="auto" w:fill="FFFFFF"/>
        </w:rPr>
        <w:t>, 2019). Many children are criminally exploited as a direct result of their vulnerability. Addressing vulnerabilities and the specific complex needs of the individual child is vital to prevent such exploitation occurring (</w:t>
      </w:r>
      <w:proofErr w:type="spellStart"/>
      <w:r w:rsidRPr="003F3BEE">
        <w:rPr>
          <w:rFonts w:cstheme="minorHAnsi"/>
          <w:color w:val="000000" w:themeColor="text1"/>
          <w:sz w:val="24"/>
          <w:szCs w:val="24"/>
          <w:shd w:val="clear" w:color="auto" w:fill="FFFFFF"/>
        </w:rPr>
        <w:t>Olver</w:t>
      </w:r>
      <w:proofErr w:type="spellEnd"/>
      <w:r w:rsidRPr="003F3BEE">
        <w:rPr>
          <w:rFonts w:cstheme="minorHAnsi"/>
          <w:color w:val="000000" w:themeColor="text1"/>
          <w:sz w:val="24"/>
          <w:szCs w:val="24"/>
          <w:shd w:val="clear" w:color="auto" w:fill="FFFFFF"/>
        </w:rPr>
        <w:t xml:space="preserve">, </w:t>
      </w:r>
      <w:proofErr w:type="spellStart"/>
      <w:r w:rsidRPr="003F3BEE">
        <w:rPr>
          <w:rFonts w:cstheme="minorHAnsi"/>
          <w:color w:val="000000" w:themeColor="text1"/>
          <w:sz w:val="24"/>
          <w:szCs w:val="24"/>
          <w:shd w:val="clear" w:color="auto" w:fill="FFFFFF"/>
        </w:rPr>
        <w:t>Cockbain</w:t>
      </w:r>
      <w:proofErr w:type="spellEnd"/>
      <w:r w:rsidRPr="003F3BEE">
        <w:rPr>
          <w:rFonts w:cstheme="minorHAnsi"/>
          <w:color w:val="000000" w:themeColor="text1"/>
          <w:sz w:val="24"/>
          <w:szCs w:val="24"/>
          <w:shd w:val="clear" w:color="auto" w:fill="FFFFFF"/>
        </w:rPr>
        <w:t>, 2021). There is a complex dynamic link between offending and victimisation of children. Whilst there is an element of individual agency, that agency is offset by the obvious power imbalance and heavily constrained choices that they are required to make (</w:t>
      </w:r>
      <w:proofErr w:type="spellStart"/>
      <w:r w:rsidRPr="003F3BEE">
        <w:rPr>
          <w:rFonts w:cstheme="minorHAnsi"/>
          <w:color w:val="000000" w:themeColor="text1"/>
          <w:sz w:val="24"/>
          <w:szCs w:val="24"/>
          <w:shd w:val="clear" w:color="auto" w:fill="FFFFFF"/>
        </w:rPr>
        <w:t>Olver</w:t>
      </w:r>
      <w:proofErr w:type="spellEnd"/>
      <w:r w:rsidRPr="003F3BEE">
        <w:rPr>
          <w:rFonts w:cstheme="minorHAnsi"/>
          <w:color w:val="000000" w:themeColor="text1"/>
          <w:sz w:val="24"/>
          <w:szCs w:val="24"/>
          <w:shd w:val="clear" w:color="auto" w:fill="FFFFFF"/>
        </w:rPr>
        <w:t>,</w:t>
      </w:r>
      <w:r w:rsidR="006F10D2">
        <w:rPr>
          <w:rFonts w:cstheme="minorHAnsi"/>
          <w:color w:val="000000" w:themeColor="text1"/>
          <w:sz w:val="24"/>
          <w:szCs w:val="24"/>
          <w:shd w:val="clear" w:color="auto" w:fill="FFFFFF"/>
        </w:rPr>
        <w:t xml:space="preserve"> </w:t>
      </w:r>
      <w:proofErr w:type="spellStart"/>
      <w:r w:rsidRPr="003F3BEE">
        <w:rPr>
          <w:rFonts w:cstheme="minorHAnsi"/>
          <w:color w:val="000000" w:themeColor="text1"/>
          <w:sz w:val="24"/>
          <w:szCs w:val="24"/>
          <w:shd w:val="clear" w:color="auto" w:fill="FFFFFF"/>
        </w:rPr>
        <w:t>Cockbain</w:t>
      </w:r>
      <w:proofErr w:type="spellEnd"/>
      <w:r w:rsidRPr="003F3BEE">
        <w:rPr>
          <w:rFonts w:cstheme="minorHAnsi"/>
          <w:color w:val="000000" w:themeColor="text1"/>
          <w:sz w:val="24"/>
          <w:szCs w:val="24"/>
          <w:shd w:val="clear" w:color="auto" w:fill="FFFFFF"/>
        </w:rPr>
        <w:t>, 2021).</w:t>
      </w:r>
    </w:p>
    <w:p w14:paraId="746DFE7F" w14:textId="35555E59" w:rsidR="00893FB1" w:rsidRPr="003F3BEE" w:rsidRDefault="00893FB1" w:rsidP="00893FB1">
      <w:pPr>
        <w:rPr>
          <w:rFonts w:cstheme="minorHAnsi"/>
          <w:color w:val="222222"/>
          <w:sz w:val="24"/>
          <w:szCs w:val="24"/>
          <w:shd w:val="clear" w:color="auto" w:fill="FFFFFF"/>
        </w:rPr>
      </w:pPr>
      <w:r w:rsidRPr="003F3BEE">
        <w:rPr>
          <w:rFonts w:cstheme="minorHAnsi"/>
          <w:color w:val="000000" w:themeColor="text1"/>
          <w:sz w:val="24"/>
          <w:szCs w:val="24"/>
          <w:shd w:val="clear" w:color="auto" w:fill="FFFFFF"/>
        </w:rPr>
        <w:t>One of the more widely accepted vulnerability markers for those who are more susceptible to crime is the ACE’s theory. The Adverse Childhood Experiences study was an epidemiological investigation of the long-term impacts that childhood trauma has on adult health outcomes (</w:t>
      </w:r>
      <w:proofErr w:type="spellStart"/>
      <w:r w:rsidRPr="003F3BEE">
        <w:rPr>
          <w:rFonts w:cstheme="minorHAnsi"/>
          <w:color w:val="000000" w:themeColor="text1"/>
          <w:sz w:val="24"/>
          <w:szCs w:val="24"/>
          <w:shd w:val="clear" w:color="auto" w:fill="FFFFFF"/>
        </w:rPr>
        <w:t>Felitti</w:t>
      </w:r>
      <w:proofErr w:type="spellEnd"/>
      <w:r w:rsidRPr="003F3BEE">
        <w:rPr>
          <w:rFonts w:cstheme="minorHAnsi"/>
          <w:color w:val="000000" w:themeColor="text1"/>
          <w:sz w:val="24"/>
          <w:szCs w:val="24"/>
          <w:shd w:val="clear" w:color="auto" w:fill="FFFFFF"/>
        </w:rPr>
        <w:t xml:space="preserve"> et al, 1998). (</w:t>
      </w:r>
      <w:proofErr w:type="spellStart"/>
      <w:r w:rsidRPr="003F3BEE">
        <w:rPr>
          <w:rFonts w:cstheme="minorHAnsi"/>
          <w:color w:val="222222"/>
          <w:sz w:val="24"/>
          <w:szCs w:val="24"/>
          <w:shd w:val="clear" w:color="auto" w:fill="FFFFFF"/>
        </w:rPr>
        <w:t>Boullier</w:t>
      </w:r>
      <w:proofErr w:type="spellEnd"/>
      <w:r w:rsidRPr="003F3BEE">
        <w:rPr>
          <w:rFonts w:cstheme="minorHAnsi"/>
          <w:color w:val="222222"/>
          <w:sz w:val="24"/>
          <w:szCs w:val="24"/>
          <w:shd w:val="clear" w:color="auto" w:fill="FFFFFF"/>
        </w:rPr>
        <w:t xml:space="preserve">, Blair, 2018) state that those who have experienced four or more ACES are at significantly higher risk of developing chronic disease, mental </w:t>
      </w:r>
      <w:proofErr w:type="gramStart"/>
      <w:r w:rsidRPr="003F3BEE">
        <w:rPr>
          <w:rFonts w:cstheme="minorHAnsi"/>
          <w:color w:val="222222"/>
          <w:sz w:val="24"/>
          <w:szCs w:val="24"/>
          <w:shd w:val="clear" w:color="auto" w:fill="FFFFFF"/>
        </w:rPr>
        <w:t>illness</w:t>
      </w:r>
      <w:proofErr w:type="gramEnd"/>
      <w:r w:rsidRPr="003F3BEE">
        <w:rPr>
          <w:rFonts w:cstheme="minorHAnsi"/>
          <w:color w:val="222222"/>
          <w:sz w:val="24"/>
          <w:szCs w:val="24"/>
          <w:shd w:val="clear" w:color="auto" w:fill="FFFFFF"/>
        </w:rPr>
        <w:t xml:space="preserve"> and health risk behaviours. ACE’s have been found to be associated with a heightened risk of offending in later life (</w:t>
      </w:r>
      <w:proofErr w:type="spellStart"/>
      <w:r w:rsidRPr="003F3BEE">
        <w:rPr>
          <w:rFonts w:cstheme="minorHAnsi"/>
          <w:sz w:val="24"/>
          <w:szCs w:val="24"/>
          <w:shd w:val="clear" w:color="auto" w:fill="FFFFFF"/>
        </w:rPr>
        <w:t>Basto</w:t>
      </w:r>
      <w:proofErr w:type="spellEnd"/>
      <w:r w:rsidRPr="003F3BEE">
        <w:rPr>
          <w:rFonts w:cstheme="minorHAnsi"/>
          <w:sz w:val="24"/>
          <w:szCs w:val="24"/>
          <w:shd w:val="clear" w:color="auto" w:fill="FFFFFF"/>
        </w:rPr>
        <w:t>-Pereira, M., et al, 2022)</w:t>
      </w:r>
      <w:r w:rsidRPr="003F3BEE">
        <w:rPr>
          <w:rFonts w:cstheme="minorHAnsi"/>
          <w:color w:val="222222"/>
          <w:sz w:val="24"/>
          <w:szCs w:val="24"/>
          <w:shd w:val="clear" w:color="auto" w:fill="FFFFFF"/>
        </w:rPr>
        <w:t>. This indicates that those who have experienced ACES during their childhood, are more likely to become victims of criminal exploitation and engage in criminal activity of their own volition later in life. In terms of vulnerability and risk of exploitation, this is a significant indicator.</w:t>
      </w:r>
    </w:p>
    <w:p w14:paraId="53E11E9E" w14:textId="407FC494" w:rsidR="00893FB1" w:rsidRPr="003F3BEE" w:rsidRDefault="00893FB1" w:rsidP="00893FB1">
      <w:pPr>
        <w:rPr>
          <w:rFonts w:cstheme="minorHAnsi"/>
          <w:color w:val="000000" w:themeColor="text1"/>
          <w:sz w:val="24"/>
          <w:szCs w:val="24"/>
          <w:shd w:val="clear" w:color="auto" w:fill="FFFFFF"/>
        </w:rPr>
      </w:pPr>
      <w:r w:rsidRPr="003F3BEE">
        <w:rPr>
          <w:rFonts w:cstheme="minorHAnsi"/>
          <w:color w:val="000000" w:themeColor="text1"/>
          <w:sz w:val="24"/>
          <w:szCs w:val="24"/>
          <w:shd w:val="clear" w:color="auto" w:fill="FFFFFF"/>
        </w:rPr>
        <w:t>It has been found that socio-economic factors such as unemployment, and low educational attainment, play a significant role in determining the likelihood of an individual becoming a victim of crime or being a perpetrator of crime (</w:t>
      </w:r>
      <w:r w:rsidRPr="003F3BEE">
        <w:rPr>
          <w:rFonts w:cstheme="minorHAnsi"/>
          <w:color w:val="222222"/>
          <w:sz w:val="24"/>
          <w:szCs w:val="24"/>
          <w:shd w:val="clear" w:color="auto" w:fill="FFFFFF"/>
        </w:rPr>
        <w:t>Huang, C.C., Laing, D. and Wang, P., 2004)</w:t>
      </w:r>
      <w:r w:rsidRPr="003F3BEE">
        <w:rPr>
          <w:rFonts w:cstheme="minorHAnsi"/>
          <w:color w:val="000000" w:themeColor="text1"/>
          <w:sz w:val="24"/>
          <w:szCs w:val="24"/>
          <w:shd w:val="clear" w:color="auto" w:fill="FFFFFF"/>
        </w:rPr>
        <w:t>. Those who live in communities with economic hardship may find that they are stuck in a poverty trap in which economic stagnation leads to rising crime and vice versa (</w:t>
      </w:r>
      <w:proofErr w:type="spellStart"/>
      <w:r w:rsidRPr="003F3BEE">
        <w:rPr>
          <w:rFonts w:cstheme="minorHAnsi"/>
          <w:color w:val="222222"/>
          <w:sz w:val="24"/>
          <w:szCs w:val="24"/>
          <w:shd w:val="clear" w:color="auto" w:fill="FFFFFF"/>
        </w:rPr>
        <w:t>Mehlum</w:t>
      </w:r>
      <w:proofErr w:type="spellEnd"/>
      <w:r w:rsidRPr="003F3BEE">
        <w:rPr>
          <w:rFonts w:cstheme="minorHAnsi"/>
          <w:color w:val="222222"/>
          <w:sz w:val="24"/>
          <w:szCs w:val="24"/>
          <w:shd w:val="clear" w:color="auto" w:fill="FFFFFF"/>
        </w:rPr>
        <w:t>,</w:t>
      </w:r>
      <w:r w:rsidR="006F10D2">
        <w:rPr>
          <w:rFonts w:cstheme="minorHAnsi"/>
          <w:color w:val="222222"/>
          <w:sz w:val="24"/>
          <w:szCs w:val="24"/>
          <w:shd w:val="clear" w:color="auto" w:fill="FFFFFF"/>
        </w:rPr>
        <w:t xml:space="preserve"> </w:t>
      </w:r>
      <w:proofErr w:type="spellStart"/>
      <w:r w:rsidRPr="003F3BEE">
        <w:rPr>
          <w:rFonts w:cstheme="minorHAnsi"/>
          <w:color w:val="222222"/>
          <w:sz w:val="24"/>
          <w:szCs w:val="24"/>
          <w:shd w:val="clear" w:color="auto" w:fill="FFFFFF"/>
        </w:rPr>
        <w:t>Moene</w:t>
      </w:r>
      <w:proofErr w:type="spellEnd"/>
      <w:r w:rsidRPr="003F3BEE">
        <w:rPr>
          <w:rFonts w:cstheme="minorHAnsi"/>
          <w:color w:val="222222"/>
          <w:sz w:val="24"/>
          <w:szCs w:val="24"/>
          <w:shd w:val="clear" w:color="auto" w:fill="FFFFFF"/>
        </w:rPr>
        <w:t xml:space="preserve">, </w:t>
      </w:r>
      <w:proofErr w:type="spellStart"/>
      <w:r w:rsidRPr="003F3BEE">
        <w:rPr>
          <w:rFonts w:cstheme="minorHAnsi"/>
          <w:color w:val="222222"/>
          <w:sz w:val="24"/>
          <w:szCs w:val="24"/>
          <w:shd w:val="clear" w:color="auto" w:fill="FFFFFF"/>
        </w:rPr>
        <w:t>Torvik</w:t>
      </w:r>
      <w:proofErr w:type="spellEnd"/>
      <w:r w:rsidRPr="003F3BEE">
        <w:rPr>
          <w:rFonts w:cstheme="minorHAnsi"/>
          <w:color w:val="222222"/>
          <w:sz w:val="24"/>
          <w:szCs w:val="24"/>
          <w:shd w:val="clear" w:color="auto" w:fill="FFFFFF"/>
        </w:rPr>
        <w:t>, 2005</w:t>
      </w:r>
      <w:r w:rsidRPr="003F3BEE">
        <w:rPr>
          <w:rFonts w:cstheme="minorHAnsi"/>
          <w:color w:val="000000" w:themeColor="text1"/>
          <w:sz w:val="24"/>
          <w:szCs w:val="24"/>
          <w:shd w:val="clear" w:color="auto" w:fill="FFFFFF"/>
        </w:rPr>
        <w:t>). A poverty trap is a cycle which forces people to remain poor. It is a situation in which communities and individuals become stuck in extreme poverty whereby they are unable to break free of the cycle. (S, Hegde, 2019). It has long been the case that crime rates among the poor are almost always higher, and poor people are more likely to be arrested and convicted of a variety of different criminal offences (</w:t>
      </w:r>
      <w:r w:rsidRPr="003F3BEE">
        <w:rPr>
          <w:rFonts w:cstheme="minorHAnsi"/>
          <w:sz w:val="24"/>
          <w:szCs w:val="24"/>
          <w:shd w:val="clear" w:color="auto" w:fill="FFFFFF"/>
        </w:rPr>
        <w:t xml:space="preserve">Berk, </w:t>
      </w:r>
      <w:proofErr w:type="spellStart"/>
      <w:r w:rsidRPr="003F3BEE">
        <w:rPr>
          <w:rFonts w:cstheme="minorHAnsi"/>
          <w:sz w:val="24"/>
          <w:szCs w:val="24"/>
          <w:shd w:val="clear" w:color="auto" w:fill="FFFFFF"/>
        </w:rPr>
        <w:t>Lenihan</w:t>
      </w:r>
      <w:proofErr w:type="spellEnd"/>
      <w:r w:rsidRPr="003F3BEE">
        <w:rPr>
          <w:rFonts w:cstheme="minorHAnsi"/>
          <w:sz w:val="24"/>
          <w:szCs w:val="24"/>
          <w:shd w:val="clear" w:color="auto" w:fill="FFFFFF"/>
        </w:rPr>
        <w:t xml:space="preserve">, K.J, Rossi, </w:t>
      </w:r>
      <w:r w:rsidR="006F10D2">
        <w:rPr>
          <w:rFonts w:cstheme="minorHAnsi"/>
          <w:sz w:val="24"/>
          <w:szCs w:val="24"/>
          <w:shd w:val="clear" w:color="auto" w:fill="FFFFFF"/>
        </w:rPr>
        <w:t>et al</w:t>
      </w:r>
      <w:r w:rsidRPr="003F3BEE">
        <w:rPr>
          <w:rFonts w:cstheme="minorHAnsi"/>
          <w:sz w:val="24"/>
          <w:szCs w:val="24"/>
          <w:shd w:val="clear" w:color="auto" w:fill="FFFFFF"/>
        </w:rPr>
        <w:t xml:space="preserve"> 1980).</w:t>
      </w:r>
      <w:r w:rsidRPr="003F3BEE">
        <w:rPr>
          <w:rFonts w:cstheme="minorHAnsi"/>
          <w:color w:val="000000" w:themeColor="text1"/>
          <w:sz w:val="24"/>
          <w:szCs w:val="24"/>
          <w:shd w:val="clear" w:color="auto" w:fill="FFFFFF"/>
        </w:rPr>
        <w:t xml:space="preserve"> The cycle and linkage between economic hardship and crime, inevitably leads to members of deprived communities becoming more vulnerable to exploitation by criminal gangs as they see this activity as a way out of the poverty trap. Out of town drug dealers and criminal gangs will often target vulnerable communities to maximise economic gain and establish new drug markets (</w:t>
      </w:r>
      <w:proofErr w:type="spellStart"/>
      <w:r w:rsidRPr="003F3BEE">
        <w:rPr>
          <w:rFonts w:cstheme="minorHAnsi"/>
          <w:sz w:val="24"/>
          <w:szCs w:val="24"/>
          <w:shd w:val="clear" w:color="auto" w:fill="FFFFFF"/>
        </w:rPr>
        <w:t>Coomber</w:t>
      </w:r>
      <w:proofErr w:type="spellEnd"/>
      <w:r w:rsidRPr="003F3BEE">
        <w:rPr>
          <w:rFonts w:cstheme="minorHAnsi"/>
          <w:sz w:val="24"/>
          <w:szCs w:val="24"/>
          <w:shd w:val="clear" w:color="auto" w:fill="FFFFFF"/>
        </w:rPr>
        <w:t>, Moyle, 2018)</w:t>
      </w:r>
      <w:r w:rsidRPr="003F3BEE">
        <w:rPr>
          <w:rFonts w:cstheme="minorHAnsi"/>
          <w:color w:val="000000" w:themeColor="text1"/>
          <w:sz w:val="24"/>
          <w:szCs w:val="24"/>
          <w:shd w:val="clear" w:color="auto" w:fill="FFFFFF"/>
        </w:rPr>
        <w:t xml:space="preserve">. </w:t>
      </w:r>
    </w:p>
    <w:p w14:paraId="52F57E39" w14:textId="7BA13522" w:rsidR="00893FB1" w:rsidRPr="003F3BEE" w:rsidRDefault="00893FB1" w:rsidP="00893FB1">
      <w:pPr>
        <w:rPr>
          <w:rFonts w:cstheme="minorHAnsi"/>
          <w:color w:val="000000" w:themeColor="text1"/>
          <w:sz w:val="24"/>
          <w:szCs w:val="24"/>
          <w:shd w:val="clear" w:color="auto" w:fill="FFFFFF"/>
        </w:rPr>
      </w:pPr>
      <w:r w:rsidRPr="003F3BEE">
        <w:rPr>
          <w:rFonts w:cstheme="minorHAnsi"/>
          <w:color w:val="000000" w:themeColor="text1"/>
          <w:sz w:val="24"/>
          <w:szCs w:val="24"/>
          <w:shd w:val="clear" w:color="auto" w:fill="FFFFFF"/>
        </w:rPr>
        <w:t>A more understudied method of criminal exploitation which has emerged in the UK in recent years is the act of “Cuckooing”.  The term Cuckooing arises from the nest invading tendencies of cuckoo birds and correlates with the act of invading another person’s home as an unwanted or unwelcome intruder and using it as a base of operations for criminal activity. This form of exploitation is closely associated with County Lines (</w:t>
      </w:r>
      <w:r w:rsidRPr="003F3BEE">
        <w:rPr>
          <w:rFonts w:cstheme="minorHAnsi"/>
          <w:sz w:val="24"/>
          <w:szCs w:val="24"/>
          <w:shd w:val="clear" w:color="auto" w:fill="FFFFFF"/>
        </w:rPr>
        <w:t xml:space="preserve">Spicer, J, Moyle, </w:t>
      </w:r>
      <w:proofErr w:type="spellStart"/>
      <w:r w:rsidRPr="003F3BEE">
        <w:rPr>
          <w:rFonts w:cstheme="minorHAnsi"/>
          <w:sz w:val="24"/>
          <w:szCs w:val="24"/>
          <w:shd w:val="clear" w:color="auto" w:fill="FFFFFF"/>
        </w:rPr>
        <w:t>Coomber</w:t>
      </w:r>
      <w:proofErr w:type="spellEnd"/>
      <w:r w:rsidRPr="003F3BEE">
        <w:rPr>
          <w:rFonts w:cstheme="minorHAnsi"/>
          <w:sz w:val="24"/>
          <w:szCs w:val="24"/>
          <w:shd w:val="clear" w:color="auto" w:fill="FFFFFF"/>
        </w:rPr>
        <w:t xml:space="preserve">, R, 2020).  Cuckooing deliberately and very purposely targets the more vulnerable members of society as criminals see the vulnerable as easy targets for intimidation and coercion. Those who suffer with drug and alcohol dependency in society are often targets for County lines and cuckooing, as drug and alcohol addictions often lead people to become victims of crime, as well as becoming offenders of crime and susceptible to debt and poverty </w:t>
      </w:r>
      <w:r w:rsidRPr="003F3BEE">
        <w:rPr>
          <w:rFonts w:cstheme="minorHAnsi"/>
          <w:color w:val="000000" w:themeColor="text1"/>
          <w:sz w:val="24"/>
          <w:szCs w:val="24"/>
          <w:shd w:val="clear" w:color="auto" w:fill="FFFFFF"/>
        </w:rPr>
        <w:t>(Page, Bratt, Oldfield, 2023).</w:t>
      </w:r>
    </w:p>
    <w:p w14:paraId="2EF821DB" w14:textId="77777777" w:rsidR="00893FB1" w:rsidRPr="003F3BEE" w:rsidRDefault="00893FB1" w:rsidP="00893FB1">
      <w:pPr>
        <w:rPr>
          <w:rFonts w:cstheme="minorHAnsi"/>
          <w:sz w:val="24"/>
          <w:szCs w:val="24"/>
          <w:shd w:val="clear" w:color="auto" w:fill="FFFFFF"/>
        </w:rPr>
      </w:pPr>
      <w:r w:rsidRPr="003F3BEE">
        <w:rPr>
          <w:rFonts w:cstheme="minorHAnsi"/>
          <w:color w:val="000000" w:themeColor="text1"/>
          <w:sz w:val="24"/>
          <w:szCs w:val="24"/>
          <w:shd w:val="clear" w:color="auto" w:fill="FFFFFF"/>
        </w:rPr>
        <w:t>In conclusion, there are an unquantifiable number of factors which can determine an individual’s vulnerability to being exposed to criminality by criminal gangs. Many of the more visible factors are related to socio-economic issues such as poverty, lack of education and lack of job prospects which are prevalent in the poorest subsections of society. This depravation appears to lead to negative health decisions such as substance and alcohol abuse which in turn leads to mental ill health which perpetuates a vicious cycle of criminality ranging from being both a victim and perpetrator of crime.</w:t>
      </w:r>
    </w:p>
    <w:p w14:paraId="4A781241" w14:textId="77777777" w:rsidR="00893FB1" w:rsidRDefault="00893FB1" w:rsidP="00893FB1"/>
    <w:p w14:paraId="70A3557A" w14:textId="08AD35F0" w:rsidR="00893FB1" w:rsidRPr="00893FB1" w:rsidRDefault="00893FB1" w:rsidP="00893FB1">
      <w:pPr>
        <w:rPr>
          <w:b/>
          <w:bCs/>
        </w:rPr>
      </w:pPr>
      <w:r w:rsidRPr="00893FB1">
        <w:rPr>
          <w:b/>
          <w:bCs/>
        </w:rPr>
        <w:t>Word Count - 940</w:t>
      </w:r>
    </w:p>
    <w:p w14:paraId="4F358181" w14:textId="77777777" w:rsidR="00893FB1" w:rsidRDefault="00893FB1"/>
    <w:p w14:paraId="6DF0C44B" w14:textId="77777777" w:rsidR="00893FB1" w:rsidRDefault="00893FB1"/>
    <w:p w14:paraId="57B5BD2F" w14:textId="77777777" w:rsidR="00893FB1" w:rsidRDefault="00893FB1"/>
    <w:p w14:paraId="723FBE65" w14:textId="77777777" w:rsidR="00893FB1" w:rsidRDefault="00893FB1"/>
    <w:p w14:paraId="6EE32288" w14:textId="77777777" w:rsidR="00893FB1" w:rsidRDefault="00893FB1"/>
    <w:p w14:paraId="0288FB3C" w14:textId="77777777" w:rsidR="003F3BEE" w:rsidRDefault="003F3BEE" w:rsidP="00893FB1">
      <w:pPr>
        <w:pStyle w:val="Default"/>
        <w:rPr>
          <w:b/>
          <w:bCs/>
          <w:sz w:val="22"/>
          <w:szCs w:val="22"/>
        </w:rPr>
      </w:pPr>
    </w:p>
    <w:p w14:paraId="0CCA5E3D" w14:textId="77777777" w:rsidR="003F3BEE" w:rsidRDefault="003F3BEE" w:rsidP="00893FB1">
      <w:pPr>
        <w:pStyle w:val="Default"/>
        <w:rPr>
          <w:b/>
          <w:bCs/>
          <w:sz w:val="22"/>
          <w:szCs w:val="22"/>
        </w:rPr>
      </w:pPr>
    </w:p>
    <w:p w14:paraId="452E1D8A" w14:textId="77777777" w:rsidR="003F3BEE" w:rsidRDefault="003F3BEE" w:rsidP="00893FB1">
      <w:pPr>
        <w:pStyle w:val="Default"/>
        <w:rPr>
          <w:b/>
          <w:bCs/>
          <w:sz w:val="22"/>
          <w:szCs w:val="22"/>
        </w:rPr>
      </w:pPr>
    </w:p>
    <w:p w14:paraId="3D5AD7FA" w14:textId="77777777" w:rsidR="006F10D2" w:rsidRDefault="006F10D2" w:rsidP="00893FB1">
      <w:pPr>
        <w:pStyle w:val="Default"/>
        <w:rPr>
          <w:b/>
          <w:bCs/>
          <w:sz w:val="22"/>
          <w:szCs w:val="22"/>
        </w:rPr>
      </w:pPr>
    </w:p>
    <w:p w14:paraId="18FC53D9" w14:textId="77777777" w:rsidR="006F10D2" w:rsidRDefault="006F10D2" w:rsidP="00893FB1">
      <w:pPr>
        <w:pStyle w:val="Default"/>
        <w:rPr>
          <w:b/>
          <w:bCs/>
          <w:sz w:val="22"/>
          <w:szCs w:val="22"/>
        </w:rPr>
      </w:pPr>
    </w:p>
    <w:p w14:paraId="05C4252B" w14:textId="77777777" w:rsidR="006F10D2" w:rsidRDefault="006F10D2" w:rsidP="00893FB1">
      <w:pPr>
        <w:pStyle w:val="Default"/>
        <w:rPr>
          <w:b/>
          <w:bCs/>
          <w:sz w:val="22"/>
          <w:szCs w:val="22"/>
        </w:rPr>
      </w:pPr>
    </w:p>
    <w:p w14:paraId="38DDD9E0" w14:textId="77777777" w:rsidR="006F10D2" w:rsidRDefault="006F10D2" w:rsidP="00893FB1">
      <w:pPr>
        <w:pStyle w:val="Default"/>
        <w:rPr>
          <w:b/>
          <w:bCs/>
          <w:sz w:val="22"/>
          <w:szCs w:val="22"/>
        </w:rPr>
      </w:pPr>
    </w:p>
    <w:p w14:paraId="6D4F967C" w14:textId="50D28FA7" w:rsidR="00893FB1" w:rsidRDefault="00893FB1" w:rsidP="00893FB1">
      <w:pPr>
        <w:pStyle w:val="Default"/>
        <w:rPr>
          <w:sz w:val="22"/>
          <w:szCs w:val="22"/>
        </w:rPr>
      </w:pPr>
      <w:r>
        <w:rPr>
          <w:b/>
          <w:bCs/>
          <w:sz w:val="22"/>
          <w:szCs w:val="22"/>
        </w:rPr>
        <w:t xml:space="preserve">Essay three – Vulnerability &amp; Risk </w:t>
      </w:r>
    </w:p>
    <w:p w14:paraId="214D06F7" w14:textId="77777777" w:rsidR="00893FB1" w:rsidRDefault="00893FB1" w:rsidP="00893FB1">
      <w:pPr>
        <w:pStyle w:val="Default"/>
        <w:rPr>
          <w:sz w:val="22"/>
          <w:szCs w:val="22"/>
        </w:rPr>
      </w:pPr>
      <w:r>
        <w:rPr>
          <w:sz w:val="22"/>
          <w:szCs w:val="22"/>
        </w:rPr>
        <w:t xml:space="preserve">Is early intervention an effective means of preventing young people from offending? What increases or detracts from its effectiveness? </w:t>
      </w:r>
    </w:p>
    <w:p w14:paraId="2310E535" w14:textId="77777777" w:rsidR="00893FB1" w:rsidRDefault="00893FB1" w:rsidP="00893FB1">
      <w:pPr>
        <w:pStyle w:val="Default"/>
        <w:rPr>
          <w:sz w:val="22"/>
          <w:szCs w:val="22"/>
        </w:rPr>
      </w:pPr>
      <w:r>
        <w:rPr>
          <w:sz w:val="22"/>
          <w:szCs w:val="22"/>
        </w:rPr>
        <w:t xml:space="preserve">Your answer must be based on academic research. </w:t>
      </w:r>
    </w:p>
    <w:p w14:paraId="5A35F3ED" w14:textId="77777777" w:rsidR="00893FB1" w:rsidRDefault="00893FB1" w:rsidP="00893FB1">
      <w:r>
        <w:rPr>
          <w:b/>
          <w:bCs/>
        </w:rPr>
        <w:t xml:space="preserve">Word limit: </w:t>
      </w:r>
      <w:r>
        <w:t>1000 words.</w:t>
      </w:r>
    </w:p>
    <w:p w14:paraId="62DBA47C" w14:textId="77777777" w:rsidR="00893FB1" w:rsidRDefault="00893FB1" w:rsidP="00893FB1"/>
    <w:p w14:paraId="1F421DA3" w14:textId="1F6A3265" w:rsidR="00893FB1" w:rsidRPr="00893FB1" w:rsidRDefault="00893FB1" w:rsidP="00893FB1">
      <w:pPr>
        <w:rPr>
          <w:rFonts w:cstheme="minorHAnsi"/>
          <w:color w:val="222222"/>
          <w:sz w:val="24"/>
          <w:szCs w:val="24"/>
          <w:shd w:val="clear" w:color="auto" w:fill="FFFFFF"/>
        </w:rPr>
      </w:pPr>
      <w:r w:rsidRPr="00893FB1">
        <w:rPr>
          <w:rFonts w:cstheme="minorHAnsi"/>
          <w:sz w:val="24"/>
          <w:szCs w:val="24"/>
        </w:rPr>
        <w:t>Crime impacts everyone in society to some degree, whether that is directly or indirectly. The cost of crime is significant, and it has negative consequences to people globally (</w:t>
      </w:r>
      <w:proofErr w:type="spellStart"/>
      <w:r w:rsidRPr="00893FB1">
        <w:rPr>
          <w:rFonts w:cstheme="minorHAnsi"/>
          <w:sz w:val="24"/>
          <w:szCs w:val="24"/>
          <w:shd w:val="clear" w:color="auto" w:fill="FFFFFF"/>
        </w:rPr>
        <w:t>Tubeuf</w:t>
      </w:r>
      <w:proofErr w:type="spellEnd"/>
      <w:r w:rsidRPr="00893FB1">
        <w:rPr>
          <w:rFonts w:cstheme="minorHAnsi"/>
          <w:sz w:val="24"/>
          <w:szCs w:val="24"/>
          <w:shd w:val="clear" w:color="auto" w:fill="FFFFFF"/>
        </w:rPr>
        <w:t>, et al, 2015). Anti-social behaviour which is predominantly the subcategory of crime that young people are most likely to participate in, is one of the most common indicators of psychiatric issues in young people and costs the taxpayer anywhere between £5411 to £40896 per family per year (</w:t>
      </w:r>
      <w:r w:rsidRPr="00893FB1">
        <w:rPr>
          <w:rFonts w:cstheme="minorHAnsi"/>
          <w:color w:val="222222"/>
          <w:sz w:val="24"/>
          <w:szCs w:val="24"/>
          <w:shd w:val="clear" w:color="auto" w:fill="FFFFFF"/>
        </w:rPr>
        <w:t>Knapp, Scott, and Davies, 1999). This cost has only likely increased over time due to inflation and other economic variables. Therefore, there has understandably been a growing appetite for preventative intervention rather than curative intervention, to counteract the likelihood of young people entering the criminal justice system.</w:t>
      </w:r>
    </w:p>
    <w:p w14:paraId="4677C1F8" w14:textId="1022A6A6" w:rsidR="00893FB1" w:rsidRPr="00893FB1" w:rsidRDefault="00893FB1" w:rsidP="00893FB1">
      <w:pPr>
        <w:rPr>
          <w:rFonts w:cstheme="minorHAnsi"/>
          <w:color w:val="222222"/>
          <w:sz w:val="24"/>
          <w:szCs w:val="24"/>
          <w:shd w:val="clear" w:color="auto" w:fill="FFFFFF"/>
        </w:rPr>
      </w:pPr>
      <w:r w:rsidRPr="00893FB1">
        <w:rPr>
          <w:rFonts w:cstheme="minorHAnsi"/>
          <w:color w:val="222222"/>
          <w:sz w:val="24"/>
          <w:szCs w:val="24"/>
          <w:shd w:val="clear" w:color="auto" w:fill="FFFFFF"/>
        </w:rPr>
        <w:t xml:space="preserve">Anti-social behaviour is both criminal and non-criminal behaviour which can Include threatening behaviour, </w:t>
      </w:r>
      <w:r w:rsidRPr="00893FB1">
        <w:rPr>
          <w:rFonts w:cstheme="minorHAnsi"/>
          <w:color w:val="222222"/>
          <w:sz w:val="24"/>
          <w:szCs w:val="24"/>
          <w:shd w:val="clear" w:color="auto" w:fill="FFFFFF"/>
        </w:rPr>
        <w:t>vandalism,</w:t>
      </w:r>
      <w:r w:rsidRPr="00893FB1">
        <w:rPr>
          <w:rFonts w:cstheme="minorHAnsi"/>
          <w:color w:val="222222"/>
          <w:sz w:val="24"/>
          <w:szCs w:val="24"/>
          <w:shd w:val="clear" w:color="auto" w:fill="FFFFFF"/>
        </w:rPr>
        <w:t xml:space="preserve"> and drug use etc (GOV.UK, 2023). A young person’s proclivity towards Anti-social behaviour is a major predicator of the amount an individual is likely to cost society throughout their lifetime. By the age of 28, individuals who had participated in Anti-social Behaviour incurred costs to society that were ten times higher than those with no previous history (Cohen, M.A., Piquero, A.R. and Jennings, W.G., 2010). Early childhood intervention is particularly cost beneficial, especially when it succeeds in reducing criminal justice involvement. (</w:t>
      </w:r>
      <w:proofErr w:type="spellStart"/>
      <w:r w:rsidRPr="00893FB1">
        <w:rPr>
          <w:rFonts w:cstheme="minorHAnsi"/>
          <w:color w:val="222222"/>
          <w:sz w:val="24"/>
          <w:szCs w:val="24"/>
          <w:shd w:val="clear" w:color="auto" w:fill="FFFFFF"/>
        </w:rPr>
        <w:t>Petitclerc</w:t>
      </w:r>
      <w:proofErr w:type="spellEnd"/>
      <w:r w:rsidRPr="00893FB1">
        <w:rPr>
          <w:rFonts w:cstheme="minorHAnsi"/>
          <w:color w:val="222222"/>
          <w:sz w:val="24"/>
          <w:szCs w:val="24"/>
          <w:shd w:val="clear" w:color="auto" w:fill="FFFFFF"/>
        </w:rPr>
        <w:t>, Brooks-Gunn, 2022)</w:t>
      </w:r>
    </w:p>
    <w:p w14:paraId="7B591311" w14:textId="1C50A015" w:rsidR="00893FB1" w:rsidRPr="00893FB1" w:rsidRDefault="00893FB1" w:rsidP="00893FB1">
      <w:pPr>
        <w:rPr>
          <w:rFonts w:cstheme="minorHAnsi"/>
          <w:color w:val="222222"/>
          <w:sz w:val="24"/>
          <w:szCs w:val="24"/>
          <w:shd w:val="clear" w:color="auto" w:fill="FFFFFF"/>
        </w:rPr>
      </w:pPr>
      <w:r w:rsidRPr="00893FB1">
        <w:rPr>
          <w:rFonts w:cstheme="minorHAnsi"/>
          <w:color w:val="222222"/>
          <w:sz w:val="24"/>
          <w:szCs w:val="24"/>
          <w:shd w:val="clear" w:color="auto" w:fill="FFFFFF"/>
        </w:rPr>
        <w:t>Preventative measures are generally seen as more desirable than curative measures by society. “In medicine and public health, it is widely accepted that prevention is better than cure, the same is true of offending” (Farrington, Welsh, 2008). This is especially poignant as there is compelling evidence to suggest that early offending tends to lead to continued and often escalating offending into adulthood. (</w:t>
      </w:r>
      <w:proofErr w:type="spellStart"/>
      <w:r w:rsidRPr="00893FB1">
        <w:rPr>
          <w:rFonts w:cstheme="minorHAnsi"/>
          <w:color w:val="222222"/>
          <w:sz w:val="24"/>
          <w:szCs w:val="24"/>
          <w:shd w:val="clear" w:color="auto" w:fill="FFFFFF"/>
        </w:rPr>
        <w:t>Loeber</w:t>
      </w:r>
      <w:proofErr w:type="spellEnd"/>
      <w:r w:rsidRPr="00893FB1">
        <w:rPr>
          <w:rFonts w:cstheme="minorHAnsi"/>
          <w:color w:val="222222"/>
          <w:sz w:val="24"/>
          <w:szCs w:val="24"/>
          <w:shd w:val="clear" w:color="auto" w:fill="FFFFFF"/>
        </w:rPr>
        <w:t xml:space="preserve">, Farrington, 2000) argue that a persons’ early participation in delinquent behaviour increases the risk of later offending of a more serious and violent nature by a factor of 2-3. Some of the leading characteristics of those who are at risk of becoming offenders are those with low intelligence, impulsive </w:t>
      </w:r>
      <w:r w:rsidRPr="00893FB1">
        <w:rPr>
          <w:rFonts w:cstheme="minorHAnsi"/>
          <w:color w:val="222222"/>
          <w:sz w:val="24"/>
          <w:szCs w:val="24"/>
          <w:shd w:val="clear" w:color="auto" w:fill="FFFFFF"/>
        </w:rPr>
        <w:t>personality,</w:t>
      </w:r>
      <w:r w:rsidRPr="00893FB1">
        <w:rPr>
          <w:rFonts w:cstheme="minorHAnsi"/>
          <w:color w:val="222222"/>
          <w:sz w:val="24"/>
          <w:szCs w:val="24"/>
          <w:shd w:val="clear" w:color="auto" w:fill="FFFFFF"/>
        </w:rPr>
        <w:t xml:space="preserve"> and those with a lack of empathy towards others (Farrington, Welsh, 2008)</w:t>
      </w:r>
    </w:p>
    <w:p w14:paraId="233D7A6C" w14:textId="36A6C635" w:rsidR="00893FB1" w:rsidRPr="00893FB1" w:rsidRDefault="00893FB1" w:rsidP="00893FB1">
      <w:pPr>
        <w:rPr>
          <w:rFonts w:cstheme="minorHAnsi"/>
          <w:color w:val="222222"/>
          <w:sz w:val="24"/>
          <w:szCs w:val="24"/>
          <w:shd w:val="clear" w:color="auto" w:fill="FFFFFF"/>
        </w:rPr>
      </w:pPr>
      <w:r w:rsidRPr="00893FB1">
        <w:rPr>
          <w:rFonts w:cstheme="minorHAnsi"/>
          <w:color w:val="222222"/>
          <w:sz w:val="24"/>
          <w:szCs w:val="24"/>
          <w:shd w:val="clear" w:color="auto" w:fill="FFFFFF"/>
        </w:rPr>
        <w:t xml:space="preserve"> There are many benefits to society in terms of preventative measures towards young person’s committing crime. There is research to suggest that early intervention methods such as cognitive behavioural therapy and social interaction training has provided tangible results and has become an increasingly popular developmental tool against youth crime (</w:t>
      </w:r>
      <w:proofErr w:type="spellStart"/>
      <w:r w:rsidRPr="00893FB1">
        <w:rPr>
          <w:rFonts w:cstheme="minorHAnsi"/>
          <w:color w:val="222222"/>
          <w:sz w:val="24"/>
          <w:szCs w:val="24"/>
          <w:shd w:val="clear" w:color="auto" w:fill="FFFFFF"/>
        </w:rPr>
        <w:t>Beelmann</w:t>
      </w:r>
      <w:proofErr w:type="spellEnd"/>
      <w:r w:rsidRPr="00893FB1">
        <w:rPr>
          <w:rFonts w:cstheme="minorHAnsi"/>
          <w:color w:val="222222"/>
          <w:sz w:val="24"/>
          <w:szCs w:val="24"/>
          <w:shd w:val="clear" w:color="auto" w:fill="FFFFFF"/>
        </w:rPr>
        <w:t xml:space="preserve">, </w:t>
      </w:r>
      <w:proofErr w:type="spellStart"/>
      <w:r w:rsidRPr="00893FB1">
        <w:rPr>
          <w:rFonts w:cstheme="minorHAnsi"/>
          <w:color w:val="222222"/>
          <w:sz w:val="24"/>
          <w:szCs w:val="24"/>
          <w:shd w:val="clear" w:color="auto" w:fill="FFFFFF"/>
        </w:rPr>
        <w:t>Lösel</w:t>
      </w:r>
      <w:proofErr w:type="spellEnd"/>
      <w:r w:rsidRPr="00893FB1">
        <w:rPr>
          <w:rFonts w:cstheme="minorHAnsi"/>
          <w:color w:val="222222"/>
          <w:sz w:val="24"/>
          <w:szCs w:val="24"/>
          <w:shd w:val="clear" w:color="auto" w:fill="FFFFFF"/>
        </w:rPr>
        <w:t>, 2006). Although (</w:t>
      </w:r>
      <w:proofErr w:type="spellStart"/>
      <w:r w:rsidRPr="00893FB1">
        <w:rPr>
          <w:rFonts w:cstheme="minorHAnsi"/>
          <w:color w:val="000000" w:themeColor="text1"/>
          <w:sz w:val="24"/>
          <w:szCs w:val="24"/>
          <w:shd w:val="clear" w:color="auto" w:fill="FFFFFF"/>
        </w:rPr>
        <w:t>Beelmann</w:t>
      </w:r>
      <w:proofErr w:type="spellEnd"/>
      <w:r w:rsidRPr="00893FB1">
        <w:rPr>
          <w:rFonts w:cstheme="minorHAnsi"/>
          <w:color w:val="000000" w:themeColor="text1"/>
          <w:sz w:val="24"/>
          <w:szCs w:val="24"/>
          <w:shd w:val="clear" w:color="auto" w:fill="FFFFFF"/>
        </w:rPr>
        <w:t xml:space="preserve">, </w:t>
      </w:r>
      <w:proofErr w:type="spellStart"/>
      <w:r w:rsidRPr="00893FB1">
        <w:rPr>
          <w:rFonts w:cstheme="minorHAnsi"/>
          <w:color w:val="000000" w:themeColor="text1"/>
          <w:sz w:val="24"/>
          <w:szCs w:val="24"/>
          <w:shd w:val="clear" w:color="auto" w:fill="FFFFFF"/>
        </w:rPr>
        <w:t>Lösel</w:t>
      </w:r>
      <w:proofErr w:type="spellEnd"/>
      <w:r w:rsidRPr="00893FB1">
        <w:rPr>
          <w:rFonts w:cstheme="minorHAnsi"/>
          <w:color w:val="000000" w:themeColor="text1"/>
          <w:sz w:val="24"/>
          <w:szCs w:val="24"/>
          <w:shd w:val="clear" w:color="auto" w:fill="FFFFFF"/>
        </w:rPr>
        <w:t xml:space="preserve">, F, 2006) make compelling arguments for the effectiveness of early intervention, they do however highlight that previous research has revealed problems </w:t>
      </w:r>
      <w:r w:rsidRPr="00893FB1">
        <w:rPr>
          <w:rFonts w:cstheme="minorHAnsi"/>
          <w:sz w:val="24"/>
          <w:szCs w:val="24"/>
        </w:rPr>
        <w:t xml:space="preserve">with design, outcome measures, and long-term follow up, thus weakening the argument for overall measurable success. </w:t>
      </w:r>
    </w:p>
    <w:p w14:paraId="088E55D5" w14:textId="28395B2E" w:rsidR="00893FB1" w:rsidRPr="00893FB1" w:rsidRDefault="00893FB1" w:rsidP="00893FB1">
      <w:pPr>
        <w:rPr>
          <w:rFonts w:cstheme="minorHAnsi"/>
          <w:color w:val="222222"/>
          <w:sz w:val="24"/>
          <w:szCs w:val="24"/>
          <w:shd w:val="clear" w:color="auto" w:fill="FFFFFF"/>
        </w:rPr>
      </w:pPr>
      <w:r w:rsidRPr="00893FB1">
        <w:rPr>
          <w:rFonts w:cstheme="minorHAnsi"/>
          <w:sz w:val="24"/>
          <w:szCs w:val="24"/>
        </w:rPr>
        <w:t>Programs that focus on the family and home life of young people such as home visits and targeting of young, single, poor mothers, have yielded positive results, and have produced substantial benefits to the participating families and society in general (</w:t>
      </w:r>
      <w:r w:rsidRPr="00893FB1">
        <w:rPr>
          <w:rFonts w:cstheme="minorHAnsi"/>
          <w:color w:val="222222"/>
          <w:sz w:val="24"/>
          <w:szCs w:val="24"/>
          <w:shd w:val="clear" w:color="auto" w:fill="FFFFFF"/>
        </w:rPr>
        <w:t>Schindler, Yoshikawa, 2012).</w:t>
      </w:r>
      <w:r w:rsidRPr="00893FB1">
        <w:rPr>
          <w:rFonts w:cstheme="minorHAnsi"/>
          <w:sz w:val="24"/>
          <w:szCs w:val="24"/>
        </w:rPr>
        <w:t xml:space="preserve"> There are many other measures for prevention of crime such as target hardening, however this has a heightened risk of simply displacing the crime. One of the more measurable advantages of early intervention is that by putting the focus on those who are likely to become offenders at an age where they are still potential offenders, you mitigate the risk of displacing the issue to other less secure areas (</w:t>
      </w:r>
      <w:r w:rsidRPr="00893FB1">
        <w:rPr>
          <w:rFonts w:cstheme="minorHAnsi"/>
          <w:color w:val="222222"/>
          <w:sz w:val="24"/>
          <w:szCs w:val="24"/>
          <w:shd w:val="clear" w:color="auto" w:fill="FFFFFF"/>
        </w:rPr>
        <w:t>Schindler, Yoshikawa, 2012).</w:t>
      </w:r>
    </w:p>
    <w:p w14:paraId="577F82A0" w14:textId="25DB136E" w:rsidR="00893FB1" w:rsidRPr="00893FB1" w:rsidRDefault="00893FB1" w:rsidP="00893FB1">
      <w:pPr>
        <w:rPr>
          <w:rFonts w:cstheme="minorHAnsi"/>
          <w:color w:val="222222"/>
          <w:sz w:val="24"/>
          <w:szCs w:val="24"/>
          <w:shd w:val="clear" w:color="auto" w:fill="FFFFFF"/>
        </w:rPr>
      </w:pPr>
      <w:r w:rsidRPr="00893FB1">
        <w:rPr>
          <w:rFonts w:cstheme="minorHAnsi"/>
          <w:color w:val="222222"/>
          <w:sz w:val="24"/>
          <w:szCs w:val="24"/>
          <w:shd w:val="clear" w:color="auto" w:fill="FFFFFF"/>
        </w:rPr>
        <w:t>(Berman, Silverman,</w:t>
      </w:r>
      <w:r w:rsidR="006F10D2">
        <w:rPr>
          <w:rFonts w:cstheme="minorHAnsi"/>
          <w:color w:val="222222"/>
          <w:sz w:val="24"/>
          <w:szCs w:val="24"/>
          <w:shd w:val="clear" w:color="auto" w:fill="FFFFFF"/>
        </w:rPr>
        <w:t xml:space="preserve"> </w:t>
      </w:r>
      <w:proofErr w:type="spellStart"/>
      <w:r w:rsidRPr="00893FB1">
        <w:rPr>
          <w:rFonts w:cstheme="minorHAnsi"/>
          <w:color w:val="222222"/>
          <w:sz w:val="24"/>
          <w:szCs w:val="24"/>
          <w:shd w:val="clear" w:color="auto" w:fill="FFFFFF"/>
        </w:rPr>
        <w:t>Kurtines</w:t>
      </w:r>
      <w:proofErr w:type="spellEnd"/>
      <w:r w:rsidRPr="00893FB1">
        <w:rPr>
          <w:rFonts w:cstheme="minorHAnsi"/>
          <w:color w:val="222222"/>
          <w:sz w:val="24"/>
          <w:szCs w:val="24"/>
          <w:shd w:val="clear" w:color="auto" w:fill="FFFFFF"/>
        </w:rPr>
        <w:t>, 2000.) Indicate that a growing proportion of youths from urban areas are at increasing risk of exposure to extreme acts of violence and crime. This exposure to high levels of crime and violence are sure to have an impact on the impressionable minds of young people. A study conducted by (Dodge, et al, 2015) found that there is evidence for the efficacy of early intervention in the prevention of young people with early onset conduct problems developing psychopathy.</w:t>
      </w:r>
    </w:p>
    <w:p w14:paraId="51C32172" w14:textId="4BB372DB" w:rsidR="00893FB1" w:rsidRPr="00893FB1" w:rsidRDefault="00893FB1" w:rsidP="00893FB1">
      <w:pPr>
        <w:rPr>
          <w:rFonts w:cstheme="minorHAnsi"/>
          <w:sz w:val="24"/>
          <w:szCs w:val="24"/>
        </w:rPr>
      </w:pPr>
      <w:r w:rsidRPr="00893FB1">
        <w:rPr>
          <w:rFonts w:cstheme="minorHAnsi"/>
          <w:color w:val="222222"/>
          <w:sz w:val="24"/>
          <w:szCs w:val="24"/>
          <w:shd w:val="clear" w:color="auto" w:fill="FFFFFF"/>
        </w:rPr>
        <w:t xml:space="preserve">Although there is compelling evidence for the tangible societal and personal benefits of early intervention, it is not so clear that there is a direct correlation between preventative measures such as education and a decrease in crime rates. </w:t>
      </w:r>
      <w:proofErr w:type="gramStart"/>
      <w:r w:rsidRPr="00893FB1">
        <w:rPr>
          <w:rFonts w:cstheme="minorHAnsi"/>
          <w:color w:val="222222"/>
          <w:sz w:val="24"/>
          <w:szCs w:val="24"/>
          <w:shd w:val="clear" w:color="auto" w:fill="FFFFFF"/>
        </w:rPr>
        <w:t>Despite the fact that</w:t>
      </w:r>
      <w:proofErr w:type="gramEnd"/>
      <w:r w:rsidRPr="00893FB1">
        <w:rPr>
          <w:rFonts w:cstheme="minorHAnsi"/>
          <w:color w:val="222222"/>
          <w:sz w:val="24"/>
          <w:szCs w:val="24"/>
          <w:shd w:val="clear" w:color="auto" w:fill="FFFFFF"/>
        </w:rPr>
        <w:t xml:space="preserve"> living in socially deprived areas, in families with very low incomes increases a person’s risk of becoming an offender, many of the root causes of crime are not issues linked to society but rather they are deeply ingrained features of an </w:t>
      </w:r>
      <w:r w:rsidRPr="00893FB1">
        <w:rPr>
          <w:rFonts w:cstheme="minorHAnsi"/>
          <w:color w:val="222222"/>
          <w:sz w:val="24"/>
          <w:szCs w:val="24"/>
          <w:shd w:val="clear" w:color="auto" w:fill="FFFFFF"/>
        </w:rPr>
        <w:t>individual’s</w:t>
      </w:r>
      <w:r w:rsidRPr="00893FB1">
        <w:rPr>
          <w:rFonts w:cstheme="minorHAnsi"/>
          <w:color w:val="222222"/>
          <w:sz w:val="24"/>
          <w:szCs w:val="24"/>
          <w:shd w:val="clear" w:color="auto" w:fill="FFFFFF"/>
        </w:rPr>
        <w:t xml:space="preserve"> personality and early life experiences (Farrington,</w:t>
      </w:r>
      <w:r w:rsidR="006F10D2">
        <w:rPr>
          <w:rFonts w:cstheme="minorHAnsi"/>
          <w:color w:val="222222"/>
          <w:sz w:val="24"/>
          <w:szCs w:val="24"/>
          <w:shd w:val="clear" w:color="auto" w:fill="FFFFFF"/>
        </w:rPr>
        <w:t xml:space="preserve"> </w:t>
      </w:r>
      <w:r w:rsidRPr="00893FB1">
        <w:rPr>
          <w:rFonts w:cstheme="minorHAnsi"/>
          <w:color w:val="222222"/>
          <w:sz w:val="24"/>
          <w:szCs w:val="24"/>
          <w:shd w:val="clear" w:color="auto" w:fill="FFFFFF"/>
        </w:rPr>
        <w:t>Welsh, 2008). Previous research involving participants from impoverished African American families found that although early intervention was found to improve intelligence and school attainment, it showed no significant differences in crime trends between those who participated in the programme and those who did not (Clarke, Campbell, 1998). Previous studies have also indicated that despite early intervention programmes producing health and social benefits for those involved in the programmes. There is no guarantee that pre-emptive intervention will divert children away from problematic behaviours, although it can have an impact on the seriousness and the frequency of offending (Blyth, Solomo</w:t>
      </w:r>
      <w:r w:rsidR="006F10D2">
        <w:rPr>
          <w:rFonts w:cstheme="minorHAnsi"/>
          <w:color w:val="222222"/>
          <w:sz w:val="24"/>
          <w:szCs w:val="24"/>
          <w:shd w:val="clear" w:color="auto" w:fill="FFFFFF"/>
        </w:rPr>
        <w:t>n</w:t>
      </w:r>
      <w:r w:rsidRPr="00893FB1">
        <w:rPr>
          <w:rFonts w:cstheme="minorHAnsi"/>
          <w:color w:val="222222"/>
          <w:sz w:val="24"/>
          <w:szCs w:val="24"/>
          <w:shd w:val="clear" w:color="auto" w:fill="FFFFFF"/>
        </w:rPr>
        <w:t>, 2009).</w:t>
      </w:r>
    </w:p>
    <w:p w14:paraId="45E6ECC7" w14:textId="09EF3A5A" w:rsidR="00893FB1" w:rsidRPr="00893FB1" w:rsidRDefault="00893FB1" w:rsidP="00893FB1">
      <w:pPr>
        <w:rPr>
          <w:rFonts w:cstheme="minorHAnsi"/>
          <w:color w:val="222222"/>
          <w:sz w:val="24"/>
          <w:szCs w:val="24"/>
          <w:shd w:val="clear" w:color="auto" w:fill="FFFFFF"/>
        </w:rPr>
      </w:pPr>
      <w:r w:rsidRPr="00893FB1">
        <w:rPr>
          <w:rFonts w:cstheme="minorHAnsi"/>
          <w:color w:val="222222"/>
          <w:sz w:val="24"/>
          <w:szCs w:val="24"/>
          <w:shd w:val="clear" w:color="auto" w:fill="FFFFFF"/>
        </w:rPr>
        <w:t xml:space="preserve">In conclusion, it appears from the research that there are many benefits to early intervention when it comes to young people who are at high risk of offending and entering the youth justice system. Pre-emptive measures such as education, a focus on family life and targeted programmes appear to yield results in overall positive outcomes for young people. However, despite the measurable benefits of early intervention, it is not obvious that it has a significant impact on crime rates and the likelihood of young people engaging in criminal activity due to challenges regarding the </w:t>
      </w:r>
      <w:r w:rsidRPr="00893FB1">
        <w:rPr>
          <w:rFonts w:cstheme="minorHAnsi"/>
          <w:color w:val="222222"/>
          <w:sz w:val="24"/>
          <w:szCs w:val="24"/>
          <w:shd w:val="clear" w:color="auto" w:fill="FFFFFF"/>
        </w:rPr>
        <w:t>long-term</w:t>
      </w:r>
      <w:r w:rsidRPr="00893FB1">
        <w:rPr>
          <w:rFonts w:cstheme="minorHAnsi"/>
          <w:color w:val="222222"/>
          <w:sz w:val="24"/>
          <w:szCs w:val="24"/>
          <w:shd w:val="clear" w:color="auto" w:fill="FFFFFF"/>
        </w:rPr>
        <w:t xml:space="preserve"> measuring of data and analysis.</w:t>
      </w:r>
    </w:p>
    <w:p w14:paraId="47166A61" w14:textId="77777777" w:rsidR="00893FB1" w:rsidRPr="00893FB1" w:rsidRDefault="00893FB1" w:rsidP="00893FB1">
      <w:pPr>
        <w:rPr>
          <w:rFonts w:ascii="Arial" w:hAnsi="Arial" w:cs="Arial"/>
          <w:color w:val="222222"/>
          <w:sz w:val="20"/>
          <w:szCs w:val="20"/>
          <w:shd w:val="clear" w:color="auto" w:fill="FFFFFF"/>
        </w:rPr>
      </w:pPr>
    </w:p>
    <w:p w14:paraId="41FBEE25" w14:textId="7697B125" w:rsidR="00893FB1" w:rsidRDefault="00893FB1" w:rsidP="00893FB1">
      <w:pPr>
        <w:rPr>
          <w:rFonts w:cstheme="minorHAnsi"/>
          <w:b/>
          <w:bCs/>
          <w:color w:val="222222"/>
          <w:sz w:val="24"/>
          <w:szCs w:val="24"/>
          <w:shd w:val="clear" w:color="auto" w:fill="FFFFFF"/>
        </w:rPr>
      </w:pPr>
      <w:r w:rsidRPr="004C091D">
        <w:rPr>
          <w:rFonts w:cstheme="minorHAnsi"/>
          <w:b/>
          <w:bCs/>
          <w:color w:val="222222"/>
          <w:sz w:val="24"/>
          <w:szCs w:val="24"/>
          <w:shd w:val="clear" w:color="auto" w:fill="FFFFFF"/>
        </w:rPr>
        <w:t xml:space="preserve">Word Count </w:t>
      </w:r>
      <w:r>
        <w:rPr>
          <w:rFonts w:cstheme="minorHAnsi"/>
          <w:b/>
          <w:bCs/>
          <w:color w:val="222222"/>
          <w:sz w:val="24"/>
          <w:szCs w:val="24"/>
          <w:shd w:val="clear" w:color="auto" w:fill="FFFFFF"/>
        </w:rPr>
        <w:t>–</w:t>
      </w:r>
      <w:r w:rsidRPr="004C091D">
        <w:rPr>
          <w:rFonts w:cstheme="minorHAnsi"/>
          <w:b/>
          <w:bCs/>
          <w:color w:val="222222"/>
          <w:sz w:val="24"/>
          <w:szCs w:val="24"/>
          <w:shd w:val="clear" w:color="auto" w:fill="FFFFFF"/>
        </w:rPr>
        <w:t xml:space="preserve"> 964</w:t>
      </w:r>
    </w:p>
    <w:p w14:paraId="7C20034F" w14:textId="77777777" w:rsidR="00893FB1" w:rsidRDefault="00893FB1" w:rsidP="00893FB1">
      <w:pPr>
        <w:rPr>
          <w:rFonts w:cstheme="minorHAnsi"/>
          <w:b/>
          <w:bCs/>
          <w:color w:val="222222"/>
          <w:sz w:val="24"/>
          <w:szCs w:val="24"/>
          <w:shd w:val="clear" w:color="auto" w:fill="FFFFFF"/>
        </w:rPr>
      </w:pPr>
    </w:p>
    <w:p w14:paraId="27B13E64" w14:textId="77777777" w:rsidR="00893FB1" w:rsidRDefault="00893FB1" w:rsidP="00893FB1">
      <w:pPr>
        <w:pStyle w:val="Default"/>
        <w:rPr>
          <w:b/>
          <w:bCs/>
          <w:sz w:val="22"/>
          <w:szCs w:val="22"/>
        </w:rPr>
      </w:pPr>
    </w:p>
    <w:p w14:paraId="3A77437D" w14:textId="77777777" w:rsidR="006F10D2" w:rsidRDefault="006F10D2" w:rsidP="00893FB1">
      <w:pPr>
        <w:pStyle w:val="Default"/>
        <w:rPr>
          <w:b/>
          <w:bCs/>
          <w:sz w:val="22"/>
          <w:szCs w:val="22"/>
        </w:rPr>
      </w:pPr>
    </w:p>
    <w:p w14:paraId="13868A6E" w14:textId="77777777" w:rsidR="006F10D2" w:rsidRDefault="006F10D2" w:rsidP="00893FB1">
      <w:pPr>
        <w:pStyle w:val="Default"/>
        <w:rPr>
          <w:b/>
          <w:bCs/>
          <w:sz w:val="22"/>
          <w:szCs w:val="22"/>
        </w:rPr>
      </w:pPr>
    </w:p>
    <w:p w14:paraId="6904FE0C" w14:textId="77777777" w:rsidR="006F10D2" w:rsidRDefault="006F10D2" w:rsidP="00893FB1">
      <w:pPr>
        <w:pStyle w:val="Default"/>
        <w:rPr>
          <w:b/>
          <w:bCs/>
          <w:sz w:val="22"/>
          <w:szCs w:val="22"/>
        </w:rPr>
      </w:pPr>
    </w:p>
    <w:p w14:paraId="02BACCD3" w14:textId="2B7956D5" w:rsidR="00893FB1" w:rsidRDefault="00893FB1" w:rsidP="00893FB1">
      <w:pPr>
        <w:pStyle w:val="Default"/>
        <w:rPr>
          <w:sz w:val="22"/>
          <w:szCs w:val="22"/>
        </w:rPr>
      </w:pPr>
      <w:r>
        <w:rPr>
          <w:b/>
          <w:bCs/>
          <w:sz w:val="22"/>
          <w:szCs w:val="22"/>
        </w:rPr>
        <w:t xml:space="preserve">Essay four – Valuing Difference &amp; Inclusion </w:t>
      </w:r>
    </w:p>
    <w:p w14:paraId="5350625D" w14:textId="77777777" w:rsidR="00893FB1" w:rsidRDefault="00893FB1" w:rsidP="00893FB1">
      <w:pPr>
        <w:pStyle w:val="Default"/>
        <w:rPr>
          <w:sz w:val="22"/>
          <w:szCs w:val="22"/>
        </w:rPr>
      </w:pPr>
      <w:r>
        <w:rPr>
          <w:sz w:val="22"/>
          <w:szCs w:val="22"/>
        </w:rPr>
        <w:t xml:space="preserve">How effectively has policing adapted to accommodate diversity within the UK? </w:t>
      </w:r>
    </w:p>
    <w:p w14:paraId="4DDA6DF7" w14:textId="77777777" w:rsidR="00893FB1" w:rsidRDefault="00893FB1" w:rsidP="00893FB1">
      <w:pPr>
        <w:pStyle w:val="Default"/>
        <w:rPr>
          <w:sz w:val="22"/>
          <w:szCs w:val="22"/>
        </w:rPr>
      </w:pPr>
      <w:r>
        <w:rPr>
          <w:sz w:val="22"/>
          <w:szCs w:val="22"/>
        </w:rPr>
        <w:t xml:space="preserve">Consider the police force itself and/or the way police engage with diverse communities. </w:t>
      </w:r>
    </w:p>
    <w:p w14:paraId="4FB987F4" w14:textId="77777777" w:rsidR="00893FB1" w:rsidRDefault="00893FB1" w:rsidP="00893FB1">
      <w:pPr>
        <w:pStyle w:val="Default"/>
        <w:rPr>
          <w:sz w:val="22"/>
          <w:szCs w:val="22"/>
        </w:rPr>
      </w:pPr>
      <w:r>
        <w:rPr>
          <w:sz w:val="22"/>
          <w:szCs w:val="22"/>
        </w:rPr>
        <w:t xml:space="preserve">Support your answer with relevant evidence drawn from academic sources. </w:t>
      </w:r>
    </w:p>
    <w:p w14:paraId="1BA172B6" w14:textId="77777777" w:rsidR="00893FB1" w:rsidRDefault="00893FB1" w:rsidP="00893FB1">
      <w:r>
        <w:rPr>
          <w:b/>
          <w:bCs/>
        </w:rPr>
        <w:t xml:space="preserve">Word limit: </w:t>
      </w:r>
      <w:r>
        <w:t>1000 words.</w:t>
      </w:r>
    </w:p>
    <w:p w14:paraId="1BBA6625" w14:textId="77777777" w:rsidR="00893FB1" w:rsidRDefault="00893FB1" w:rsidP="00893FB1"/>
    <w:p w14:paraId="58ED4B7E" w14:textId="77777777" w:rsidR="00893FB1" w:rsidRPr="00D01B4A" w:rsidRDefault="00893FB1" w:rsidP="00893FB1">
      <w:pPr>
        <w:rPr>
          <w:rFonts w:cstheme="minorHAnsi"/>
          <w:color w:val="000000" w:themeColor="text1"/>
          <w:sz w:val="24"/>
          <w:szCs w:val="24"/>
          <w:shd w:val="clear" w:color="auto" w:fill="FFFFFF"/>
        </w:rPr>
      </w:pPr>
      <w:r w:rsidRPr="00D01B4A">
        <w:rPr>
          <w:rFonts w:cstheme="minorHAnsi"/>
          <w:sz w:val="24"/>
          <w:szCs w:val="24"/>
        </w:rPr>
        <w:t>The police’s work on promoting, encouraging, and adapting to diversity and inclusion have long been a topic of great focus and criticism. One of the first significant incidents that culminated in a major review of the police’s policy, and street level enforcement was the Brixton Riots (BBC, 2021). The Riots were a result of ethnic minority citizens being subjected to disproportionate policing and what was described at the time as sus laws. Sus was a shorthand expression for the charge of being a suspected person under the Vagrancy Act 1824 (Legislation.gov.uk, 2024). Sus laws particularly affected young males of west Indian origin in the Lambeth area of London, and of those arrested under sus laws between 1977 and 1979, three quarters of them were black (</w:t>
      </w:r>
      <w:r w:rsidRPr="00D01B4A">
        <w:rPr>
          <w:rFonts w:cstheme="minorHAnsi"/>
          <w:color w:val="222222"/>
          <w:sz w:val="24"/>
          <w:szCs w:val="24"/>
          <w:shd w:val="clear" w:color="auto" w:fill="FFFFFF"/>
        </w:rPr>
        <w:t>Greaves, 1984). In response to this incident, the Scarman report was commissioned (The National Archives). Lord Scarman found that whilst he could not excuse the lawlessness of the riots, he did deem that improvements and reforms were necessary (</w:t>
      </w:r>
      <w:r w:rsidRPr="00D01B4A">
        <w:rPr>
          <w:rFonts w:cstheme="minorHAnsi"/>
          <w:color w:val="000000" w:themeColor="text1"/>
          <w:sz w:val="24"/>
          <w:szCs w:val="24"/>
          <w:shd w:val="clear" w:color="auto" w:fill="FFFFFF"/>
        </w:rPr>
        <w:t>Taylor, 1984).</w:t>
      </w:r>
      <w:r w:rsidRPr="00D01B4A">
        <w:rPr>
          <w:rFonts w:cstheme="minorHAnsi"/>
          <w:color w:val="222222"/>
          <w:sz w:val="24"/>
          <w:szCs w:val="24"/>
          <w:shd w:val="clear" w:color="auto" w:fill="FFFFFF"/>
        </w:rPr>
        <w:t xml:space="preserve"> </w:t>
      </w:r>
    </w:p>
    <w:p w14:paraId="22760781" w14:textId="77777777" w:rsidR="00893FB1" w:rsidRPr="00D01B4A" w:rsidRDefault="00893FB1" w:rsidP="00893FB1">
      <w:pPr>
        <w:rPr>
          <w:rFonts w:cstheme="minorHAnsi"/>
          <w:color w:val="000000" w:themeColor="text1"/>
          <w:sz w:val="24"/>
          <w:szCs w:val="24"/>
          <w:shd w:val="clear" w:color="auto" w:fill="FFFFFF"/>
        </w:rPr>
      </w:pPr>
      <w:r w:rsidRPr="00D01B4A">
        <w:rPr>
          <w:rFonts w:cstheme="minorHAnsi"/>
          <w:color w:val="000000" w:themeColor="text1"/>
          <w:sz w:val="24"/>
          <w:szCs w:val="24"/>
          <w:shd w:val="clear" w:color="auto" w:fill="FFFFFF"/>
        </w:rPr>
        <w:t>Throughout the years following the Scarman report, there has been a conscious effort to improve relations between the police and those from diverse backgrounds. It is fundamental that the police effectively practice, protect, and accept diversity within policing as it contributes decisively to strengthen public confidence and the social acceptance of police work (</w:t>
      </w:r>
      <w:proofErr w:type="spellStart"/>
      <w:r w:rsidRPr="00D01B4A">
        <w:rPr>
          <w:rFonts w:cstheme="minorHAnsi"/>
          <w:color w:val="000000" w:themeColor="text1"/>
          <w:sz w:val="24"/>
          <w:szCs w:val="24"/>
          <w:shd w:val="clear" w:color="auto" w:fill="FFFFFF"/>
        </w:rPr>
        <w:t>Stergioulis</w:t>
      </w:r>
      <w:proofErr w:type="spellEnd"/>
      <w:r w:rsidRPr="00D01B4A">
        <w:rPr>
          <w:rFonts w:cstheme="minorHAnsi"/>
          <w:color w:val="000000" w:themeColor="text1"/>
          <w:sz w:val="24"/>
          <w:szCs w:val="24"/>
          <w:shd w:val="clear" w:color="auto" w:fill="FFFFFF"/>
        </w:rPr>
        <w:t xml:space="preserve">, 2018). </w:t>
      </w:r>
      <w:r w:rsidRPr="00D01B4A">
        <w:rPr>
          <w:rFonts w:cstheme="minorHAnsi"/>
          <w:color w:val="222222"/>
          <w:sz w:val="24"/>
          <w:szCs w:val="24"/>
          <w:shd w:val="clear" w:color="auto" w:fill="FFFFFF"/>
        </w:rPr>
        <w:t xml:space="preserve">(Spencer, 2000) </w:t>
      </w:r>
      <w:r w:rsidRPr="00D01B4A">
        <w:rPr>
          <w:rFonts w:cstheme="minorHAnsi"/>
          <w:color w:val="000000" w:themeColor="text1"/>
          <w:sz w:val="24"/>
          <w:szCs w:val="24"/>
          <w:shd w:val="clear" w:color="auto" w:fill="FFFFFF"/>
        </w:rPr>
        <w:t xml:space="preserve">Found that whilst public confidence in the Metropolitan Police in the Lambeth area of London was significantly below the average in the 1990’s, community/police relations had undoubtedly improved over the 15 years between the Brixton Riots and the commission of the report. </w:t>
      </w:r>
    </w:p>
    <w:p w14:paraId="250A9477" w14:textId="77777777" w:rsidR="00893FB1" w:rsidRPr="00D01B4A" w:rsidRDefault="00893FB1" w:rsidP="00893FB1">
      <w:pPr>
        <w:rPr>
          <w:rFonts w:cstheme="minorHAnsi"/>
          <w:color w:val="000000" w:themeColor="text1"/>
          <w:sz w:val="24"/>
          <w:szCs w:val="24"/>
          <w:shd w:val="clear" w:color="auto" w:fill="FFFFFF"/>
        </w:rPr>
      </w:pPr>
      <w:r w:rsidRPr="00D01B4A">
        <w:rPr>
          <w:rFonts w:cstheme="minorHAnsi"/>
          <w:color w:val="000000" w:themeColor="text1"/>
          <w:sz w:val="24"/>
          <w:szCs w:val="24"/>
          <w:shd w:val="clear" w:color="auto" w:fill="FFFFFF"/>
        </w:rPr>
        <w:t xml:space="preserve">Another significant event which led to significant scrutiny of policing and diversity was the flawed and failed investigation into the murder of Stephen Lawrence which led to the Macpherson inquiry (Home Office, 1999). It was alleged by the Lawrence family that corruption and collusion was a contributing factor as to why the murderers were not brought to justice, and the investigation was instead focused on ensuring that a credible case could not be put together rather than focusing on identifying and bringing the offenders to justice </w:t>
      </w:r>
      <w:r w:rsidRPr="00D01B4A">
        <w:rPr>
          <w:rFonts w:cstheme="minorHAnsi"/>
          <w:sz w:val="24"/>
          <w:szCs w:val="24"/>
          <w:shd w:val="clear" w:color="auto" w:fill="FFFFFF"/>
        </w:rPr>
        <w:t xml:space="preserve">(Foster, Newburn, </w:t>
      </w:r>
      <w:proofErr w:type="spellStart"/>
      <w:r w:rsidRPr="00D01B4A">
        <w:rPr>
          <w:rFonts w:cstheme="minorHAnsi"/>
          <w:sz w:val="24"/>
          <w:szCs w:val="24"/>
          <w:shd w:val="clear" w:color="auto" w:fill="FFFFFF"/>
        </w:rPr>
        <w:t>Souhami</w:t>
      </w:r>
      <w:proofErr w:type="spellEnd"/>
      <w:r w:rsidRPr="00D01B4A">
        <w:rPr>
          <w:rFonts w:cstheme="minorHAnsi"/>
          <w:sz w:val="24"/>
          <w:szCs w:val="24"/>
          <w:shd w:val="clear" w:color="auto" w:fill="FFFFFF"/>
        </w:rPr>
        <w:t>, 2005).</w:t>
      </w:r>
    </w:p>
    <w:p w14:paraId="21EE6057" w14:textId="77777777" w:rsidR="00893FB1" w:rsidRPr="00D01B4A" w:rsidRDefault="00893FB1" w:rsidP="00893FB1">
      <w:pPr>
        <w:rPr>
          <w:rFonts w:cstheme="minorHAnsi"/>
          <w:color w:val="222222"/>
          <w:sz w:val="24"/>
          <w:szCs w:val="24"/>
          <w:shd w:val="clear" w:color="auto" w:fill="FFFFFF"/>
        </w:rPr>
      </w:pPr>
      <w:r w:rsidRPr="00D01B4A">
        <w:rPr>
          <w:rFonts w:cstheme="minorHAnsi"/>
          <w:color w:val="000000" w:themeColor="text1"/>
          <w:sz w:val="24"/>
          <w:szCs w:val="24"/>
          <w:shd w:val="clear" w:color="auto" w:fill="FFFFFF"/>
        </w:rPr>
        <w:t>Over the years, stop and search figures have also indicated that there is a disproportionate and unlawful discrimination of black people when it comes to officers exercising this power (Bowling, Phillips, 2007). (</w:t>
      </w:r>
      <w:proofErr w:type="spellStart"/>
      <w:r w:rsidRPr="00D01B4A">
        <w:rPr>
          <w:rFonts w:cstheme="minorHAnsi"/>
          <w:color w:val="000000" w:themeColor="text1"/>
          <w:sz w:val="24"/>
          <w:szCs w:val="24"/>
          <w:shd w:val="clear" w:color="auto" w:fill="FFFFFF"/>
        </w:rPr>
        <w:t>Vomfell</w:t>
      </w:r>
      <w:proofErr w:type="spellEnd"/>
      <w:r w:rsidRPr="00D01B4A">
        <w:rPr>
          <w:rFonts w:cstheme="minorHAnsi"/>
          <w:color w:val="000000" w:themeColor="text1"/>
          <w:sz w:val="24"/>
          <w:szCs w:val="24"/>
          <w:shd w:val="clear" w:color="auto" w:fill="FFFFFF"/>
        </w:rPr>
        <w:t>, Steward, 2021) argue that the overrepresentation of Asian people in stop and search statistics is primarily a result of police over patrolling minority areas, whilst the overrepresentation of black people in stop and search figures is a combination of over patrolling and biases from officers. One of the ways in which the police have tried to address their inefficiency and biases in dealing with minority citizens is to try and cultivate a more diverse workforce. Many have suggested that a diverse police workforce will contribute to improving community tensions (</w:t>
      </w:r>
      <w:proofErr w:type="spellStart"/>
      <w:r w:rsidRPr="00D01B4A">
        <w:rPr>
          <w:rFonts w:cstheme="minorHAnsi"/>
          <w:color w:val="222222"/>
          <w:sz w:val="24"/>
          <w:szCs w:val="24"/>
          <w:shd w:val="clear" w:color="auto" w:fill="FFFFFF"/>
        </w:rPr>
        <w:t>Todak</w:t>
      </w:r>
      <w:proofErr w:type="spellEnd"/>
      <w:r w:rsidRPr="00D01B4A">
        <w:rPr>
          <w:rFonts w:cstheme="minorHAnsi"/>
          <w:color w:val="222222"/>
          <w:sz w:val="24"/>
          <w:szCs w:val="24"/>
          <w:shd w:val="clear" w:color="auto" w:fill="FFFFFF"/>
        </w:rPr>
        <w:t xml:space="preserve">, Huff, James, 2018). The general level of diversity within the police workforce is low and that number continues to trend downwards throughout the upper ranks of policing (van Ewijk, 2012). Whilst this study suggests that the upper management of policing are the least diverse sections of police forces, senior management is ultimately responsible for setting and implementing policy, including the policies that target issues surrounding diversity. </w:t>
      </w:r>
    </w:p>
    <w:p w14:paraId="50F2AB8B" w14:textId="77777777" w:rsidR="00893FB1" w:rsidRPr="00D01B4A" w:rsidRDefault="00893FB1" w:rsidP="00893FB1">
      <w:pPr>
        <w:rPr>
          <w:rFonts w:cstheme="minorHAnsi"/>
          <w:color w:val="000000" w:themeColor="text1"/>
          <w:sz w:val="24"/>
          <w:szCs w:val="24"/>
          <w:shd w:val="clear" w:color="auto" w:fill="FFFFFF"/>
        </w:rPr>
      </w:pPr>
      <w:r w:rsidRPr="00D01B4A">
        <w:rPr>
          <w:rFonts w:cstheme="minorHAnsi"/>
          <w:color w:val="222222"/>
          <w:sz w:val="24"/>
          <w:szCs w:val="24"/>
          <w:shd w:val="clear" w:color="auto" w:fill="FFFFFF"/>
        </w:rPr>
        <w:t xml:space="preserve"> There have been many examples of policies implemented by police forces from the 1980’s onwards such as the ‘Police Race Action Plan’ (NPCC, 2022) which sets to create an anti-racist culture within the police force and ‘Positive Action’ (College of Policing, 2020), which serves as guidance for forces on recruitment and retaining a diverse workforce. However (Cashmore, 2002) argues that policies such as these are often cynically seen as “window dressing” and are most often implemented to give the appearance of progression whilst ultimately achieving little.</w:t>
      </w:r>
    </w:p>
    <w:p w14:paraId="08ABC758" w14:textId="77777777" w:rsidR="00893FB1" w:rsidRPr="00D01B4A" w:rsidRDefault="00893FB1" w:rsidP="00893FB1">
      <w:pPr>
        <w:rPr>
          <w:rFonts w:cstheme="minorHAnsi"/>
          <w:color w:val="222222"/>
          <w:sz w:val="24"/>
          <w:szCs w:val="24"/>
          <w:shd w:val="clear" w:color="auto" w:fill="FFFFFF"/>
        </w:rPr>
      </w:pPr>
      <w:r w:rsidRPr="00D01B4A">
        <w:rPr>
          <w:rFonts w:cstheme="minorHAnsi"/>
          <w:color w:val="222222"/>
          <w:sz w:val="24"/>
          <w:szCs w:val="24"/>
          <w:shd w:val="clear" w:color="auto" w:fill="FFFFFF"/>
        </w:rPr>
        <w:t>Policing encompasses many organisations outside of the forces themselves. Each of these organisations carry some responsibility towards driving diversity within the police force and implementing guidance and policy to encourage good relations in the community, especially with minority groups that have historically strained relationships with the police service. The Home office is responsible for overseeing the effectiveness of the police, ensuring an accountability framework is in place and providing funding to the forces in England and Wales (NAO, 2015). Despite efforts to broaden diversity within the police force, the latest government statistics indicate that diversity within the police workforce still does not reflect diversity within the community. (GOV.UK, 2023) statistics find that of all police officers in England and Wales, 91.9% of them are white. Although the statistics indicate that there is still a significant lack of diversity within the police workforce, (GOV.UK, 2023) statistics indicate that the number of officers from each ethnic minority group has trended upwards from 1.5% to 3.7%. This trend is also reflected in the diversity of senior officers with Asian, black, mixed, and ‘other’ ethnic minority officers representing to 5.5% of officers at Chief Inspector and above, a rise from 2.8% in 2007.</w:t>
      </w:r>
    </w:p>
    <w:p w14:paraId="410B3843" w14:textId="77777777" w:rsidR="00893FB1" w:rsidRPr="00D01B4A" w:rsidRDefault="00893FB1" w:rsidP="00893FB1">
      <w:pPr>
        <w:rPr>
          <w:rFonts w:cstheme="minorHAnsi"/>
          <w:color w:val="222222"/>
          <w:sz w:val="24"/>
          <w:szCs w:val="24"/>
          <w:shd w:val="clear" w:color="auto" w:fill="FFFFFF"/>
        </w:rPr>
      </w:pPr>
      <w:r w:rsidRPr="00D01B4A">
        <w:rPr>
          <w:rFonts w:cstheme="minorHAnsi"/>
          <w:color w:val="222222"/>
          <w:sz w:val="24"/>
          <w:szCs w:val="24"/>
          <w:shd w:val="clear" w:color="auto" w:fill="FFFFFF"/>
        </w:rPr>
        <w:t>In conclusion, the research indicates that there have been significant moments in history where the police have come under significant pressure and scrutiny regarding their relationship with diverse members of the community. These events have shaped policing and policy in the years following, and important strides having been made. However, the statistics still indicate that there is a lot of work left to do to ensure that the police force are representative of the communities they police and that positive relationships with diverse minority ethnic communities are fostered.</w:t>
      </w:r>
    </w:p>
    <w:p w14:paraId="5779AFA8" w14:textId="77777777" w:rsidR="00893FB1" w:rsidRDefault="00893FB1" w:rsidP="00893FB1">
      <w:pPr>
        <w:rPr>
          <w:rFonts w:cstheme="minorHAnsi"/>
          <w:color w:val="000000" w:themeColor="text1"/>
          <w:sz w:val="24"/>
          <w:szCs w:val="24"/>
          <w:shd w:val="clear" w:color="auto" w:fill="FFFFFF"/>
        </w:rPr>
      </w:pPr>
    </w:p>
    <w:p w14:paraId="5AA4C928" w14:textId="30DB557A" w:rsidR="00893FB1" w:rsidRPr="00893FB1" w:rsidRDefault="00893FB1" w:rsidP="00893FB1">
      <w:pPr>
        <w:rPr>
          <w:rFonts w:cstheme="minorHAnsi"/>
          <w:b/>
          <w:bCs/>
          <w:color w:val="222222"/>
          <w:sz w:val="24"/>
          <w:szCs w:val="24"/>
          <w:shd w:val="clear" w:color="auto" w:fill="FFFFFF"/>
        </w:rPr>
      </w:pPr>
      <w:r w:rsidRPr="00893FB1">
        <w:rPr>
          <w:rFonts w:cstheme="minorHAnsi"/>
          <w:b/>
          <w:bCs/>
          <w:color w:val="000000" w:themeColor="text1"/>
          <w:sz w:val="24"/>
          <w:szCs w:val="24"/>
          <w:shd w:val="clear" w:color="auto" w:fill="FFFFFF"/>
        </w:rPr>
        <w:t>Word Count - 916</w:t>
      </w:r>
    </w:p>
    <w:p w14:paraId="05824ACF" w14:textId="77777777" w:rsidR="00893FB1" w:rsidRDefault="00893FB1"/>
    <w:sectPr w:rsidR="00893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FB1"/>
    <w:rsid w:val="003F3BEE"/>
    <w:rsid w:val="006F10D2"/>
    <w:rsid w:val="00866095"/>
    <w:rsid w:val="00893FB1"/>
    <w:rsid w:val="00A3446B"/>
    <w:rsid w:val="00B50CE7"/>
    <w:rsid w:val="00F56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604B9"/>
  <w15:chartTrackingRefBased/>
  <w15:docId w15:val="{C3B9BE5E-43DB-4670-A043-67B29C27B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F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93FB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3817</Words>
  <Characters>21757</Characters>
  <Application>Microsoft Office Word</Application>
  <DocSecurity>0</DocSecurity>
  <Lines>181</Lines>
  <Paragraphs>51</Paragraphs>
  <ScaleCrop>false</ScaleCrop>
  <Company>Gwent Police</Company>
  <LinksUpToDate>false</LinksUpToDate>
  <CharactersWithSpaces>25523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Luke</dc:creator>
  <cp:keywords/>
  <dc:description/>
  <cp:lastModifiedBy>Phillips, Luke</cp:lastModifiedBy>
  <cp:revision>2</cp:revision>
  <dcterms:created xsi:type="dcterms:W3CDTF">2024-04-15T11:48:00Z</dcterms:created>
  <dcterms:modified xsi:type="dcterms:W3CDTF">2024-04-15T11:48:00Z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2024-04-15T11:36:12Z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5a550f85-ed24-493c-b09e-b9af0fb5ef28</vt:lpwstr>
  </property>
  <property fmtid="{D5CDD505-2E9C-101B-9397-08002B2CF9AE}" pid="8" name="MSIP_Label_f2acd28b-79a3-4a0f-b0ff-4b75658b1549_ContentBits">
    <vt:lpwstr>0</vt:lpwstr>
  </property>
</Properties>
</file>