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b/>
          <w:bCs/>
        </w:rPr>
      </w:pPr>
      <w:r>
        <w:rPr>
          <w:b/>
          <w:bCs/>
        </w:rPr>
        <w:t>Strategic Management Examination Questions and Answer Template</w:t>
      </w:r>
    </w:p>
    <w:tbl>
      <w:tblPr>
        <w:tblStyle w:val="5"/>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508"/>
        <w:gridCol w:w="450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pPr>
              <w:spacing w:after="0" w:line="240" w:lineRule="auto"/>
            </w:pPr>
            <w:r>
              <w:t>Student Name</w:t>
            </w:r>
          </w:p>
        </w:tc>
        <w:tc>
          <w:tcPr>
            <w:tcW w:w="4508" w:type="dxa"/>
          </w:tcPr>
          <w:p>
            <w:pPr>
              <w:spacing w:after="0" w:line="240" w:lineRule="auto"/>
              <w:rPr>
                <w:rFonts w:hint="default" w:eastAsia="宋体"/>
                <w:lang w:val="en-US" w:eastAsia="zh-CN"/>
              </w:rPr>
            </w:pPr>
            <w:r>
              <w:rPr>
                <w:rFonts w:hint="eastAsia" w:eastAsia="宋体"/>
                <w:lang w:val="en-US" w:eastAsia="zh-CN"/>
              </w:rPr>
              <w:t>Yingqian Tan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pPr>
              <w:spacing w:after="0" w:line="240" w:lineRule="auto"/>
            </w:pPr>
            <w:r>
              <w:t>Student Number</w:t>
            </w:r>
          </w:p>
        </w:tc>
        <w:tc>
          <w:tcPr>
            <w:tcW w:w="4508" w:type="dxa"/>
          </w:tcPr>
          <w:p>
            <w:pPr>
              <w:spacing w:after="0" w:line="240" w:lineRule="auto"/>
              <w:rPr>
                <w:rFonts w:hint="default" w:eastAsia="宋体"/>
                <w:lang w:val="en-US" w:eastAsia="zh-CN"/>
              </w:rPr>
            </w:pPr>
            <w:r>
              <w:rPr>
                <w:rFonts w:hint="eastAsia" w:eastAsia="宋体"/>
                <w:lang w:val="en-US" w:eastAsia="zh-CN"/>
              </w:rPr>
              <w:t>2307759</w:t>
            </w:r>
          </w:p>
        </w:tc>
      </w:tr>
    </w:tbl>
    <w:p>
      <w:pPr>
        <w:spacing w:before="100" w:beforeAutospacing="1"/>
      </w:pPr>
      <w:r>
        <w:t>Students must answer all four questions in the template below:</w:t>
      </w:r>
    </w:p>
    <w:tbl>
      <w:tblPr>
        <w:tblStyle w:val="5"/>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413"/>
        <w:gridCol w:w="760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413" w:type="dxa"/>
          </w:tcPr>
          <w:p>
            <w:pPr>
              <w:spacing w:after="0" w:line="240" w:lineRule="auto"/>
            </w:pPr>
            <w:r>
              <w:t>Question</w:t>
            </w:r>
          </w:p>
        </w:tc>
        <w:tc>
          <w:tcPr>
            <w:tcW w:w="7603" w:type="dxa"/>
          </w:tcPr>
          <w:p>
            <w:pPr>
              <w:spacing w:after="0" w:line="240" w:lineRule="auto"/>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413" w:type="dxa"/>
          </w:tcPr>
          <w:p>
            <w:pPr>
              <w:spacing w:after="0" w:line="240" w:lineRule="auto"/>
            </w:pPr>
            <w:r>
              <w:t>1 (40%)</w:t>
            </w:r>
          </w:p>
        </w:tc>
        <w:tc>
          <w:tcPr>
            <w:tcW w:w="7603" w:type="dxa"/>
          </w:tcPr>
          <w:p>
            <w:pPr>
              <w:spacing w:after="0" w:line="240" w:lineRule="auto"/>
              <w:rPr>
                <w:sz w:val="22"/>
              </w:rPr>
            </w:pPr>
            <w:r>
              <w:rPr>
                <w:sz w:val="22"/>
              </w:rPr>
              <w:t xml:space="preserve">Igor Ansoff identified salient features and key questions of strategic management which need to be explored as organisations steer their path into the future. He said, </w:t>
            </w:r>
          </w:p>
          <w:p>
            <w:pPr>
              <w:spacing w:after="0" w:line="240" w:lineRule="auto"/>
              <w:rPr>
                <w:sz w:val="22"/>
              </w:rPr>
            </w:pPr>
            <w:r>
              <w:rPr>
                <w:sz w:val="22"/>
              </w:rPr>
              <w:t>“A basic hypothesis of the book is that an organisation will be successful if environment, response, culture and capability match each other” (Ansoff 1979: 11).</w:t>
            </w:r>
          </w:p>
          <w:p>
            <w:pPr>
              <w:spacing w:after="160" w:line="259" w:lineRule="auto"/>
              <w:rPr>
                <w:sz w:val="22"/>
              </w:rPr>
            </w:pPr>
            <w:r>
              <w:rPr>
                <w:sz w:val="22"/>
              </w:rPr>
              <w:t>Based on your understanding of key concepts associated with this important discipline (strategy, strategic management, strategic planning etc.) and models like McKinsey’s 7-S Framework, what advice would you give to your case study organisation about how they might navigate their way to a more successful future?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2"/>
          </w:tcPr>
          <w:p>
            <w:pPr>
              <w:spacing w:after="0" w:line="240" w:lineRule="auto"/>
              <w:rPr>
                <w:rFonts w:hint="eastAsia" w:eastAsia="宋体"/>
                <w:lang w:val="en-US" w:eastAsia="zh-CN"/>
              </w:rPr>
            </w:pPr>
            <w:r>
              <w:t>Write your answer here:</w:t>
            </w:r>
            <w:r>
              <w:rPr>
                <w:rFonts w:hint="eastAsia" w:eastAsia="宋体"/>
                <w:lang w:val="en-US" w:eastAsia="zh-CN"/>
              </w:rPr>
              <w:t>To help Tesla navigate towards a more successful future using strategic management principles.</w:t>
            </w:r>
          </w:p>
          <w:p>
            <w:pPr>
              <w:numPr>
                <w:ilvl w:val="0"/>
                <w:numId w:val="1"/>
              </w:numPr>
              <w:spacing w:after="0" w:line="240" w:lineRule="auto"/>
              <w:rPr>
                <w:rFonts w:hint="default" w:eastAsia="宋体"/>
                <w:lang w:val="en-US" w:eastAsia="zh-CN"/>
              </w:rPr>
            </w:pPr>
            <w:r>
              <w:rPr>
                <w:rFonts w:hint="eastAsia" w:eastAsia="宋体"/>
                <w:lang w:val="en-US" w:eastAsia="zh-CN"/>
              </w:rPr>
              <w:t>Strategy：Tesla needs to strengthen its strategy and cotinue to innovate in electric and renewable energy solutions and promote new markets, such as energy storage and automatic operation. Moreover, by focusing on the sustainability of the entire supply chain, Tesla can help develop new markets and increase demand for green solutions.</w:t>
            </w:r>
          </w:p>
          <w:p>
            <w:pPr>
              <w:numPr>
                <w:ilvl w:val="0"/>
                <w:numId w:val="1"/>
              </w:numPr>
              <w:spacing w:after="0" w:line="240" w:lineRule="auto"/>
              <w:rPr>
                <w:rFonts w:hint="default" w:eastAsia="宋体"/>
                <w:lang w:val="en-US" w:eastAsia="zh-CN"/>
              </w:rPr>
            </w:pPr>
            <w:r>
              <w:rPr>
                <w:rFonts w:hint="eastAsia" w:eastAsia="宋体"/>
                <w:lang w:val="en-US" w:eastAsia="zh-CN"/>
              </w:rPr>
              <w:t>Structure : With the development of Tesla, it is necessary to consider whether the present hierarchical structure is the most effective structure to promote innovation and meet production demand. This includes the transfer of authority, the construction of more autonomous regional departments, and the need to respond quickly to the needs of regional markets and regulatory environments, and to increase extensibility and flexibility.</w:t>
            </w:r>
          </w:p>
          <w:p>
            <w:pPr>
              <w:numPr>
                <w:ilvl w:val="0"/>
                <w:numId w:val="1"/>
              </w:numPr>
              <w:spacing w:after="0" w:line="240" w:lineRule="auto"/>
              <w:rPr>
                <w:rFonts w:hint="default" w:eastAsia="宋体"/>
                <w:lang w:val="en-US" w:eastAsia="zh-CN"/>
              </w:rPr>
            </w:pPr>
            <w:r>
              <w:rPr>
                <w:rFonts w:hint="eastAsia" w:eastAsia="宋体"/>
                <w:lang w:val="en-US" w:eastAsia="zh-CN"/>
              </w:rPr>
              <w:t>System:  Tesla needs an advanced system to integrate wide functionality from production to customer service. Improvements in the enterprise resource planning (ERP) and customer relationship management (CRM) systems help to simplify jobs, improve customer experience, and ensure that growth does not affect quality and security.</w:t>
            </w:r>
          </w:p>
          <w:p>
            <w:pPr>
              <w:numPr>
                <w:ilvl w:val="0"/>
                <w:numId w:val="1"/>
              </w:numPr>
              <w:spacing w:after="0" w:line="240" w:lineRule="auto"/>
              <w:rPr>
                <w:rFonts w:hint="default" w:eastAsia="宋体"/>
                <w:lang w:val="en-US" w:eastAsia="zh-CN"/>
              </w:rPr>
            </w:pPr>
            <w:r>
              <w:rPr>
                <w:rFonts w:hint="eastAsia" w:eastAsia="宋体"/>
                <w:lang w:val="en-US" w:eastAsia="zh-CN"/>
              </w:rPr>
              <w:t xml:space="preserve">Shared values: </w:t>
            </w:r>
            <w:r>
              <w:rPr>
                <w:rFonts w:hint="default" w:eastAsia="宋体"/>
                <w:lang w:val="en-US" w:eastAsia="zh-CN"/>
              </w:rPr>
              <w:t>enhancing innovation, quality and sustainable culture can lead to the work of all organizations. Tesla is able to promote these values through internal activities, leadership models, and corporate social responsibility initiatives, which meet the mission to accelerate migration to the world's sustainable energy.</w:t>
            </w:r>
            <w:r>
              <w:rPr>
                <w:rFonts w:hint="eastAsia" w:eastAsia="宋体"/>
                <w:lang w:val="en-US" w:eastAsia="zh-CN"/>
              </w:rPr>
              <w:t>Style:</w:t>
            </w:r>
          </w:p>
          <w:p>
            <w:pPr>
              <w:numPr>
                <w:ilvl w:val="0"/>
                <w:numId w:val="1"/>
              </w:numPr>
              <w:spacing w:after="0" w:line="240" w:lineRule="auto"/>
              <w:rPr>
                <w:rFonts w:hint="default" w:eastAsia="宋体"/>
                <w:lang w:val="en-US" w:eastAsia="zh-CN"/>
              </w:rPr>
            </w:pPr>
            <w:r>
              <w:rPr>
                <w:rFonts w:hint="eastAsia" w:eastAsia="宋体"/>
                <w:lang w:val="en-US" w:eastAsia="zh-CN"/>
              </w:rPr>
              <w:t>Style:  People can bring out the entire organization's creativity by maintaining an open and innovative management style. The Tesla executives will continue to cultivate the culture that encourages the adventure, consider failure as an opportunity for learning and create a new environment for new ideas.</w:t>
            </w:r>
          </w:p>
          <w:p>
            <w:pPr>
              <w:numPr>
                <w:ilvl w:val="0"/>
                <w:numId w:val="1"/>
              </w:numPr>
              <w:spacing w:after="0" w:line="240" w:lineRule="auto"/>
              <w:rPr>
                <w:rFonts w:hint="default" w:eastAsia="宋体"/>
                <w:lang w:val="en-US" w:eastAsia="zh-CN"/>
              </w:rPr>
            </w:pPr>
            <w:r>
              <w:rPr>
                <w:rFonts w:hint="eastAsia" w:eastAsia="宋体"/>
                <w:lang w:val="en-US" w:eastAsia="zh-CN"/>
              </w:rPr>
              <w:t>Employees: the sustained success of Tesla is heavily dependent on the ability to attract and withdraw personnel, particularly in areas such as battery technology, the development of automated driving software, and the expansion of the world market. Implementing strong personnel management and development programs will help maintain qualified employees who meet Tesla's strategic goals.</w:t>
            </w:r>
          </w:p>
          <w:p>
            <w:pPr>
              <w:numPr>
                <w:numId w:val="0"/>
              </w:numPr>
              <w:spacing w:after="0" w:line="240" w:lineRule="auto"/>
              <w:rPr>
                <w:rFonts w:hint="default" w:eastAsia="宋体"/>
                <w:lang w:val="en-US" w:eastAsia="zh-CN"/>
              </w:rPr>
            </w:pPr>
          </w:p>
          <w:p>
            <w:pPr>
              <w:numPr>
                <w:ilvl w:val="0"/>
                <w:numId w:val="1"/>
              </w:numPr>
              <w:spacing w:after="0" w:line="240" w:lineRule="auto"/>
              <w:ind w:left="0" w:leftChars="0" w:firstLine="0" w:firstLineChars="0"/>
            </w:pPr>
            <w:r>
              <w:rPr>
                <w:rFonts w:hint="eastAsia"/>
              </w:rPr>
              <w:t>Skill</w:t>
            </w:r>
            <w:r>
              <w:rPr>
                <w:rFonts w:hint="eastAsia" w:eastAsia="宋体"/>
                <w:lang w:val="en-US" w:eastAsia="zh-CN"/>
              </w:rPr>
              <w:t>s</w:t>
            </w:r>
            <w:bookmarkStart w:id="0" w:name="_GoBack"/>
            <w:bookmarkEnd w:id="0"/>
            <w:r>
              <w:rPr>
                <w:rFonts w:hint="eastAsia"/>
              </w:rPr>
              <w:t>: with progress in technology, Tesla employees should have the same skills. The company should invest in continuous learning and development projects of new technologies such as artificial intelligence, robots and next generation battery technologies. This emphasis will keep Tesla at the forefront of cars and energy solutions.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413" w:type="dxa"/>
          </w:tcPr>
          <w:p>
            <w:pPr>
              <w:spacing w:after="0" w:line="240" w:lineRule="auto"/>
            </w:pPr>
            <w:r>
              <w:t>2 (20%)</w:t>
            </w:r>
          </w:p>
        </w:tc>
        <w:tc>
          <w:tcPr>
            <w:tcW w:w="7603" w:type="dxa"/>
          </w:tcPr>
          <w:p>
            <w:pPr>
              <w:spacing w:after="0" w:line="240" w:lineRule="auto"/>
              <w:rPr>
                <w:sz w:val="22"/>
              </w:rPr>
            </w:pPr>
            <w:r>
              <w:rPr>
                <w:sz w:val="22"/>
              </w:rPr>
              <w:t xml:space="preserve">In 2001, Kent Beck and colleagues produced their Manifesto for Agile Software Development. Over twenty years later, the roots of Agile thinking have grown in ways they could not have imagined. </w:t>
            </w:r>
          </w:p>
          <w:p>
            <w:pPr>
              <w:spacing w:after="160" w:line="259" w:lineRule="auto"/>
              <w:rPr>
                <w:sz w:val="22"/>
              </w:rPr>
            </w:pPr>
            <w:r>
              <w:rPr>
                <w:sz w:val="22"/>
              </w:rPr>
              <w:t>Please clarify your understanding of how Agile values and principles can help organisations shape their strategic approach.</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2"/>
          </w:tcPr>
          <w:p>
            <w:pPr>
              <w:spacing w:after="0" w:line="240" w:lineRule="auto"/>
            </w:pPr>
            <w:r>
              <w:t xml:space="preserve">Write your answer here: </w:t>
            </w:r>
          </w:p>
          <w:p>
            <w:pPr>
              <w:spacing w:after="0" w:line="240" w:lineRule="auto"/>
              <w:rPr>
                <w:rFonts w:hint="default" w:eastAsia="宋体"/>
                <w:lang w:val="en-US" w:eastAsia="zh-CN"/>
              </w:rPr>
            </w:pPr>
            <w:r>
              <w:rPr>
                <w:rFonts w:hint="eastAsia" w:eastAsia="宋体"/>
                <w:lang w:val="en-US" w:eastAsia="zh-CN"/>
              </w:rPr>
              <w:t>Flexible values and principles can significantly shape an organization</w:t>
            </w:r>
            <w:r>
              <w:rPr>
                <w:rFonts w:hint="default" w:eastAsia="宋体"/>
                <w:lang w:val="en-US" w:eastAsia="zh-CN"/>
              </w:rPr>
              <w:t>’</w:t>
            </w:r>
            <w:r>
              <w:rPr>
                <w:rFonts w:hint="eastAsia" w:eastAsia="宋体"/>
                <w:lang w:val="en-US" w:eastAsia="zh-CN"/>
              </w:rPr>
              <w:t xml:space="preserve">s strategic direction, promote adaptability, customer-centric development, and continuous improvement.Flexibility encourages companies to maintain flexibility in the face of change and uncertainty, which is crucial in today's rapidly changing business environment. By emphasizing collaboration and feedback, flexible methods ensure that customer needs and feedback are quickly and effectively integrated into product development. This not only improves customer satisfaction, but also enables the company to maintain competitiveness and innovation by continuously adjusting its knowledge-based real-time strategy. Emphasizing the iterative process and team building also helps to create a culture that promotes sustainable growth, innovation, and employee engagement.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413" w:type="dxa"/>
          </w:tcPr>
          <w:p>
            <w:pPr>
              <w:spacing w:after="0" w:line="240" w:lineRule="auto"/>
            </w:pPr>
            <w:r>
              <w:t>3 (20%)</w:t>
            </w:r>
          </w:p>
        </w:tc>
        <w:tc>
          <w:tcPr>
            <w:tcW w:w="7603" w:type="dxa"/>
          </w:tcPr>
          <w:p>
            <w:pPr>
              <w:spacing w:after="0" w:line="240" w:lineRule="auto"/>
              <w:rPr>
                <w:sz w:val="22"/>
              </w:rPr>
            </w:pPr>
            <w:r>
              <w:rPr>
                <w:sz w:val="22"/>
              </w:rPr>
              <w:t>The history of management theory is peppered with great thinkers who shaped the dynamic business environments of their time. In the twenty-first century strategic management is a fast-changing environment with disruptive thinkers suggesting that the old ways should be placed firmly in the past.</w:t>
            </w:r>
          </w:p>
          <w:p>
            <w:pPr>
              <w:spacing w:after="0" w:line="240" w:lineRule="auto"/>
              <w:rPr>
                <w:sz w:val="22"/>
              </w:rPr>
            </w:pPr>
          </w:p>
          <w:p>
            <w:pPr>
              <w:spacing w:after="0" w:line="240" w:lineRule="auto"/>
              <w:rPr>
                <w:sz w:val="22"/>
              </w:rPr>
            </w:pPr>
            <w:r>
              <w:rPr>
                <w:sz w:val="22"/>
              </w:rPr>
              <w:t>Thinking of Jimmy Wales’s contention, “At the end of the day management is inspiring people to do the things that need to be done,” do you agree that ‘command and control’ should be replaced by the drive to ‘inspire and coach’ and why?</w:t>
            </w:r>
          </w:p>
          <w:p>
            <w:pPr>
              <w:spacing w:after="0" w:line="240" w:lineRule="auto"/>
              <w:rPr>
                <w:sz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2"/>
          </w:tcPr>
          <w:p>
            <w:pPr>
              <w:spacing w:after="0" w:line="240" w:lineRule="auto"/>
            </w:pPr>
            <w:r>
              <w:t>Write your answer here:</w:t>
            </w:r>
          </w:p>
          <w:p>
            <w:pPr>
              <w:spacing w:after="0" w:line="240" w:lineRule="auto"/>
            </w:pPr>
            <w:r>
              <w:rPr>
                <w:rFonts w:hint="eastAsia" w:eastAsia="宋体"/>
                <w:lang w:val="en-US" w:eastAsia="zh-CN"/>
              </w:rPr>
              <w:t xml:space="preserve">I do agree with  the shift. </w:t>
            </w:r>
            <w:r>
              <w:rPr>
                <w:rFonts w:hint="eastAsia"/>
              </w:rPr>
              <w:t>The shift from "command and control" to "encouragement and guidance" often reflects the top down management style and hinders innovation and weakens the professional spirit of employees. Conversely, motivation and leadership create an environment that encourages team members to actively and creative thinking and growing. This method is compliant with the current working environment, emphasizing flexibility, rapid changes, and ongoing improvements. This helps to attract and attract people who are actively developing in cooperation and rights. The shift from leadership and control to leadership incentives is consistent with the characteristics of contemporary workers who focus on independence, goals and growth opportunities. This approach allows employees to make innovation and decision free and reliable, and it is important to adapt to the vitality and vibrant industry. Leadership of incentives and leadership often leads to higher work satisfaction, lower liquidity and greater commitment to organizational objectives. It continually learns, cultivates mutual respect culture, makes organizations more flexible, and allows employees and companies to respond to the complexity and challenges of the 21st century market.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413" w:type="dxa"/>
          </w:tcPr>
          <w:p>
            <w:pPr>
              <w:spacing w:after="0" w:line="240" w:lineRule="auto"/>
            </w:pPr>
            <w:r>
              <w:t>4 (20%)</w:t>
            </w:r>
          </w:p>
        </w:tc>
        <w:tc>
          <w:tcPr>
            <w:tcW w:w="7603" w:type="dxa"/>
          </w:tcPr>
          <w:p>
            <w:pPr>
              <w:spacing w:after="0" w:line="240" w:lineRule="auto"/>
              <w:rPr>
                <w:sz w:val="22"/>
              </w:rPr>
            </w:pPr>
            <w:r>
              <w:rPr>
                <w:sz w:val="22"/>
              </w:rPr>
              <w:t xml:space="preserve">Are people like Michael Porter and John Elliott (EBAC) correct, should businesses be concerned about changing the world for the better, or simply focus on making money for shareholders? </w:t>
            </w:r>
          </w:p>
          <w:p>
            <w:pPr>
              <w:spacing w:after="160" w:line="259" w:lineRule="auto"/>
              <w:rPr>
                <w:sz w:val="22"/>
              </w:rPr>
            </w:pPr>
            <w:r>
              <w:rPr>
                <w:sz w:val="22"/>
              </w:rPr>
              <w:t>Consideration of Corporate Social Responsibility (CSR), of shareholder and stakeholder theory, and of the importance of culture in a global context is important here.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2"/>
          </w:tcPr>
          <w:p>
            <w:pPr>
              <w:spacing w:after="0" w:line="240" w:lineRule="auto"/>
            </w:pPr>
            <w:r>
              <w:t>Write your answer here:</w:t>
            </w:r>
          </w:p>
          <w:p>
            <w:pPr>
              <w:spacing w:after="0" w:line="240" w:lineRule="auto"/>
            </w:pPr>
            <w:r>
              <w:rPr>
                <w:rFonts w:hint="eastAsia"/>
              </w:rPr>
              <w:t>Michael Potter and John Elliott pointed out that the growing business outlook reflects the corporate social responsibility (CSR) principle, balancing profits and creating positive social effects. This approach is consistent with the stakeholder theory that companies should consider businesses as well as the interests of shareholders, as well as the benefits of all stakeholders. On the global scale, it is becoming increasingly important for companies to influence their responsibilities beyond their culture and borders. Incorporating corporate social responsibility into corporate strategies can bring sustainable business practices, promote long-term profitability and social welfare, promote positive corporate culture, and strengthen the company's global reputation. The balance of shareholders' interests and broader social interest are the core of modern strategic management. This method is supported by theories such as corporate social responsibility and stakeholder theory, which show that companies can create profits and contribute positively to society. Such dual positioning can increase the long-term value of shareholders by bringing sustainable business practices and increasing the reputation of the company, increasing customer loyalty, and potentially reducing supervisory management and legal issues. You can also encourage strong corporate social responsibility to attract and maintain talented employees and work in companies focused on individual values. Therefore, the view of thinkers such as Michael Potter and John Elliott reflects not only that business success and social welfare are mutually discernible, but also increasingly recognizable.</w:t>
            </w:r>
          </w:p>
          <w:p>
            <w:pPr>
              <w:spacing w:after="0" w:line="240" w:lineRule="auto"/>
            </w:pPr>
          </w:p>
        </w:tc>
      </w:tr>
    </w:tbl>
    <w:p/>
    <w:sectPr>
      <w:headerReference r:id="rId5" w:type="default"/>
      <w:pgSz w:w="11906" w:h="16838"/>
      <w:pgMar w:top="1134" w:right="1440" w:bottom="1134" w:left="1440" w:header="709" w:footer="709"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00"/>
    <w:family w:val="auto"/>
    <w:pitch w:val="default"/>
    <w:sig w:usb0="E4002EFF" w:usb1="C000247B" w:usb2="00000009" w:usb3="00000000" w:csb0="200001FF" w:csb1="00000000"/>
  </w:font>
  <w:font w:name="Arial">
    <w:panose1 w:val="020B0604020202020204"/>
    <w:charset w:val="00"/>
    <w:family w:val="swiss"/>
    <w:pitch w:val="default"/>
    <w:sig w:usb0="E0002EFF" w:usb1="C000785B" w:usb2="00000009" w:usb3="00000000" w:csb0="400001FF" w:csb1="FFFF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jc w:val="center"/>
    </w:pPr>
    <w:r>
      <w:t>BMBM6015 Strategic Management and Sustainability</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69EC6974"/>
    <w:multiLevelType w:val="singleLevel"/>
    <w:tmpl w:val="69EC6974"/>
    <w:lvl w:ilvl="0" w:tentative="0">
      <w:start w:val="1"/>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NotDisplayPageBoundaries w:val="1"/>
  <w:documentProtection w:enforcement="0"/>
  <w:defaultTabStop w:val="720"/>
  <w:characterSpacingControl w:val="doNotCompress"/>
  <w:footnotePr>
    <w:footnote w:id="0"/>
    <w:footnote w:id="1"/>
  </w:footnotePr>
  <w:endnotePr>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ZTA4NzIyN2MxYTlmMzQ1NGE2MjU5NWRkMjhlOGMxYTAifQ=="/>
  </w:docVars>
  <w:rsids>
    <w:rsidRoot w:val="008C6A6A"/>
    <w:rsid w:val="0001453D"/>
    <w:rsid w:val="00064F6C"/>
    <w:rsid w:val="000D32DD"/>
    <w:rsid w:val="00193B0C"/>
    <w:rsid w:val="00224DA6"/>
    <w:rsid w:val="002C087A"/>
    <w:rsid w:val="002E5C88"/>
    <w:rsid w:val="00674F40"/>
    <w:rsid w:val="006E1E9A"/>
    <w:rsid w:val="0076032A"/>
    <w:rsid w:val="007A25E5"/>
    <w:rsid w:val="008A78F5"/>
    <w:rsid w:val="008C6A6A"/>
    <w:rsid w:val="0097226F"/>
    <w:rsid w:val="009A04BC"/>
    <w:rsid w:val="00A26855"/>
    <w:rsid w:val="00B16D36"/>
    <w:rsid w:val="00B259AE"/>
    <w:rsid w:val="00B34035"/>
    <w:rsid w:val="00D52585"/>
    <w:rsid w:val="00D72A9D"/>
    <w:rsid w:val="00F93D61"/>
    <w:rsid w:val="00FC315B"/>
    <w:rsid w:val="02C09C05"/>
    <w:rsid w:val="160853EE"/>
    <w:rsid w:val="27391D70"/>
    <w:rsid w:val="2CB01929"/>
    <w:rsid w:val="30CB71E3"/>
    <w:rsid w:val="410D7552"/>
    <w:rsid w:val="42403875"/>
    <w:rsid w:val="767174B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autoRedefine/>
    <w:qFormat/>
    <w:uiPriority w:val="0"/>
    <w:pPr>
      <w:spacing w:after="160" w:line="259" w:lineRule="auto"/>
    </w:pPr>
    <w:rPr>
      <w:rFonts w:ascii="Arial" w:hAnsi="Arial" w:eastAsiaTheme="minorHAnsi" w:cstheme="minorBidi"/>
      <w:kern w:val="2"/>
      <w:sz w:val="24"/>
      <w:szCs w:val="22"/>
      <w:lang w:val="en-GB" w:eastAsia="en-US" w:bidi="ar-SA"/>
      <w14:ligatures w14:val="standardContextual"/>
    </w:rPr>
  </w:style>
  <w:style w:type="character" w:default="1" w:styleId="6">
    <w:name w:val="Default Paragraph Font"/>
    <w:autoRedefine/>
    <w:semiHidden/>
    <w:unhideWhenUsed/>
    <w:qFormat/>
    <w:uiPriority w:val="1"/>
  </w:style>
  <w:style w:type="table" w:default="1" w:styleId="4">
    <w:name w:val="Normal Table"/>
    <w:autoRedefine/>
    <w:semiHidden/>
    <w:unhideWhenUsed/>
    <w:qFormat/>
    <w:uiPriority w:val="99"/>
    <w:tblPr>
      <w:tblCellMar>
        <w:top w:w="0" w:type="dxa"/>
        <w:left w:w="108" w:type="dxa"/>
        <w:bottom w:w="0" w:type="dxa"/>
        <w:right w:w="108" w:type="dxa"/>
      </w:tblCellMar>
    </w:tblPr>
  </w:style>
  <w:style w:type="paragraph" w:styleId="2">
    <w:name w:val="footer"/>
    <w:basedOn w:val="1"/>
    <w:link w:val="8"/>
    <w:autoRedefine/>
    <w:unhideWhenUsed/>
    <w:qFormat/>
    <w:uiPriority w:val="99"/>
    <w:pPr>
      <w:tabs>
        <w:tab w:val="center" w:pos="4513"/>
        <w:tab w:val="right" w:pos="9026"/>
      </w:tabs>
      <w:spacing w:after="0" w:line="240" w:lineRule="auto"/>
    </w:pPr>
  </w:style>
  <w:style w:type="paragraph" w:styleId="3">
    <w:name w:val="header"/>
    <w:basedOn w:val="1"/>
    <w:link w:val="7"/>
    <w:autoRedefine/>
    <w:unhideWhenUsed/>
    <w:qFormat/>
    <w:uiPriority w:val="99"/>
    <w:pPr>
      <w:tabs>
        <w:tab w:val="center" w:pos="4513"/>
        <w:tab w:val="right" w:pos="9026"/>
      </w:tabs>
      <w:spacing w:after="0" w:line="240" w:lineRule="auto"/>
    </w:pPr>
  </w:style>
  <w:style w:type="table" w:styleId="5">
    <w:name w:val="Table Grid"/>
    <w:basedOn w:val="4"/>
    <w:autoRedefine/>
    <w:qFormat/>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customStyle="1" w:styleId="7">
    <w:name w:val="Header Char"/>
    <w:basedOn w:val="6"/>
    <w:link w:val="3"/>
    <w:autoRedefine/>
    <w:qFormat/>
    <w:uiPriority w:val="99"/>
  </w:style>
  <w:style w:type="character" w:customStyle="1" w:styleId="8">
    <w:name w:val="Footer Char"/>
    <w:basedOn w:val="6"/>
    <w:link w:val="2"/>
    <w:uiPriority w:val="99"/>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3</Pages>
  <Words>322</Words>
  <Characters>1839</Characters>
  <Lines>15</Lines>
  <Paragraphs>4</Paragraphs>
  <TotalTime>74</TotalTime>
  <ScaleCrop>false</ScaleCrop>
  <LinksUpToDate>false</LinksUpToDate>
  <CharactersWithSpaces>2157</CharactersWithSpaces>
  <Application>WPS Office_12.1.0.16729_F1E327BC-269C-435d-A152-05C5408002CA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2024-04-12T10:56:00Z</dcterms:created>
  <dc:creator>Mike Durke</dc:creator>
  <cp:lastModifiedBy>admin</cp:lastModifiedBy>
  <dcterms:modified xsi:type="dcterms:W3CDTF">2024-05-13T08:51:24Z</dcterms:modified>
  <cp:revision>8</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2052-12.1.0.16729</vt:lpwstr>
  </property>
  <property fmtid="{D5CDD505-2E9C-101B-9397-08002B2CF9AE}" pid="3" name="ICV">
    <vt:lpwstr>7776837A32794D079FD3342D9CFDAF3C_13</vt:lpwstr>
  </property>
</Properties>
</file>