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14438" w14:textId="40A79091" w:rsidR="00D65B6D" w:rsidRDefault="00D65B6D">
      <w:pPr>
        <w:rPr>
          <w:rFonts w:ascii="Arial" w:hAnsi="Arial" w:cs="Arial"/>
          <w:sz w:val="72"/>
          <w:szCs w:val="72"/>
        </w:rPr>
      </w:pPr>
    </w:p>
    <w:p w14:paraId="7761E6D6" w14:textId="01E1899F" w:rsidR="00AE4782" w:rsidRDefault="00AE4782">
      <w:pPr>
        <w:rPr>
          <w:rFonts w:ascii="Arial" w:hAnsi="Arial" w:cs="Arial"/>
          <w:sz w:val="72"/>
          <w:szCs w:val="72"/>
        </w:rPr>
      </w:pPr>
    </w:p>
    <w:p w14:paraId="221F4EBE" w14:textId="77777777" w:rsidR="00AE4782" w:rsidRDefault="00AE4782" w:rsidP="00AE4782">
      <w:pPr>
        <w:jc w:val="center"/>
        <w:rPr>
          <w:rFonts w:ascii="Arial" w:hAnsi="Arial" w:cs="Arial"/>
          <w:b/>
          <w:bCs/>
          <w:sz w:val="72"/>
          <w:szCs w:val="72"/>
        </w:rPr>
      </w:pPr>
    </w:p>
    <w:p w14:paraId="68718FCB" w14:textId="0060F18D" w:rsidR="00AE4782" w:rsidRDefault="00AE4782" w:rsidP="00AE4782">
      <w:pPr>
        <w:jc w:val="center"/>
        <w:rPr>
          <w:rFonts w:ascii="Arial" w:hAnsi="Arial" w:cs="Arial"/>
          <w:b/>
          <w:bCs/>
          <w:sz w:val="72"/>
          <w:szCs w:val="72"/>
        </w:rPr>
      </w:pPr>
      <w:r>
        <w:rPr>
          <w:rFonts w:ascii="Arial" w:hAnsi="Arial" w:cs="Arial"/>
          <w:b/>
          <w:bCs/>
          <w:sz w:val="72"/>
          <w:szCs w:val="72"/>
        </w:rPr>
        <w:t>Equity &amp; Trusts – Assignment 1: Trusts</w:t>
      </w:r>
    </w:p>
    <w:p w14:paraId="5FAACCE8" w14:textId="2F639FF8" w:rsidR="00AE4782" w:rsidRDefault="00AE4782" w:rsidP="00AE4782">
      <w:pPr>
        <w:jc w:val="center"/>
        <w:rPr>
          <w:rFonts w:ascii="Arial" w:hAnsi="Arial" w:cs="Arial"/>
          <w:sz w:val="40"/>
          <w:szCs w:val="40"/>
        </w:rPr>
      </w:pPr>
      <w:r>
        <w:rPr>
          <w:rFonts w:ascii="Arial" w:hAnsi="Arial" w:cs="Arial"/>
          <w:sz w:val="40"/>
          <w:szCs w:val="40"/>
        </w:rPr>
        <w:t xml:space="preserve">By George Lovering </w:t>
      </w:r>
    </w:p>
    <w:p w14:paraId="1BFCA97D" w14:textId="77777777" w:rsidR="00AE4782" w:rsidRDefault="00AE4782">
      <w:pPr>
        <w:rPr>
          <w:rFonts w:ascii="Arial" w:hAnsi="Arial" w:cs="Arial"/>
          <w:sz w:val="40"/>
          <w:szCs w:val="40"/>
        </w:rPr>
      </w:pPr>
      <w:r>
        <w:rPr>
          <w:rFonts w:ascii="Arial" w:hAnsi="Arial" w:cs="Arial"/>
          <w:sz w:val="40"/>
          <w:szCs w:val="40"/>
        </w:rPr>
        <w:br w:type="page"/>
      </w:r>
    </w:p>
    <w:p w14:paraId="338FD177" w14:textId="0C959A62" w:rsidR="00AE4782" w:rsidRDefault="00EC247A" w:rsidP="008E2874">
      <w:pPr>
        <w:spacing w:line="480" w:lineRule="auto"/>
        <w:rPr>
          <w:rFonts w:ascii="Arial" w:hAnsi="Arial" w:cs="Arial"/>
          <w:sz w:val="24"/>
          <w:szCs w:val="24"/>
        </w:rPr>
      </w:pPr>
      <w:r>
        <w:rPr>
          <w:rFonts w:ascii="Arial" w:hAnsi="Arial" w:cs="Arial"/>
          <w:sz w:val="24"/>
          <w:szCs w:val="24"/>
        </w:rPr>
        <w:lastRenderedPageBreak/>
        <w:t>During this discussion, there will be an examination of the concept that is a trust</w:t>
      </w:r>
      <w:r w:rsidR="00486E6B">
        <w:rPr>
          <w:rFonts w:ascii="Arial" w:hAnsi="Arial" w:cs="Arial"/>
          <w:sz w:val="24"/>
          <w:szCs w:val="24"/>
        </w:rPr>
        <w:t xml:space="preserve"> as a legal arrangement in law</w:t>
      </w:r>
      <w:r w:rsidR="000F3724">
        <w:rPr>
          <w:rFonts w:ascii="Arial" w:hAnsi="Arial" w:cs="Arial"/>
          <w:sz w:val="24"/>
          <w:szCs w:val="24"/>
        </w:rPr>
        <w:t>, along with the significance that it holds in common law and statutory law in the UK</w:t>
      </w:r>
      <w:r w:rsidR="00486E6B">
        <w:rPr>
          <w:rFonts w:ascii="Arial" w:hAnsi="Arial" w:cs="Arial"/>
          <w:sz w:val="24"/>
          <w:szCs w:val="24"/>
        </w:rPr>
        <w:t xml:space="preserve">. In order to provide more context and understanding to this concept, a clear definition of a trust will be outlined and broken down. Firstly, trusts can be defined as </w:t>
      </w:r>
      <w:r w:rsidR="00E76DE2">
        <w:rPr>
          <w:rFonts w:ascii="Arial" w:hAnsi="Arial" w:cs="Arial"/>
          <w:sz w:val="24"/>
          <w:szCs w:val="24"/>
        </w:rPr>
        <w:t xml:space="preserve">“A trust is a situation in which property is vested in someone (a trustee), who is under legally recognized obligations, at least some of which are of a proprietary kind, to handle it in a certain way, and to the exclusion of any personal interest. These obligations may arise either by conscious creation by the previous owner of the property (the settlor), or because some other legally significant circumstances are present.” </w:t>
      </w:r>
      <w:r w:rsidR="003B2C09">
        <w:rPr>
          <w:rFonts w:ascii="Arial" w:hAnsi="Arial" w:cs="Arial"/>
          <w:sz w:val="24"/>
          <w:szCs w:val="24"/>
        </w:rPr>
        <w:t xml:space="preserve">(Gardner, 2011). Expanding on this definition, it is important to add that the concept of a trust is </w:t>
      </w:r>
      <w:r w:rsidR="006C415E">
        <w:rPr>
          <w:rFonts w:ascii="Arial" w:hAnsi="Arial" w:cs="Arial"/>
          <w:sz w:val="24"/>
          <w:szCs w:val="24"/>
        </w:rPr>
        <w:t>dissected,</w:t>
      </w:r>
      <w:r w:rsidR="003B2C09">
        <w:rPr>
          <w:rFonts w:ascii="Arial" w:hAnsi="Arial" w:cs="Arial"/>
          <w:sz w:val="24"/>
          <w:szCs w:val="24"/>
        </w:rPr>
        <w:t xml:space="preserve"> and the parties involved are identified, </w:t>
      </w:r>
      <w:r w:rsidR="00837E29">
        <w:rPr>
          <w:rFonts w:ascii="Arial" w:hAnsi="Arial" w:cs="Arial"/>
          <w:sz w:val="24"/>
          <w:szCs w:val="24"/>
        </w:rPr>
        <w:t xml:space="preserve">so a trust can be identified as an agreement in which the settlor transfers assets like property or money to the trustee(s), in which they manage and protect for the beneficiaries who </w:t>
      </w:r>
      <w:r w:rsidR="00DC7828">
        <w:rPr>
          <w:rFonts w:ascii="Arial" w:hAnsi="Arial" w:cs="Arial"/>
          <w:sz w:val="24"/>
          <w:szCs w:val="24"/>
        </w:rPr>
        <w:t xml:space="preserve">then </w:t>
      </w:r>
      <w:r w:rsidR="00837E29">
        <w:rPr>
          <w:rFonts w:ascii="Arial" w:hAnsi="Arial" w:cs="Arial"/>
          <w:sz w:val="24"/>
          <w:szCs w:val="24"/>
        </w:rPr>
        <w:t>receive the assets.</w:t>
      </w:r>
      <w:r w:rsidR="004C74A7">
        <w:rPr>
          <w:rFonts w:ascii="Arial" w:hAnsi="Arial" w:cs="Arial"/>
          <w:sz w:val="24"/>
          <w:szCs w:val="24"/>
        </w:rPr>
        <w:t xml:space="preserve"> This definition outlines the three main parties of a trust: the settlor, trustee(s), and the beneficiaries. With it being </w:t>
      </w:r>
      <w:r w:rsidR="00AB4C99">
        <w:rPr>
          <w:rFonts w:ascii="Arial" w:hAnsi="Arial" w:cs="Arial"/>
          <w:sz w:val="24"/>
          <w:szCs w:val="24"/>
        </w:rPr>
        <w:t>a condition</w:t>
      </w:r>
      <w:r w:rsidR="004C74A7">
        <w:rPr>
          <w:rFonts w:ascii="Arial" w:hAnsi="Arial" w:cs="Arial"/>
          <w:sz w:val="24"/>
          <w:szCs w:val="24"/>
        </w:rPr>
        <w:t xml:space="preserve"> that the </w:t>
      </w:r>
      <w:r w:rsidR="002E7456">
        <w:rPr>
          <w:rFonts w:ascii="Arial" w:hAnsi="Arial" w:cs="Arial"/>
          <w:sz w:val="24"/>
          <w:szCs w:val="24"/>
        </w:rPr>
        <w:t>trustee and the beneficiary cannot be the same people.</w:t>
      </w:r>
      <w:r w:rsidR="00837E29">
        <w:rPr>
          <w:rFonts w:ascii="Arial" w:hAnsi="Arial" w:cs="Arial"/>
          <w:sz w:val="24"/>
          <w:szCs w:val="24"/>
        </w:rPr>
        <w:t xml:space="preserve"> </w:t>
      </w:r>
      <w:r w:rsidR="00826327">
        <w:rPr>
          <w:rFonts w:ascii="Arial" w:hAnsi="Arial" w:cs="Arial"/>
          <w:sz w:val="24"/>
          <w:szCs w:val="24"/>
        </w:rPr>
        <w:t>Going forward, th</w:t>
      </w:r>
      <w:r w:rsidR="002D6652">
        <w:rPr>
          <w:rFonts w:ascii="Arial" w:hAnsi="Arial" w:cs="Arial"/>
          <w:sz w:val="24"/>
          <w:szCs w:val="24"/>
        </w:rPr>
        <w:t xml:space="preserve">e importance of this understanding </w:t>
      </w:r>
      <w:r w:rsidR="00C555FA">
        <w:rPr>
          <w:rFonts w:ascii="Arial" w:hAnsi="Arial" w:cs="Arial"/>
          <w:sz w:val="24"/>
          <w:szCs w:val="24"/>
        </w:rPr>
        <w:t xml:space="preserve">will be critical </w:t>
      </w:r>
      <w:r w:rsidR="001C655A">
        <w:rPr>
          <w:rFonts w:ascii="Arial" w:hAnsi="Arial" w:cs="Arial"/>
          <w:sz w:val="24"/>
          <w:szCs w:val="24"/>
        </w:rPr>
        <w:t>since</w:t>
      </w:r>
      <w:r w:rsidR="00C555FA">
        <w:rPr>
          <w:rFonts w:ascii="Arial" w:hAnsi="Arial" w:cs="Arial"/>
          <w:sz w:val="24"/>
          <w:szCs w:val="24"/>
        </w:rPr>
        <w:t xml:space="preserve"> there are different types of trusts which will be addressed, how trusts hold significance in common law, trusts in a historical context through case law</w:t>
      </w:r>
      <w:r w:rsidR="004431DE">
        <w:rPr>
          <w:rFonts w:ascii="Arial" w:hAnsi="Arial" w:cs="Arial"/>
          <w:sz w:val="24"/>
          <w:szCs w:val="24"/>
        </w:rPr>
        <w:t>, arguments for reform and many more other issues in this area.</w:t>
      </w:r>
    </w:p>
    <w:p w14:paraId="2AB6AD7F" w14:textId="5ECBED63" w:rsidR="009D28D2" w:rsidRDefault="00052E6F" w:rsidP="008E2874">
      <w:pPr>
        <w:spacing w:line="480" w:lineRule="auto"/>
        <w:rPr>
          <w:rFonts w:ascii="Arial" w:hAnsi="Arial" w:cs="Arial"/>
          <w:sz w:val="24"/>
          <w:szCs w:val="24"/>
          <w:shd w:val="clear" w:color="auto" w:fill="FFFFFF"/>
        </w:rPr>
      </w:pPr>
      <w:r>
        <w:rPr>
          <w:rFonts w:ascii="Arial" w:hAnsi="Arial" w:cs="Arial"/>
          <w:sz w:val="24"/>
          <w:szCs w:val="24"/>
        </w:rPr>
        <w:t>As previously mentioned, building on the definition of trusts that has been established,</w:t>
      </w:r>
      <w:r w:rsidR="00257CB0">
        <w:rPr>
          <w:rFonts w:ascii="Arial" w:hAnsi="Arial" w:cs="Arial"/>
          <w:sz w:val="24"/>
          <w:szCs w:val="24"/>
        </w:rPr>
        <w:t xml:space="preserve"> it also important to be able to identify the </w:t>
      </w:r>
      <w:r>
        <w:rPr>
          <w:rFonts w:ascii="Arial" w:hAnsi="Arial" w:cs="Arial"/>
          <w:sz w:val="24"/>
          <w:szCs w:val="24"/>
        </w:rPr>
        <w:t>different types of trust</w:t>
      </w:r>
      <w:r w:rsidR="00257CB0">
        <w:rPr>
          <w:rFonts w:ascii="Arial" w:hAnsi="Arial" w:cs="Arial"/>
          <w:sz w:val="24"/>
          <w:szCs w:val="24"/>
        </w:rPr>
        <w:t>s, such as</w:t>
      </w:r>
      <w:r w:rsidR="004D22E7">
        <w:rPr>
          <w:rFonts w:ascii="Arial" w:hAnsi="Arial" w:cs="Arial"/>
          <w:sz w:val="24"/>
          <w:szCs w:val="24"/>
        </w:rPr>
        <w:t xml:space="preserve"> express trusts, implied trusts, resulting trusts, etc</w:t>
      </w:r>
      <w:r w:rsidR="00C7704F">
        <w:rPr>
          <w:rFonts w:ascii="Arial" w:hAnsi="Arial" w:cs="Arial"/>
          <w:sz w:val="24"/>
          <w:szCs w:val="24"/>
        </w:rPr>
        <w:t xml:space="preserve">. </w:t>
      </w:r>
      <w:r w:rsidR="00D8009E">
        <w:rPr>
          <w:rFonts w:ascii="Arial" w:hAnsi="Arial" w:cs="Arial"/>
          <w:sz w:val="24"/>
          <w:szCs w:val="24"/>
        </w:rPr>
        <w:t xml:space="preserve">The </w:t>
      </w:r>
      <w:r w:rsidR="00770493">
        <w:rPr>
          <w:rFonts w:ascii="Arial" w:hAnsi="Arial" w:cs="Arial"/>
          <w:sz w:val="24"/>
          <w:szCs w:val="24"/>
        </w:rPr>
        <w:t>inception</w:t>
      </w:r>
      <w:r w:rsidR="00D8009E">
        <w:rPr>
          <w:rFonts w:ascii="Arial" w:hAnsi="Arial" w:cs="Arial"/>
          <w:sz w:val="24"/>
          <w:szCs w:val="24"/>
        </w:rPr>
        <w:t xml:space="preserve"> of trusts </w:t>
      </w:r>
      <w:r w:rsidR="005A333E">
        <w:rPr>
          <w:rFonts w:ascii="Arial" w:hAnsi="Arial" w:cs="Arial"/>
          <w:sz w:val="24"/>
          <w:szCs w:val="24"/>
        </w:rPr>
        <w:t xml:space="preserve">from a historical context is </w:t>
      </w:r>
      <w:r w:rsidR="00770493">
        <w:rPr>
          <w:rFonts w:ascii="Arial" w:hAnsi="Arial" w:cs="Arial"/>
          <w:sz w:val="24"/>
          <w:szCs w:val="24"/>
        </w:rPr>
        <w:t>that they were developed from common law which was a result of disputes between parties involving properties</w:t>
      </w:r>
      <w:r w:rsidR="00AB03F4">
        <w:rPr>
          <w:rFonts w:ascii="Arial" w:hAnsi="Arial" w:cs="Arial"/>
          <w:sz w:val="24"/>
          <w:szCs w:val="24"/>
        </w:rPr>
        <w:t xml:space="preserve"> for the most part, with the outcomes </w:t>
      </w:r>
      <w:r w:rsidR="00AB03F4">
        <w:rPr>
          <w:rFonts w:ascii="Arial" w:hAnsi="Arial" w:cs="Arial"/>
          <w:sz w:val="24"/>
          <w:szCs w:val="24"/>
        </w:rPr>
        <w:lastRenderedPageBreak/>
        <w:t xml:space="preserve">leaving parties </w:t>
      </w:r>
      <w:r w:rsidR="00BF3E15">
        <w:rPr>
          <w:rFonts w:ascii="Arial" w:hAnsi="Arial" w:cs="Arial"/>
          <w:sz w:val="24"/>
          <w:szCs w:val="24"/>
        </w:rPr>
        <w:t>demanding</w:t>
      </w:r>
      <w:r w:rsidR="00AB03F4">
        <w:rPr>
          <w:rFonts w:ascii="Arial" w:hAnsi="Arial" w:cs="Arial"/>
          <w:sz w:val="24"/>
          <w:szCs w:val="24"/>
        </w:rPr>
        <w:t xml:space="preserve"> equity</w:t>
      </w:r>
      <w:r w:rsidR="00FA250C">
        <w:rPr>
          <w:rFonts w:ascii="Arial" w:hAnsi="Arial" w:cs="Arial"/>
          <w:sz w:val="24"/>
          <w:szCs w:val="24"/>
        </w:rPr>
        <w:t xml:space="preserve">, which meant </w:t>
      </w:r>
      <w:r w:rsidR="000848F3">
        <w:rPr>
          <w:rFonts w:ascii="Arial" w:hAnsi="Arial" w:cs="Arial"/>
          <w:sz w:val="24"/>
          <w:szCs w:val="24"/>
        </w:rPr>
        <w:t xml:space="preserve">more </w:t>
      </w:r>
      <w:r w:rsidR="00FA250C">
        <w:rPr>
          <w:rFonts w:ascii="Arial" w:hAnsi="Arial" w:cs="Arial"/>
          <w:sz w:val="24"/>
          <w:szCs w:val="24"/>
        </w:rPr>
        <w:t>fairness</w:t>
      </w:r>
      <w:r w:rsidR="004A0B59">
        <w:rPr>
          <w:rFonts w:ascii="Arial" w:hAnsi="Arial" w:cs="Arial"/>
          <w:sz w:val="24"/>
          <w:szCs w:val="24"/>
        </w:rPr>
        <w:t xml:space="preserve"> going forward</w:t>
      </w:r>
      <w:r w:rsidR="00AB03F4">
        <w:rPr>
          <w:rFonts w:ascii="Arial" w:hAnsi="Arial" w:cs="Arial"/>
          <w:sz w:val="24"/>
          <w:szCs w:val="24"/>
        </w:rPr>
        <w:t xml:space="preserve"> in these disputes</w:t>
      </w:r>
      <w:r w:rsidR="00770493">
        <w:rPr>
          <w:rFonts w:ascii="Arial" w:hAnsi="Arial" w:cs="Arial"/>
          <w:sz w:val="24"/>
          <w:szCs w:val="24"/>
        </w:rPr>
        <w:t xml:space="preserve">. </w:t>
      </w:r>
      <w:r w:rsidR="00D30AF8">
        <w:rPr>
          <w:rFonts w:ascii="Arial" w:hAnsi="Arial" w:cs="Arial"/>
          <w:sz w:val="24"/>
          <w:szCs w:val="24"/>
        </w:rPr>
        <w:t>Therefore, a parallel system was established</w:t>
      </w:r>
      <w:r w:rsidR="00F03163">
        <w:rPr>
          <w:rFonts w:ascii="Arial" w:hAnsi="Arial" w:cs="Arial"/>
          <w:sz w:val="24"/>
          <w:szCs w:val="24"/>
        </w:rPr>
        <w:t>, known as the Court of Chancery,</w:t>
      </w:r>
      <w:r w:rsidR="00D30AF8">
        <w:rPr>
          <w:rFonts w:ascii="Arial" w:hAnsi="Arial" w:cs="Arial"/>
          <w:sz w:val="24"/>
          <w:szCs w:val="24"/>
        </w:rPr>
        <w:t xml:space="preserve"> where equity and trusts were developed in the 13</w:t>
      </w:r>
      <w:r w:rsidR="00D30AF8" w:rsidRPr="00D30AF8">
        <w:rPr>
          <w:rFonts w:ascii="Arial" w:hAnsi="Arial" w:cs="Arial"/>
          <w:sz w:val="24"/>
          <w:szCs w:val="24"/>
          <w:vertAlign w:val="superscript"/>
        </w:rPr>
        <w:t>th</w:t>
      </w:r>
      <w:r w:rsidR="00D30AF8">
        <w:rPr>
          <w:rFonts w:ascii="Arial" w:hAnsi="Arial" w:cs="Arial"/>
          <w:sz w:val="24"/>
          <w:szCs w:val="24"/>
        </w:rPr>
        <w:t xml:space="preserve"> century, the core principles of this system were devised as a list, these principles are known as the maxims of equity. </w:t>
      </w:r>
      <w:r w:rsidR="00D07017">
        <w:rPr>
          <w:rFonts w:ascii="Arial" w:hAnsi="Arial" w:cs="Arial"/>
          <w:sz w:val="24"/>
          <w:szCs w:val="24"/>
        </w:rPr>
        <w:t xml:space="preserve">The maxims of equity </w:t>
      </w:r>
      <w:r w:rsidR="0046030E">
        <w:rPr>
          <w:rFonts w:ascii="Arial" w:hAnsi="Arial" w:cs="Arial"/>
          <w:sz w:val="24"/>
          <w:szCs w:val="24"/>
        </w:rPr>
        <w:t xml:space="preserve">outline the key </w:t>
      </w:r>
      <w:r w:rsidR="00FA3E78">
        <w:rPr>
          <w:rFonts w:ascii="Arial" w:hAnsi="Arial" w:cs="Arial"/>
          <w:sz w:val="24"/>
          <w:szCs w:val="24"/>
        </w:rPr>
        <w:t xml:space="preserve">principles of the law and aided judges in decision making, this allowed for trusts to further develop and made it so that there was a </w:t>
      </w:r>
      <w:r w:rsidR="00BF0485">
        <w:rPr>
          <w:rFonts w:ascii="Arial" w:hAnsi="Arial" w:cs="Arial"/>
          <w:sz w:val="24"/>
          <w:szCs w:val="24"/>
        </w:rPr>
        <w:t>decreased</w:t>
      </w:r>
      <w:r w:rsidR="00FA3E78">
        <w:rPr>
          <w:rFonts w:ascii="Arial" w:hAnsi="Arial" w:cs="Arial"/>
          <w:sz w:val="24"/>
          <w:szCs w:val="24"/>
        </w:rPr>
        <w:t xml:space="preserve"> reliance on common law. </w:t>
      </w:r>
      <w:r w:rsidR="00CD7E33">
        <w:rPr>
          <w:rFonts w:ascii="Arial" w:hAnsi="Arial" w:cs="Arial"/>
          <w:sz w:val="24"/>
          <w:szCs w:val="24"/>
        </w:rPr>
        <w:t>However, although the maxims arguably provided more equitable outcomes in disputes, with the specific legislation that exists today, such as Law of Property Act 1925 which overlaps with concepts like trusts</w:t>
      </w:r>
      <w:r w:rsidR="000A5D03">
        <w:rPr>
          <w:rFonts w:ascii="Arial" w:hAnsi="Arial" w:cs="Arial"/>
          <w:sz w:val="24"/>
          <w:szCs w:val="24"/>
        </w:rPr>
        <w:t xml:space="preserve"> as it relates to property transference</w:t>
      </w:r>
      <w:r w:rsidR="00CD7E33">
        <w:rPr>
          <w:rFonts w:ascii="Arial" w:hAnsi="Arial" w:cs="Arial"/>
          <w:sz w:val="24"/>
          <w:szCs w:val="24"/>
        </w:rPr>
        <w:t>, in hindsight there are criticisms of the maxims, (Gardner, 1995) states “</w:t>
      </w:r>
      <w:r w:rsidR="00CD7E33" w:rsidRPr="00CD7E33">
        <w:rPr>
          <w:rFonts w:ascii="Arial" w:hAnsi="Arial" w:cs="Arial"/>
          <w:sz w:val="24"/>
          <w:szCs w:val="24"/>
          <w:shd w:val="clear" w:color="auto" w:fill="FFFFFF"/>
        </w:rPr>
        <w:t>For it follows that reasoning based on a maxim especially facilitates the introduction of unarticulated valuejudgments; and indeed that such reasoning carries an unusually high risk of actual error, as the judges themselves miss their way.</w:t>
      </w:r>
      <w:r w:rsidR="00CD7E33">
        <w:rPr>
          <w:rFonts w:ascii="Arial" w:hAnsi="Arial" w:cs="Arial"/>
          <w:sz w:val="24"/>
          <w:szCs w:val="24"/>
          <w:shd w:val="clear" w:color="auto" w:fill="FFFFFF"/>
        </w:rPr>
        <w:t>”</w:t>
      </w:r>
      <w:r w:rsidR="004D5930">
        <w:rPr>
          <w:rFonts w:ascii="Arial" w:hAnsi="Arial" w:cs="Arial"/>
          <w:sz w:val="24"/>
          <w:szCs w:val="24"/>
          <w:shd w:val="clear" w:color="auto" w:fill="FFFFFF"/>
        </w:rPr>
        <w:t xml:space="preserve"> The criticism presented by Gardner here indicates that the maxims have arguably led to mistakes in decision making by judges and overall, the maxims themselves are quite ambiguous when viewed through the lens of today. </w:t>
      </w:r>
      <w:r w:rsidR="00CD7E33">
        <w:rPr>
          <w:rFonts w:ascii="Arial" w:hAnsi="Arial" w:cs="Arial"/>
          <w:sz w:val="24"/>
          <w:szCs w:val="24"/>
          <w:shd w:val="clear" w:color="auto" w:fill="FFFFFF"/>
        </w:rPr>
        <w:t xml:space="preserve"> </w:t>
      </w:r>
      <w:r w:rsidR="008F2840">
        <w:rPr>
          <w:rFonts w:ascii="Arial" w:hAnsi="Arial" w:cs="Arial"/>
          <w:sz w:val="24"/>
          <w:szCs w:val="24"/>
          <w:shd w:val="clear" w:color="auto" w:fill="FFFFFF"/>
        </w:rPr>
        <w:t xml:space="preserve">But, considering the common law approach before the law of equity was developed, the impact the two had on litigants should be examined and compared. </w:t>
      </w:r>
      <w:r w:rsidR="00347452">
        <w:rPr>
          <w:rFonts w:ascii="Arial" w:hAnsi="Arial" w:cs="Arial"/>
          <w:sz w:val="24"/>
          <w:szCs w:val="24"/>
          <w:shd w:val="clear" w:color="auto" w:fill="FFFFFF"/>
        </w:rPr>
        <w:t>A notable disadvantage of common law is the lack of recognition when it comes to legal remedies</w:t>
      </w:r>
      <w:r w:rsidR="00F7797B">
        <w:rPr>
          <w:rFonts w:ascii="Arial" w:hAnsi="Arial" w:cs="Arial"/>
          <w:sz w:val="24"/>
          <w:szCs w:val="24"/>
          <w:shd w:val="clear" w:color="auto" w:fill="FFFFFF"/>
        </w:rPr>
        <w:t>.</w:t>
      </w:r>
      <w:r w:rsidR="00B41407">
        <w:rPr>
          <w:rFonts w:ascii="Arial" w:hAnsi="Arial" w:cs="Arial"/>
          <w:sz w:val="24"/>
          <w:szCs w:val="24"/>
          <w:shd w:val="clear" w:color="auto" w:fill="FFFFFF"/>
        </w:rPr>
        <w:t xml:space="preserve"> Considering the lack of remedies compared to the law of equity, the rigidity of common law could have more of a negative impact on litigants</w:t>
      </w:r>
      <w:r w:rsidR="00F7797B">
        <w:rPr>
          <w:rFonts w:ascii="Arial" w:hAnsi="Arial" w:cs="Arial"/>
          <w:sz w:val="24"/>
          <w:szCs w:val="24"/>
          <w:shd w:val="clear" w:color="auto" w:fill="FFFFFF"/>
        </w:rPr>
        <w:t xml:space="preserve"> </w:t>
      </w:r>
      <w:r w:rsidR="00B41407">
        <w:rPr>
          <w:rFonts w:ascii="Arial" w:hAnsi="Arial" w:cs="Arial"/>
          <w:sz w:val="24"/>
          <w:szCs w:val="24"/>
          <w:shd w:val="clear" w:color="auto" w:fill="FFFFFF"/>
        </w:rPr>
        <w:t xml:space="preserve">when it comes to fair and equitable outcomes in cases. </w:t>
      </w:r>
      <w:r w:rsidR="00F7797B">
        <w:rPr>
          <w:rFonts w:ascii="Arial" w:hAnsi="Arial" w:cs="Arial"/>
          <w:sz w:val="24"/>
          <w:szCs w:val="24"/>
          <w:shd w:val="clear" w:color="auto" w:fill="FFFFFF"/>
        </w:rPr>
        <w:t xml:space="preserve">In common law, there is a major focus on </w:t>
      </w:r>
      <w:r w:rsidR="00686D86">
        <w:rPr>
          <w:rFonts w:ascii="Arial" w:hAnsi="Arial" w:cs="Arial"/>
          <w:sz w:val="24"/>
          <w:szCs w:val="24"/>
          <w:shd w:val="clear" w:color="auto" w:fill="FFFFFF"/>
        </w:rPr>
        <w:t>judicial</w:t>
      </w:r>
      <w:r w:rsidR="00F7797B">
        <w:rPr>
          <w:rFonts w:ascii="Arial" w:hAnsi="Arial" w:cs="Arial"/>
          <w:sz w:val="24"/>
          <w:szCs w:val="24"/>
          <w:shd w:val="clear" w:color="auto" w:fill="FFFFFF"/>
        </w:rPr>
        <w:t xml:space="preserve"> precedent, so once a decision has been made in certain cases, then it tends to have heavy influence going forward </w:t>
      </w:r>
      <w:r w:rsidR="00686D86">
        <w:rPr>
          <w:rFonts w:ascii="Arial" w:hAnsi="Arial" w:cs="Arial"/>
          <w:sz w:val="24"/>
          <w:szCs w:val="24"/>
          <w:shd w:val="clear" w:color="auto" w:fill="FFFFFF"/>
        </w:rPr>
        <w:t>when</w:t>
      </w:r>
      <w:r w:rsidR="00F7797B">
        <w:rPr>
          <w:rFonts w:ascii="Arial" w:hAnsi="Arial" w:cs="Arial"/>
          <w:sz w:val="24"/>
          <w:szCs w:val="24"/>
          <w:shd w:val="clear" w:color="auto" w:fill="FFFFFF"/>
        </w:rPr>
        <w:t xml:space="preserve"> similar cases</w:t>
      </w:r>
      <w:r w:rsidR="00686D86">
        <w:rPr>
          <w:rFonts w:ascii="Arial" w:hAnsi="Arial" w:cs="Arial"/>
          <w:sz w:val="24"/>
          <w:szCs w:val="24"/>
          <w:shd w:val="clear" w:color="auto" w:fill="FFFFFF"/>
        </w:rPr>
        <w:t xml:space="preserve"> arise</w:t>
      </w:r>
      <w:r w:rsidR="00F7797B">
        <w:rPr>
          <w:rFonts w:ascii="Arial" w:hAnsi="Arial" w:cs="Arial"/>
          <w:sz w:val="24"/>
          <w:szCs w:val="24"/>
          <w:shd w:val="clear" w:color="auto" w:fill="FFFFFF"/>
        </w:rPr>
        <w:t xml:space="preserve">. </w:t>
      </w:r>
      <w:r w:rsidR="00502E9E">
        <w:rPr>
          <w:rFonts w:ascii="Arial" w:hAnsi="Arial" w:cs="Arial"/>
          <w:sz w:val="24"/>
          <w:szCs w:val="24"/>
          <w:shd w:val="clear" w:color="auto" w:fill="FFFFFF"/>
        </w:rPr>
        <w:t>To cite (Virgo, 2018</w:t>
      </w:r>
      <w:r w:rsidR="00970C1C">
        <w:rPr>
          <w:rFonts w:ascii="Arial" w:hAnsi="Arial" w:cs="Arial"/>
          <w:sz w:val="24"/>
          <w:szCs w:val="24"/>
          <w:shd w:val="clear" w:color="auto" w:fill="FFFFFF"/>
        </w:rPr>
        <w:t>, p</w:t>
      </w:r>
      <w:r w:rsidR="00157B1D">
        <w:rPr>
          <w:rFonts w:ascii="Arial" w:hAnsi="Arial" w:cs="Arial"/>
          <w:sz w:val="24"/>
          <w:szCs w:val="24"/>
          <w:shd w:val="clear" w:color="auto" w:fill="FFFFFF"/>
        </w:rPr>
        <w:t>.</w:t>
      </w:r>
      <w:r w:rsidR="00970C1C">
        <w:rPr>
          <w:rFonts w:ascii="Arial" w:hAnsi="Arial" w:cs="Arial"/>
          <w:sz w:val="24"/>
          <w:szCs w:val="24"/>
          <w:shd w:val="clear" w:color="auto" w:fill="FFFFFF"/>
        </w:rPr>
        <w:t>20</w:t>
      </w:r>
      <w:r w:rsidR="00502E9E">
        <w:rPr>
          <w:rFonts w:ascii="Arial" w:hAnsi="Arial" w:cs="Arial"/>
          <w:sz w:val="24"/>
          <w:szCs w:val="24"/>
          <w:shd w:val="clear" w:color="auto" w:fill="FFFFFF"/>
        </w:rPr>
        <w:t xml:space="preserve">), who states “Traditionally, common law remedies are </w:t>
      </w:r>
      <w:r w:rsidR="00502E9E">
        <w:rPr>
          <w:rFonts w:ascii="Arial" w:hAnsi="Arial" w:cs="Arial"/>
          <w:sz w:val="24"/>
          <w:szCs w:val="24"/>
          <w:shd w:val="clear" w:color="auto" w:fill="FFFFFF"/>
        </w:rPr>
        <w:lastRenderedPageBreak/>
        <w:t xml:space="preserve">compensatory, whereas those awarded in equity are gain-based, in the same sense that they are assessed by reference to the value of the gain made by the defendant </w:t>
      </w:r>
      <w:r w:rsidR="00BD4BA3">
        <w:rPr>
          <w:rFonts w:ascii="Arial" w:hAnsi="Arial" w:cs="Arial"/>
          <w:sz w:val="24"/>
          <w:szCs w:val="24"/>
          <w:shd w:val="clear" w:color="auto" w:fill="FFFFFF"/>
        </w:rPr>
        <w:t xml:space="preserve">rather than the loss suffered by the claimant.” </w:t>
      </w:r>
      <w:r w:rsidR="00781E1C">
        <w:rPr>
          <w:rFonts w:ascii="Arial" w:hAnsi="Arial" w:cs="Arial"/>
          <w:sz w:val="24"/>
          <w:szCs w:val="24"/>
          <w:shd w:val="clear" w:color="auto" w:fill="FFFFFF"/>
        </w:rPr>
        <w:t>Looking at</w:t>
      </w:r>
      <w:r w:rsidR="00BD4BA3">
        <w:rPr>
          <w:rFonts w:ascii="Arial" w:hAnsi="Arial" w:cs="Arial"/>
          <w:sz w:val="24"/>
          <w:szCs w:val="24"/>
          <w:shd w:val="clear" w:color="auto" w:fill="FFFFFF"/>
        </w:rPr>
        <w:t xml:space="preserve"> this comparison made by Virgo, in cases involving </w:t>
      </w:r>
      <w:r w:rsidR="00B17A4C">
        <w:rPr>
          <w:rFonts w:ascii="Arial" w:hAnsi="Arial" w:cs="Arial"/>
          <w:sz w:val="24"/>
          <w:szCs w:val="24"/>
          <w:shd w:val="clear" w:color="auto" w:fill="FFFFFF"/>
        </w:rPr>
        <w:t xml:space="preserve">an occurrence like </w:t>
      </w:r>
      <w:r w:rsidR="0036522B">
        <w:rPr>
          <w:rFonts w:ascii="Arial" w:hAnsi="Arial" w:cs="Arial"/>
          <w:sz w:val="24"/>
          <w:szCs w:val="24"/>
          <w:shd w:val="clear" w:color="auto" w:fill="FFFFFF"/>
        </w:rPr>
        <w:t>a breach of contract</w:t>
      </w:r>
      <w:r w:rsidR="00032BF5">
        <w:rPr>
          <w:rFonts w:ascii="Arial" w:hAnsi="Arial" w:cs="Arial"/>
          <w:sz w:val="24"/>
          <w:szCs w:val="24"/>
          <w:shd w:val="clear" w:color="auto" w:fill="FFFFFF"/>
        </w:rPr>
        <w:t xml:space="preserve"> for example</w:t>
      </w:r>
      <w:r w:rsidR="00B17A4C">
        <w:rPr>
          <w:rFonts w:ascii="Arial" w:hAnsi="Arial" w:cs="Arial"/>
          <w:sz w:val="24"/>
          <w:szCs w:val="24"/>
          <w:shd w:val="clear" w:color="auto" w:fill="FFFFFF"/>
        </w:rPr>
        <w:t>, the remedy in common law would usually be damages</w:t>
      </w:r>
      <w:r w:rsidR="00781E1C">
        <w:rPr>
          <w:rFonts w:ascii="Arial" w:hAnsi="Arial" w:cs="Arial"/>
          <w:sz w:val="24"/>
          <w:szCs w:val="24"/>
          <w:shd w:val="clear" w:color="auto" w:fill="FFFFFF"/>
        </w:rPr>
        <w:t xml:space="preserve">, equity </w:t>
      </w:r>
      <w:r w:rsidR="00327618">
        <w:rPr>
          <w:rFonts w:ascii="Arial" w:hAnsi="Arial" w:cs="Arial"/>
          <w:sz w:val="24"/>
          <w:szCs w:val="24"/>
          <w:shd w:val="clear" w:color="auto" w:fill="FFFFFF"/>
        </w:rPr>
        <w:t xml:space="preserve">can offer solutions for </w:t>
      </w:r>
      <w:r w:rsidR="00E540EF">
        <w:rPr>
          <w:rFonts w:ascii="Arial" w:hAnsi="Arial" w:cs="Arial"/>
          <w:sz w:val="24"/>
          <w:szCs w:val="24"/>
          <w:shd w:val="clear" w:color="auto" w:fill="FFFFFF"/>
        </w:rPr>
        <w:t>a variety of different</w:t>
      </w:r>
      <w:r w:rsidR="00327618">
        <w:rPr>
          <w:rFonts w:ascii="Arial" w:hAnsi="Arial" w:cs="Arial"/>
          <w:sz w:val="24"/>
          <w:szCs w:val="24"/>
          <w:shd w:val="clear" w:color="auto" w:fill="FFFFFF"/>
        </w:rPr>
        <w:t xml:space="preserve"> issues. </w:t>
      </w:r>
      <w:r w:rsidR="00AE5CF3">
        <w:rPr>
          <w:rFonts w:ascii="Arial" w:hAnsi="Arial" w:cs="Arial"/>
          <w:sz w:val="24"/>
          <w:szCs w:val="24"/>
          <w:shd w:val="clear" w:color="auto" w:fill="FFFFFF"/>
        </w:rPr>
        <w:t xml:space="preserve">The law of equity allowed for the recognition and </w:t>
      </w:r>
      <w:r w:rsidR="00A94D3D">
        <w:rPr>
          <w:rFonts w:ascii="Arial" w:hAnsi="Arial" w:cs="Arial"/>
          <w:sz w:val="24"/>
          <w:szCs w:val="24"/>
          <w:shd w:val="clear" w:color="auto" w:fill="FFFFFF"/>
        </w:rPr>
        <w:t xml:space="preserve">more </w:t>
      </w:r>
      <w:r w:rsidR="003E796C">
        <w:rPr>
          <w:rFonts w:ascii="Arial" w:hAnsi="Arial" w:cs="Arial"/>
          <w:sz w:val="24"/>
          <w:szCs w:val="24"/>
          <w:shd w:val="clear" w:color="auto" w:fill="FFFFFF"/>
        </w:rPr>
        <w:t xml:space="preserve">opportunity </w:t>
      </w:r>
      <w:r w:rsidR="00A94D3D">
        <w:rPr>
          <w:rFonts w:ascii="Arial" w:hAnsi="Arial" w:cs="Arial"/>
          <w:sz w:val="24"/>
          <w:szCs w:val="24"/>
          <w:shd w:val="clear" w:color="auto" w:fill="FFFFFF"/>
        </w:rPr>
        <w:t>for</w:t>
      </w:r>
      <w:r w:rsidR="003E796C">
        <w:rPr>
          <w:rFonts w:ascii="Arial" w:hAnsi="Arial" w:cs="Arial"/>
          <w:sz w:val="24"/>
          <w:szCs w:val="24"/>
          <w:shd w:val="clear" w:color="auto" w:fill="FFFFFF"/>
        </w:rPr>
        <w:t xml:space="preserve"> </w:t>
      </w:r>
      <w:r w:rsidR="00AE5CF3">
        <w:rPr>
          <w:rFonts w:ascii="Arial" w:hAnsi="Arial" w:cs="Arial"/>
          <w:sz w:val="24"/>
          <w:szCs w:val="24"/>
          <w:shd w:val="clear" w:color="auto" w:fill="FFFFFF"/>
        </w:rPr>
        <w:t xml:space="preserve">application </w:t>
      </w:r>
      <w:r w:rsidR="00A94D3D">
        <w:rPr>
          <w:rFonts w:ascii="Arial" w:hAnsi="Arial" w:cs="Arial"/>
          <w:sz w:val="24"/>
          <w:szCs w:val="24"/>
          <w:shd w:val="clear" w:color="auto" w:fill="FFFFFF"/>
        </w:rPr>
        <w:t>of</w:t>
      </w:r>
      <w:r w:rsidR="00AE5CF3">
        <w:rPr>
          <w:rFonts w:ascii="Arial" w:hAnsi="Arial" w:cs="Arial"/>
          <w:sz w:val="24"/>
          <w:szCs w:val="24"/>
          <w:shd w:val="clear" w:color="auto" w:fill="FFFFFF"/>
        </w:rPr>
        <w:t xml:space="preserve"> a broad range of </w:t>
      </w:r>
      <w:r w:rsidR="00192F53">
        <w:rPr>
          <w:rFonts w:ascii="Arial" w:hAnsi="Arial" w:cs="Arial"/>
          <w:sz w:val="24"/>
          <w:szCs w:val="24"/>
          <w:shd w:val="clear" w:color="auto" w:fill="FFFFFF"/>
        </w:rPr>
        <w:t xml:space="preserve">equitable </w:t>
      </w:r>
      <w:r w:rsidR="003E796C">
        <w:rPr>
          <w:rFonts w:ascii="Arial" w:hAnsi="Arial" w:cs="Arial"/>
          <w:sz w:val="24"/>
          <w:szCs w:val="24"/>
          <w:shd w:val="clear" w:color="auto" w:fill="FFFFFF"/>
        </w:rPr>
        <w:t>remedies, which in turn helped claimants ensure that their rights were being enforced</w:t>
      </w:r>
      <w:r w:rsidR="00805076">
        <w:rPr>
          <w:rFonts w:ascii="Arial" w:hAnsi="Arial" w:cs="Arial"/>
          <w:sz w:val="24"/>
          <w:szCs w:val="24"/>
          <w:shd w:val="clear" w:color="auto" w:fill="FFFFFF"/>
        </w:rPr>
        <w:t xml:space="preserve"> in these cases.</w:t>
      </w:r>
      <w:r w:rsidR="00157B1D">
        <w:rPr>
          <w:rFonts w:ascii="Arial" w:hAnsi="Arial" w:cs="Arial"/>
          <w:sz w:val="24"/>
          <w:szCs w:val="24"/>
          <w:shd w:val="clear" w:color="auto" w:fill="FFFFFF"/>
        </w:rPr>
        <w:t xml:space="preserve"> Citing</w:t>
      </w:r>
      <w:r w:rsidR="00805076">
        <w:rPr>
          <w:rFonts w:ascii="Arial" w:hAnsi="Arial" w:cs="Arial"/>
          <w:sz w:val="24"/>
          <w:szCs w:val="24"/>
          <w:shd w:val="clear" w:color="auto" w:fill="FFFFFF"/>
        </w:rPr>
        <w:t xml:space="preserve"> </w:t>
      </w:r>
      <w:r w:rsidR="00157B1D">
        <w:rPr>
          <w:rFonts w:ascii="Arial" w:hAnsi="Arial" w:cs="Arial"/>
          <w:sz w:val="24"/>
          <w:szCs w:val="24"/>
          <w:shd w:val="clear" w:color="auto" w:fill="FFFFFF"/>
        </w:rPr>
        <w:t xml:space="preserve">(Duddington, 2006, p.21) </w:t>
      </w:r>
      <w:r w:rsidR="006D2420">
        <w:rPr>
          <w:rFonts w:ascii="Arial" w:hAnsi="Arial" w:cs="Arial"/>
          <w:sz w:val="24"/>
          <w:szCs w:val="24"/>
          <w:shd w:val="clear" w:color="auto" w:fill="FFFFFF"/>
        </w:rPr>
        <w:t>who identifies the characteristics of equitable remedies and their use, stating “They are granted where the common law remedies, e.g. damages, would be inadequate or where common law remedies are not available because the right is exclusively equitable, e.g. the right of a beneficiary under a trust.” This extract from Duddington once again reinforces the advantages of equitable remedies and highlights their importance when it comes to trusts as they offer solutions in cases where rights are exclusively equitable.</w:t>
      </w:r>
    </w:p>
    <w:p w14:paraId="3F74232F" w14:textId="45CC7087" w:rsidR="004747B2" w:rsidRDefault="00157B1D" w:rsidP="008E2874">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 </w:t>
      </w:r>
      <w:r w:rsidR="008B5AB2">
        <w:rPr>
          <w:rFonts w:ascii="Arial" w:hAnsi="Arial" w:cs="Arial"/>
          <w:sz w:val="24"/>
          <w:szCs w:val="24"/>
          <w:shd w:val="clear" w:color="auto" w:fill="FFFFFF"/>
        </w:rPr>
        <w:t xml:space="preserve">A case that can be highlighted when examining the development of trusts is that of Knight v Knight (1840), where </w:t>
      </w:r>
      <w:r w:rsidR="00B8519A">
        <w:rPr>
          <w:rFonts w:ascii="Arial" w:hAnsi="Arial" w:cs="Arial"/>
          <w:sz w:val="24"/>
          <w:szCs w:val="24"/>
          <w:shd w:val="clear" w:color="auto" w:fill="FFFFFF"/>
        </w:rPr>
        <w:t xml:space="preserve">the focus of ‘certainty’ came in when looking at a trust as an agreement and a declaration of trust, the three certainties that were outlined were that of intention, the subject matter and </w:t>
      </w:r>
      <w:r w:rsidR="0081030A">
        <w:rPr>
          <w:rFonts w:ascii="Arial" w:hAnsi="Arial" w:cs="Arial"/>
          <w:sz w:val="24"/>
          <w:szCs w:val="24"/>
          <w:shd w:val="clear" w:color="auto" w:fill="FFFFFF"/>
        </w:rPr>
        <w:t xml:space="preserve">certainty of </w:t>
      </w:r>
      <w:r w:rsidR="00B8519A">
        <w:rPr>
          <w:rFonts w:ascii="Arial" w:hAnsi="Arial" w:cs="Arial"/>
          <w:sz w:val="24"/>
          <w:szCs w:val="24"/>
          <w:shd w:val="clear" w:color="auto" w:fill="FFFFFF"/>
        </w:rPr>
        <w:t xml:space="preserve">objects. </w:t>
      </w:r>
      <w:r w:rsidR="00B57D3C">
        <w:rPr>
          <w:rFonts w:ascii="Arial" w:hAnsi="Arial" w:cs="Arial"/>
          <w:sz w:val="24"/>
          <w:szCs w:val="24"/>
          <w:shd w:val="clear" w:color="auto" w:fill="FFFFFF"/>
        </w:rPr>
        <w:t>In the 19</w:t>
      </w:r>
      <w:r w:rsidR="00B57D3C" w:rsidRPr="00B57D3C">
        <w:rPr>
          <w:rFonts w:ascii="Arial" w:hAnsi="Arial" w:cs="Arial"/>
          <w:sz w:val="24"/>
          <w:szCs w:val="24"/>
          <w:shd w:val="clear" w:color="auto" w:fill="FFFFFF"/>
          <w:vertAlign w:val="superscript"/>
        </w:rPr>
        <w:t>th</w:t>
      </w:r>
      <w:r w:rsidR="00B57D3C">
        <w:rPr>
          <w:rFonts w:ascii="Arial" w:hAnsi="Arial" w:cs="Arial"/>
          <w:sz w:val="24"/>
          <w:szCs w:val="24"/>
          <w:shd w:val="clear" w:color="auto" w:fill="FFFFFF"/>
        </w:rPr>
        <w:t xml:space="preserve"> century, trusts became more prevalent which was evident in the case law during this time, which was previously mentioned with Knight v Knight, this allowed for further development of the law, another case from around this time is that of Strong v Bird (1874). In Strong v Bird, there were further conditions established relating to trusts, </w:t>
      </w:r>
      <w:r w:rsidR="0091383D">
        <w:rPr>
          <w:rFonts w:ascii="Arial" w:hAnsi="Arial" w:cs="Arial"/>
          <w:sz w:val="24"/>
          <w:szCs w:val="24"/>
          <w:shd w:val="clear" w:color="auto" w:fill="FFFFFF"/>
        </w:rPr>
        <w:t>this</w:t>
      </w:r>
      <w:r w:rsidR="00083463">
        <w:rPr>
          <w:rFonts w:ascii="Arial" w:hAnsi="Arial" w:cs="Arial"/>
          <w:sz w:val="24"/>
          <w:szCs w:val="24"/>
          <w:shd w:val="clear" w:color="auto" w:fill="FFFFFF"/>
        </w:rPr>
        <w:t xml:space="preserve"> </w:t>
      </w:r>
      <w:r w:rsidR="0091383D">
        <w:rPr>
          <w:rFonts w:ascii="Arial" w:hAnsi="Arial" w:cs="Arial"/>
          <w:sz w:val="24"/>
          <w:szCs w:val="24"/>
          <w:shd w:val="clear" w:color="auto" w:fill="FFFFFF"/>
        </w:rPr>
        <w:t>rule</w:t>
      </w:r>
      <w:r w:rsidR="00083463">
        <w:rPr>
          <w:rFonts w:ascii="Arial" w:hAnsi="Arial" w:cs="Arial"/>
          <w:sz w:val="24"/>
          <w:szCs w:val="24"/>
          <w:shd w:val="clear" w:color="auto" w:fill="FFFFFF"/>
        </w:rPr>
        <w:t xml:space="preserve"> </w:t>
      </w:r>
      <w:r w:rsidR="00326E18">
        <w:rPr>
          <w:rFonts w:ascii="Arial" w:hAnsi="Arial" w:cs="Arial"/>
          <w:sz w:val="24"/>
          <w:szCs w:val="24"/>
          <w:shd w:val="clear" w:color="auto" w:fill="FFFFFF"/>
        </w:rPr>
        <w:t xml:space="preserve">that </w:t>
      </w:r>
      <w:r w:rsidR="0091383D">
        <w:rPr>
          <w:rFonts w:ascii="Arial" w:hAnsi="Arial" w:cs="Arial"/>
          <w:sz w:val="24"/>
          <w:szCs w:val="24"/>
          <w:shd w:val="clear" w:color="auto" w:fill="FFFFFF"/>
        </w:rPr>
        <w:t>was</w:t>
      </w:r>
      <w:r w:rsidR="00326E18">
        <w:rPr>
          <w:rFonts w:ascii="Arial" w:hAnsi="Arial" w:cs="Arial"/>
          <w:sz w:val="24"/>
          <w:szCs w:val="24"/>
          <w:shd w:val="clear" w:color="auto" w:fill="FFFFFF"/>
        </w:rPr>
        <w:t xml:space="preserve"> set out</w:t>
      </w:r>
      <w:r w:rsidR="0091383D">
        <w:rPr>
          <w:rFonts w:ascii="Arial" w:hAnsi="Arial" w:cs="Arial"/>
          <w:sz w:val="24"/>
          <w:szCs w:val="24"/>
          <w:shd w:val="clear" w:color="auto" w:fill="FFFFFF"/>
        </w:rPr>
        <w:t xml:space="preserve"> to address an ‘imperfect gift’ being perfected </w:t>
      </w:r>
      <w:r w:rsidR="00CB5048">
        <w:rPr>
          <w:rFonts w:ascii="Arial" w:hAnsi="Arial" w:cs="Arial"/>
          <w:sz w:val="24"/>
          <w:szCs w:val="24"/>
          <w:shd w:val="clear" w:color="auto" w:fill="FFFFFF"/>
        </w:rPr>
        <w:t xml:space="preserve">through a will, </w:t>
      </w:r>
      <w:r w:rsidR="004B1015">
        <w:rPr>
          <w:rFonts w:ascii="Arial" w:hAnsi="Arial" w:cs="Arial"/>
          <w:sz w:val="24"/>
          <w:szCs w:val="24"/>
          <w:shd w:val="clear" w:color="auto" w:fill="FFFFFF"/>
        </w:rPr>
        <w:t xml:space="preserve">this can be applied to trusts, where if the settlor died before </w:t>
      </w:r>
      <w:r w:rsidR="00B80E06">
        <w:rPr>
          <w:rFonts w:ascii="Arial" w:hAnsi="Arial" w:cs="Arial"/>
          <w:sz w:val="24"/>
          <w:szCs w:val="24"/>
          <w:shd w:val="clear" w:color="auto" w:fill="FFFFFF"/>
        </w:rPr>
        <w:t xml:space="preserve">the trust was finalised, </w:t>
      </w:r>
      <w:r w:rsidR="00B80E06">
        <w:rPr>
          <w:rFonts w:ascii="Arial" w:hAnsi="Arial" w:cs="Arial"/>
          <w:sz w:val="24"/>
          <w:szCs w:val="24"/>
          <w:shd w:val="clear" w:color="auto" w:fill="FFFFFF"/>
        </w:rPr>
        <w:lastRenderedPageBreak/>
        <w:t xml:space="preserve">as long as the intention of the settlor was present up until their death with the trustee having legal title for the trust. </w:t>
      </w:r>
      <w:r w:rsidR="00412432">
        <w:rPr>
          <w:rFonts w:ascii="Arial" w:hAnsi="Arial" w:cs="Arial"/>
          <w:sz w:val="24"/>
          <w:szCs w:val="24"/>
          <w:shd w:val="clear" w:color="auto" w:fill="FFFFFF"/>
        </w:rPr>
        <w:t>Will trusts can be used for property however there different types of will trusts that have different functions, such as a discretionary trust,</w:t>
      </w:r>
      <w:r w:rsidR="00942E4E">
        <w:rPr>
          <w:rFonts w:ascii="Arial" w:hAnsi="Arial" w:cs="Arial"/>
          <w:sz w:val="24"/>
          <w:szCs w:val="24"/>
          <w:shd w:val="clear" w:color="auto" w:fill="FFFFFF"/>
        </w:rPr>
        <w:t xml:space="preserve"> with</w:t>
      </w:r>
      <w:r w:rsidR="00412432">
        <w:rPr>
          <w:rFonts w:ascii="Arial" w:hAnsi="Arial" w:cs="Arial"/>
          <w:sz w:val="24"/>
          <w:szCs w:val="24"/>
          <w:shd w:val="clear" w:color="auto" w:fill="FFFFFF"/>
        </w:rPr>
        <w:t xml:space="preserve"> (Sym, 2023) defin</w:t>
      </w:r>
      <w:r w:rsidR="00942E4E">
        <w:rPr>
          <w:rFonts w:ascii="Arial" w:hAnsi="Arial" w:cs="Arial"/>
          <w:sz w:val="24"/>
          <w:szCs w:val="24"/>
          <w:shd w:val="clear" w:color="auto" w:fill="FFFFFF"/>
        </w:rPr>
        <w:t>ing this</w:t>
      </w:r>
      <w:r w:rsidR="00412432">
        <w:rPr>
          <w:rFonts w:ascii="Arial" w:hAnsi="Arial" w:cs="Arial"/>
          <w:sz w:val="24"/>
          <w:szCs w:val="24"/>
          <w:shd w:val="clear" w:color="auto" w:fill="FFFFFF"/>
        </w:rPr>
        <w:t xml:space="preserve"> </w:t>
      </w:r>
      <w:r w:rsidR="00942E4E">
        <w:rPr>
          <w:rFonts w:ascii="Arial" w:hAnsi="Arial" w:cs="Arial"/>
          <w:sz w:val="24"/>
          <w:szCs w:val="24"/>
          <w:shd w:val="clear" w:color="auto" w:fill="FFFFFF"/>
        </w:rPr>
        <w:t xml:space="preserve">as, </w:t>
      </w:r>
      <w:r w:rsidR="00412432" w:rsidRPr="00412432">
        <w:rPr>
          <w:rFonts w:ascii="Arial" w:hAnsi="Arial" w:cs="Arial"/>
          <w:sz w:val="24"/>
          <w:szCs w:val="24"/>
          <w:shd w:val="clear" w:color="auto" w:fill="FFFFFF"/>
        </w:rPr>
        <w:t>“A </w:t>
      </w:r>
      <w:r w:rsidR="00412432" w:rsidRPr="00412432">
        <w:rPr>
          <w:rStyle w:val="Strong"/>
          <w:rFonts w:ascii="Arial" w:hAnsi="Arial" w:cs="Arial"/>
          <w:b w:val="0"/>
          <w:bCs w:val="0"/>
          <w:sz w:val="24"/>
          <w:szCs w:val="24"/>
          <w:shd w:val="clear" w:color="auto" w:fill="FFFFFF"/>
        </w:rPr>
        <w:t>discretionary trust</w:t>
      </w:r>
      <w:r w:rsidR="00412432" w:rsidRPr="00412432">
        <w:rPr>
          <w:rFonts w:ascii="Arial" w:hAnsi="Arial" w:cs="Arial"/>
          <w:sz w:val="24"/>
          <w:szCs w:val="24"/>
          <w:shd w:val="clear" w:color="auto" w:fill="FFFFFF"/>
        </w:rPr>
        <w:t> is a trust where no beneficiary has a right to the income or capital of the trust and any distributions of income or capital are at the discretion of the trustees. A discretionary trust is often used where a testator has a business interest and they want to appoint certain trustees who will be capable of running the business.</w:t>
      </w:r>
      <w:r w:rsidR="00817AC4">
        <w:rPr>
          <w:rFonts w:ascii="Arial" w:hAnsi="Arial" w:cs="Arial"/>
          <w:sz w:val="24"/>
          <w:szCs w:val="24"/>
          <w:shd w:val="clear" w:color="auto" w:fill="FFFFFF"/>
        </w:rPr>
        <w:t xml:space="preserve">” </w:t>
      </w:r>
      <w:r w:rsidR="00211D14">
        <w:rPr>
          <w:rFonts w:ascii="Arial" w:hAnsi="Arial" w:cs="Arial"/>
          <w:sz w:val="24"/>
          <w:szCs w:val="24"/>
          <w:shd w:val="clear" w:color="auto" w:fill="FFFFFF"/>
        </w:rPr>
        <w:t xml:space="preserve">This definition from Sym provides context on the versatility of trusts and the differentiating power that trustees have. </w:t>
      </w:r>
      <w:r w:rsidR="00AA7A04">
        <w:rPr>
          <w:rFonts w:ascii="Arial" w:hAnsi="Arial" w:cs="Arial"/>
          <w:sz w:val="24"/>
          <w:szCs w:val="24"/>
          <w:shd w:val="clear" w:color="auto" w:fill="FFFFFF"/>
        </w:rPr>
        <w:t>Additionally, the benefits that a will trust provides are</w:t>
      </w:r>
      <w:r w:rsidR="00C142C8">
        <w:rPr>
          <w:rFonts w:ascii="Arial" w:hAnsi="Arial" w:cs="Arial"/>
          <w:sz w:val="24"/>
          <w:szCs w:val="24"/>
          <w:shd w:val="clear" w:color="auto" w:fill="FFFFFF"/>
        </w:rPr>
        <w:t xml:space="preserve"> attested to by experts in the field, with it being stated</w:t>
      </w:r>
      <w:r w:rsidR="00AA7A04">
        <w:rPr>
          <w:rFonts w:ascii="Arial" w:hAnsi="Arial" w:cs="Arial"/>
          <w:sz w:val="24"/>
          <w:szCs w:val="24"/>
          <w:shd w:val="clear" w:color="auto" w:fill="FFFFFF"/>
        </w:rPr>
        <w:t xml:space="preserve"> </w:t>
      </w:r>
      <w:r w:rsidR="00AA7A04" w:rsidRPr="00AA7A04">
        <w:rPr>
          <w:rFonts w:ascii="Arial" w:hAnsi="Arial" w:cs="Arial"/>
          <w:sz w:val="24"/>
          <w:szCs w:val="24"/>
          <w:shd w:val="clear" w:color="auto" w:fill="FFFFFF"/>
        </w:rPr>
        <w:t>“It can provide flexible, financial protection for those important to you, making sure that value passes to the people you want it to. It can also benefit future generations in a tax efficient way.</w:t>
      </w:r>
      <w:r w:rsidR="00AA7A04">
        <w:rPr>
          <w:rFonts w:ascii="Arial" w:hAnsi="Arial" w:cs="Arial"/>
          <w:sz w:val="24"/>
          <w:szCs w:val="24"/>
        </w:rPr>
        <w:t>” (Durrant, 2022</w:t>
      </w:r>
      <w:r w:rsidR="00C142C8">
        <w:rPr>
          <w:rFonts w:ascii="Arial" w:hAnsi="Arial" w:cs="Arial"/>
          <w:sz w:val="24"/>
          <w:szCs w:val="24"/>
        </w:rPr>
        <w:t xml:space="preserve">), this statement from Durrant outlines the main benefits of a trust and credits their flexibility as an agreement for the future. </w:t>
      </w:r>
      <w:r w:rsidR="00AA7A04" w:rsidRPr="00AA7A04">
        <w:rPr>
          <w:rFonts w:ascii="Arial" w:hAnsi="Arial" w:cs="Arial"/>
          <w:sz w:val="24"/>
          <w:szCs w:val="24"/>
        </w:rPr>
        <w:t xml:space="preserve"> </w:t>
      </w:r>
      <w:r w:rsidR="00DC79A9">
        <w:rPr>
          <w:rFonts w:ascii="Arial" w:hAnsi="Arial" w:cs="Arial"/>
          <w:sz w:val="24"/>
          <w:szCs w:val="24"/>
        </w:rPr>
        <w:t xml:space="preserve">The development of trusts can also be seen through legislation, for example, the Recognition of Trusts Act (1987) from parliament outlines the characteristics of a trust and states what laws are applicable to trusts in the UK. </w:t>
      </w:r>
      <w:r w:rsidR="00842294">
        <w:rPr>
          <w:rFonts w:ascii="Arial" w:hAnsi="Arial" w:cs="Arial"/>
          <w:sz w:val="24"/>
          <w:szCs w:val="24"/>
        </w:rPr>
        <w:t>The act also sheds light on the stance parliament takes when it comes to trusts</w:t>
      </w:r>
      <w:r w:rsidR="00F94CF6">
        <w:rPr>
          <w:rFonts w:ascii="Arial" w:hAnsi="Arial" w:cs="Arial"/>
          <w:sz w:val="24"/>
          <w:szCs w:val="24"/>
        </w:rPr>
        <w:t xml:space="preserve">, an example found within the act is that </w:t>
      </w:r>
      <w:r w:rsidR="00413CED">
        <w:rPr>
          <w:rFonts w:ascii="Arial" w:hAnsi="Arial" w:cs="Arial"/>
          <w:sz w:val="24"/>
          <w:szCs w:val="24"/>
        </w:rPr>
        <w:t xml:space="preserve">in article 3 </w:t>
      </w:r>
      <w:r w:rsidR="00F94CF6">
        <w:rPr>
          <w:rFonts w:ascii="Arial" w:hAnsi="Arial" w:cs="Arial"/>
          <w:sz w:val="24"/>
          <w:szCs w:val="24"/>
        </w:rPr>
        <w:t xml:space="preserve">it </w:t>
      </w:r>
      <w:r w:rsidR="00E403B0">
        <w:rPr>
          <w:rFonts w:ascii="Arial" w:hAnsi="Arial" w:cs="Arial"/>
          <w:sz w:val="24"/>
          <w:szCs w:val="24"/>
        </w:rPr>
        <w:t>states,</w:t>
      </w:r>
      <w:r w:rsidR="00F94CF6">
        <w:rPr>
          <w:rFonts w:ascii="Arial" w:hAnsi="Arial" w:cs="Arial"/>
          <w:sz w:val="24"/>
          <w:szCs w:val="24"/>
        </w:rPr>
        <w:t xml:space="preserve"> </w:t>
      </w:r>
      <w:r w:rsidR="00413CED" w:rsidRPr="00413CED">
        <w:rPr>
          <w:rFonts w:ascii="Arial" w:hAnsi="Arial" w:cs="Arial"/>
          <w:sz w:val="24"/>
          <w:szCs w:val="24"/>
        </w:rPr>
        <w:t>“</w:t>
      </w:r>
      <w:r w:rsidR="00413CED" w:rsidRPr="00413CED">
        <w:rPr>
          <w:rFonts w:ascii="Arial" w:hAnsi="Arial" w:cs="Arial"/>
          <w:sz w:val="24"/>
          <w:szCs w:val="24"/>
          <w:shd w:val="clear" w:color="auto" w:fill="FFFFFF"/>
        </w:rPr>
        <w:t>The Convention applies only to trusts created voluntarily and evidenced in writing</w:t>
      </w:r>
      <w:r w:rsidR="00413CED">
        <w:rPr>
          <w:rFonts w:ascii="Arial" w:hAnsi="Arial" w:cs="Arial"/>
          <w:sz w:val="24"/>
          <w:szCs w:val="24"/>
          <w:shd w:val="clear" w:color="auto" w:fill="FFFFFF"/>
        </w:rPr>
        <w:t xml:space="preserve">.” This extract from the act demonstrates the importance of getting an agreement of trust in </w:t>
      </w:r>
      <w:r w:rsidR="00DC2092">
        <w:rPr>
          <w:rFonts w:ascii="Arial" w:hAnsi="Arial" w:cs="Arial"/>
          <w:sz w:val="24"/>
          <w:szCs w:val="24"/>
          <w:shd w:val="clear" w:color="auto" w:fill="FFFFFF"/>
        </w:rPr>
        <w:t>writing</w:t>
      </w:r>
      <w:r w:rsidR="00413CED">
        <w:rPr>
          <w:rFonts w:ascii="Arial" w:hAnsi="Arial" w:cs="Arial"/>
          <w:sz w:val="24"/>
          <w:szCs w:val="24"/>
          <w:shd w:val="clear" w:color="auto" w:fill="FFFFFF"/>
        </w:rPr>
        <w:t xml:space="preserve"> </w:t>
      </w:r>
      <w:r w:rsidR="004747B2">
        <w:rPr>
          <w:rFonts w:ascii="Arial" w:hAnsi="Arial" w:cs="Arial"/>
          <w:sz w:val="24"/>
          <w:szCs w:val="24"/>
          <w:shd w:val="clear" w:color="auto" w:fill="FFFFFF"/>
        </w:rPr>
        <w:t>and</w:t>
      </w:r>
      <w:r w:rsidR="00413CED">
        <w:rPr>
          <w:rFonts w:ascii="Arial" w:hAnsi="Arial" w:cs="Arial"/>
          <w:sz w:val="24"/>
          <w:szCs w:val="24"/>
          <w:shd w:val="clear" w:color="auto" w:fill="FFFFFF"/>
        </w:rPr>
        <w:t xml:space="preserve"> </w:t>
      </w:r>
      <w:r w:rsidR="00CA221A">
        <w:rPr>
          <w:rFonts w:ascii="Arial" w:hAnsi="Arial" w:cs="Arial"/>
          <w:sz w:val="24"/>
          <w:szCs w:val="24"/>
          <w:shd w:val="clear" w:color="auto" w:fill="FFFFFF"/>
        </w:rPr>
        <w:t>ensuring that there is clear</w:t>
      </w:r>
      <w:r w:rsidR="00413CED">
        <w:rPr>
          <w:rFonts w:ascii="Arial" w:hAnsi="Arial" w:cs="Arial"/>
          <w:sz w:val="24"/>
          <w:szCs w:val="24"/>
          <w:shd w:val="clear" w:color="auto" w:fill="FFFFFF"/>
        </w:rPr>
        <w:t xml:space="preserve"> intention </w:t>
      </w:r>
      <w:r w:rsidR="00CA221A">
        <w:rPr>
          <w:rFonts w:ascii="Arial" w:hAnsi="Arial" w:cs="Arial"/>
          <w:sz w:val="24"/>
          <w:szCs w:val="24"/>
          <w:shd w:val="clear" w:color="auto" w:fill="FFFFFF"/>
        </w:rPr>
        <w:t xml:space="preserve">stated </w:t>
      </w:r>
      <w:r w:rsidR="00413CED">
        <w:rPr>
          <w:rFonts w:ascii="Arial" w:hAnsi="Arial" w:cs="Arial"/>
          <w:sz w:val="24"/>
          <w:szCs w:val="24"/>
          <w:shd w:val="clear" w:color="auto" w:fill="FFFFFF"/>
        </w:rPr>
        <w:t>when it comes to a declaration of trust, which is one of the certainties established in Knight v Knight that should be met as previously discussed.</w:t>
      </w:r>
      <w:r w:rsidR="004747B2">
        <w:rPr>
          <w:rFonts w:ascii="Arial" w:hAnsi="Arial" w:cs="Arial"/>
          <w:sz w:val="24"/>
          <w:szCs w:val="24"/>
          <w:shd w:val="clear" w:color="auto" w:fill="FFFFFF"/>
        </w:rPr>
        <w:t xml:space="preserve"> </w:t>
      </w:r>
      <w:r w:rsidR="00834ABB">
        <w:rPr>
          <w:rFonts w:ascii="Arial" w:hAnsi="Arial" w:cs="Arial"/>
          <w:sz w:val="24"/>
          <w:szCs w:val="24"/>
          <w:shd w:val="clear" w:color="auto" w:fill="FFFFFF"/>
        </w:rPr>
        <w:t xml:space="preserve">With the Recognition of Trusts Act </w:t>
      </w:r>
      <w:r w:rsidR="003570B6">
        <w:rPr>
          <w:rFonts w:ascii="Arial" w:hAnsi="Arial" w:cs="Arial"/>
          <w:sz w:val="24"/>
          <w:szCs w:val="24"/>
          <w:shd w:val="clear" w:color="auto" w:fill="FFFFFF"/>
        </w:rPr>
        <w:t xml:space="preserve">partly revealing parliament’s stance on trusts, it’s important to acknowledge that more laws </w:t>
      </w:r>
      <w:r w:rsidR="003570B6">
        <w:rPr>
          <w:rFonts w:ascii="Arial" w:hAnsi="Arial" w:cs="Arial"/>
          <w:sz w:val="24"/>
          <w:szCs w:val="24"/>
          <w:shd w:val="clear" w:color="auto" w:fill="FFFFFF"/>
        </w:rPr>
        <w:lastRenderedPageBreak/>
        <w:t>surrounding trusts have been introduced, legislation such as the Trustee Act (2000) and the Charities Act (2011)</w:t>
      </w:r>
      <w:r w:rsidR="008D69EC">
        <w:rPr>
          <w:rFonts w:ascii="Arial" w:hAnsi="Arial" w:cs="Arial"/>
          <w:sz w:val="24"/>
          <w:szCs w:val="24"/>
          <w:shd w:val="clear" w:color="auto" w:fill="FFFFFF"/>
        </w:rPr>
        <w:t xml:space="preserve"> </w:t>
      </w:r>
      <w:r w:rsidR="00456802">
        <w:rPr>
          <w:rFonts w:ascii="Arial" w:hAnsi="Arial" w:cs="Arial"/>
          <w:sz w:val="24"/>
          <w:szCs w:val="24"/>
          <w:shd w:val="clear" w:color="auto" w:fill="FFFFFF"/>
        </w:rPr>
        <w:t xml:space="preserve">which provide the government with more </w:t>
      </w:r>
      <w:r w:rsidR="00754A8B">
        <w:rPr>
          <w:rFonts w:ascii="Arial" w:hAnsi="Arial" w:cs="Arial"/>
          <w:sz w:val="24"/>
          <w:szCs w:val="24"/>
          <w:shd w:val="clear" w:color="auto" w:fill="FFFFFF"/>
        </w:rPr>
        <w:t>authority</w:t>
      </w:r>
      <w:r w:rsidR="00456802">
        <w:rPr>
          <w:rFonts w:ascii="Arial" w:hAnsi="Arial" w:cs="Arial"/>
          <w:sz w:val="24"/>
          <w:szCs w:val="24"/>
          <w:shd w:val="clear" w:color="auto" w:fill="FFFFFF"/>
        </w:rPr>
        <w:t xml:space="preserve"> when it comes to</w:t>
      </w:r>
      <w:r w:rsidR="009341E1">
        <w:rPr>
          <w:rFonts w:ascii="Arial" w:hAnsi="Arial" w:cs="Arial"/>
          <w:sz w:val="24"/>
          <w:szCs w:val="24"/>
          <w:shd w:val="clear" w:color="auto" w:fill="FFFFFF"/>
        </w:rPr>
        <w:t xml:space="preserve"> overseeing</w:t>
      </w:r>
      <w:r w:rsidR="00456802">
        <w:rPr>
          <w:rFonts w:ascii="Arial" w:hAnsi="Arial" w:cs="Arial"/>
          <w:sz w:val="24"/>
          <w:szCs w:val="24"/>
          <w:shd w:val="clear" w:color="auto" w:fill="FFFFFF"/>
        </w:rPr>
        <w:t xml:space="preserve"> the creation of trusts. The Charities Act in particular is relevant as it </w:t>
      </w:r>
      <w:r w:rsidR="000A2E34">
        <w:rPr>
          <w:rFonts w:ascii="Arial" w:hAnsi="Arial" w:cs="Arial"/>
          <w:sz w:val="24"/>
          <w:szCs w:val="24"/>
          <w:shd w:val="clear" w:color="auto" w:fill="FFFFFF"/>
        </w:rPr>
        <w:t>sets the guidelines around charitable trust by listing charitable purposes in the act and defining what constitutes charity</w:t>
      </w:r>
      <w:r w:rsidR="00EE44BA">
        <w:rPr>
          <w:rFonts w:ascii="Arial" w:hAnsi="Arial" w:cs="Arial"/>
          <w:sz w:val="24"/>
          <w:szCs w:val="24"/>
          <w:shd w:val="clear" w:color="auto" w:fill="FFFFFF"/>
        </w:rPr>
        <w:t xml:space="preserve">, for example, three key purposes that are listed include: the prevention or relief of poverty, the advancement of education, and the advancement of religion. </w:t>
      </w:r>
      <w:r w:rsidR="001B6929">
        <w:rPr>
          <w:rFonts w:ascii="Arial" w:hAnsi="Arial" w:cs="Arial"/>
          <w:sz w:val="24"/>
          <w:szCs w:val="24"/>
          <w:shd w:val="clear" w:color="auto" w:fill="FFFFFF"/>
        </w:rPr>
        <w:t>To further analyse parliament’s stance on trust</w:t>
      </w:r>
      <w:r w:rsidR="00886F21">
        <w:rPr>
          <w:rFonts w:ascii="Arial" w:hAnsi="Arial" w:cs="Arial"/>
          <w:sz w:val="24"/>
          <w:szCs w:val="24"/>
          <w:shd w:val="clear" w:color="auto" w:fill="FFFFFF"/>
        </w:rPr>
        <w:t>s</w:t>
      </w:r>
      <w:r w:rsidR="001B6929">
        <w:rPr>
          <w:rFonts w:ascii="Arial" w:hAnsi="Arial" w:cs="Arial"/>
          <w:sz w:val="24"/>
          <w:szCs w:val="24"/>
          <w:shd w:val="clear" w:color="auto" w:fill="FFFFFF"/>
        </w:rPr>
        <w:t>, the taxation that certain types of trusts face is relevant to mention</w:t>
      </w:r>
      <w:r w:rsidR="00CD7D19">
        <w:rPr>
          <w:rFonts w:ascii="Arial" w:hAnsi="Arial" w:cs="Arial"/>
          <w:sz w:val="24"/>
          <w:szCs w:val="24"/>
          <w:shd w:val="clear" w:color="auto" w:fill="FFFFFF"/>
        </w:rPr>
        <w:t xml:space="preserve"> as this regulation by the government has increased over recent years. </w:t>
      </w:r>
      <w:r w:rsidR="008B572F">
        <w:rPr>
          <w:rFonts w:ascii="Arial" w:hAnsi="Arial" w:cs="Arial"/>
          <w:sz w:val="24"/>
          <w:szCs w:val="24"/>
          <w:shd w:val="clear" w:color="auto" w:fill="FFFFFF"/>
        </w:rPr>
        <w:t>The effect of this taxation on trusts can be seen in HM Revenue &amp; Customs statistics that have been published, for example, a significant decline in trusts can be seen ever since 2005/06</w:t>
      </w:r>
      <w:r w:rsidR="008F2FD2">
        <w:rPr>
          <w:rFonts w:ascii="Arial" w:hAnsi="Arial" w:cs="Arial"/>
          <w:sz w:val="24"/>
          <w:szCs w:val="24"/>
          <w:shd w:val="clear" w:color="auto" w:fill="FFFFFF"/>
        </w:rPr>
        <w:t xml:space="preserve"> (HMRC, 2020).</w:t>
      </w:r>
      <w:r w:rsidR="00910C2C">
        <w:rPr>
          <w:rFonts w:ascii="Arial" w:hAnsi="Arial" w:cs="Arial"/>
          <w:sz w:val="24"/>
          <w:szCs w:val="24"/>
          <w:shd w:val="clear" w:color="auto" w:fill="FFFFFF"/>
        </w:rPr>
        <w:t xml:space="preserve"> </w:t>
      </w:r>
      <w:r w:rsidR="002F2298">
        <w:rPr>
          <w:rFonts w:ascii="Arial" w:hAnsi="Arial" w:cs="Arial"/>
          <w:sz w:val="24"/>
          <w:szCs w:val="24"/>
          <w:shd w:val="clear" w:color="auto" w:fill="FFFFFF"/>
        </w:rPr>
        <w:t xml:space="preserve">The decrease in trusts is significant due to reforms in the area being mainly to do with increased taxation, </w:t>
      </w:r>
      <w:r w:rsidR="007518E1">
        <w:rPr>
          <w:rFonts w:ascii="Arial" w:hAnsi="Arial" w:cs="Arial"/>
          <w:sz w:val="24"/>
          <w:szCs w:val="24"/>
          <w:shd w:val="clear" w:color="auto" w:fill="FFFFFF"/>
        </w:rPr>
        <w:t xml:space="preserve">to quote (The Gazette, 2018), </w:t>
      </w:r>
      <w:r w:rsidR="007518E1" w:rsidRPr="007518E1">
        <w:rPr>
          <w:rFonts w:ascii="Arial" w:hAnsi="Arial" w:cs="Arial"/>
          <w:sz w:val="24"/>
          <w:szCs w:val="24"/>
          <w:shd w:val="clear" w:color="auto" w:fill="FFFFFF"/>
        </w:rPr>
        <w:t>“The advantages of trusts have slowly been decreasing for the past decade. In 2006, the UK government announced reforms which meant many assets moved into trusts became subject to a 20 per cent inheritance tax levy.</w:t>
      </w:r>
      <w:r w:rsidR="007518E1">
        <w:rPr>
          <w:rFonts w:ascii="Arial" w:hAnsi="Arial" w:cs="Arial"/>
          <w:sz w:val="24"/>
          <w:szCs w:val="24"/>
          <w:shd w:val="clear" w:color="auto" w:fill="FFFFFF"/>
        </w:rPr>
        <w:t xml:space="preserve">” </w:t>
      </w:r>
      <w:r w:rsidR="007062B3">
        <w:rPr>
          <w:rFonts w:ascii="Arial" w:hAnsi="Arial" w:cs="Arial"/>
          <w:sz w:val="24"/>
          <w:szCs w:val="24"/>
          <w:shd w:val="clear" w:color="auto" w:fill="FFFFFF"/>
        </w:rPr>
        <w:t xml:space="preserve">With this decline in mind, it is arguable that the government uses taxation as means to potentially deter the creation of more trusts. </w:t>
      </w:r>
    </w:p>
    <w:p w14:paraId="3AC50C87" w14:textId="380BDF0A" w:rsidR="004046F9" w:rsidRDefault="00413CED" w:rsidP="008E2874">
      <w:pPr>
        <w:spacing w:line="480" w:lineRule="auto"/>
        <w:rPr>
          <w:rStyle w:val="Strong"/>
          <w:rFonts w:ascii="Arial" w:hAnsi="Arial" w:cs="Arial"/>
          <w:b w:val="0"/>
          <w:bCs w:val="0"/>
          <w:sz w:val="24"/>
          <w:szCs w:val="24"/>
          <w:shd w:val="clear" w:color="auto" w:fill="FFFFFF"/>
        </w:rPr>
      </w:pPr>
      <w:r>
        <w:rPr>
          <w:rFonts w:ascii="Arial" w:hAnsi="Arial" w:cs="Arial"/>
          <w:sz w:val="24"/>
          <w:szCs w:val="24"/>
          <w:shd w:val="clear" w:color="auto" w:fill="FFFFFF"/>
        </w:rPr>
        <w:t xml:space="preserve"> </w:t>
      </w:r>
      <w:r w:rsidR="000F24A3">
        <w:rPr>
          <w:rFonts w:ascii="Arial" w:hAnsi="Arial" w:cs="Arial"/>
          <w:sz w:val="24"/>
          <w:szCs w:val="24"/>
          <w:shd w:val="clear" w:color="auto" w:fill="FFFFFF"/>
        </w:rPr>
        <w:t>As mentioned previously, LPA (1925) is relevant legislation to trusts as it deals with many aspects of the transference of property, section 53(1)(b) of the LPA is important to bring up due to the formalities of land being presented (deeds),</w:t>
      </w:r>
      <w:r w:rsidR="0058600E">
        <w:rPr>
          <w:rFonts w:ascii="Arial" w:hAnsi="Arial" w:cs="Arial"/>
          <w:sz w:val="24"/>
          <w:szCs w:val="24"/>
          <w:shd w:val="clear" w:color="auto" w:fill="FFFFFF"/>
        </w:rPr>
        <w:t xml:space="preserve"> this part of LPA was key in the case of Hodgson v Marks (1971), where </w:t>
      </w:r>
      <w:r w:rsidR="00D0686A">
        <w:rPr>
          <w:rFonts w:ascii="Arial" w:hAnsi="Arial" w:cs="Arial"/>
          <w:sz w:val="24"/>
          <w:szCs w:val="24"/>
          <w:shd w:val="clear" w:color="auto" w:fill="FFFFFF"/>
        </w:rPr>
        <w:t xml:space="preserve">section 53(1)(b) was used in an attempt to deny a widow property by a purchaser after it she </w:t>
      </w:r>
      <w:r w:rsidR="00753384">
        <w:rPr>
          <w:rFonts w:ascii="Arial" w:hAnsi="Arial" w:cs="Arial"/>
          <w:sz w:val="24"/>
          <w:szCs w:val="24"/>
          <w:shd w:val="clear" w:color="auto" w:fill="FFFFFF"/>
        </w:rPr>
        <w:t xml:space="preserve">sold it on the trust that the property would be held for her, </w:t>
      </w:r>
      <w:r w:rsidR="00FF6006">
        <w:rPr>
          <w:rFonts w:ascii="Arial" w:hAnsi="Arial" w:cs="Arial"/>
          <w:sz w:val="24"/>
          <w:szCs w:val="24"/>
          <w:shd w:val="clear" w:color="auto" w:fill="FFFFFF"/>
        </w:rPr>
        <w:t>it was decided that it would be fraudulent to deny the widow’s</w:t>
      </w:r>
      <w:r w:rsidR="002B7581">
        <w:rPr>
          <w:rFonts w:ascii="Arial" w:hAnsi="Arial" w:cs="Arial"/>
          <w:sz w:val="24"/>
          <w:szCs w:val="24"/>
          <w:shd w:val="clear" w:color="auto" w:fill="FFFFFF"/>
        </w:rPr>
        <w:t xml:space="preserve"> right to the property</w:t>
      </w:r>
      <w:r w:rsidR="004147B4">
        <w:rPr>
          <w:rFonts w:ascii="Arial" w:hAnsi="Arial" w:cs="Arial"/>
          <w:sz w:val="24"/>
          <w:szCs w:val="24"/>
          <w:shd w:val="clear" w:color="auto" w:fill="FFFFFF"/>
        </w:rPr>
        <w:t xml:space="preserve"> using LPA </w:t>
      </w:r>
      <w:r w:rsidR="001D06F3">
        <w:rPr>
          <w:rFonts w:ascii="Arial" w:hAnsi="Arial" w:cs="Arial"/>
          <w:sz w:val="24"/>
          <w:szCs w:val="24"/>
          <w:shd w:val="clear" w:color="auto" w:fill="FFFFFF"/>
        </w:rPr>
        <w:t>(</w:t>
      </w:r>
      <w:r w:rsidR="004147B4">
        <w:rPr>
          <w:rFonts w:ascii="Arial" w:hAnsi="Arial" w:cs="Arial"/>
          <w:sz w:val="24"/>
          <w:szCs w:val="24"/>
          <w:shd w:val="clear" w:color="auto" w:fill="FFFFFF"/>
        </w:rPr>
        <w:t>1925</w:t>
      </w:r>
      <w:r w:rsidR="001D06F3">
        <w:rPr>
          <w:rFonts w:ascii="Arial" w:hAnsi="Arial" w:cs="Arial"/>
          <w:sz w:val="24"/>
          <w:szCs w:val="24"/>
          <w:shd w:val="clear" w:color="auto" w:fill="FFFFFF"/>
        </w:rPr>
        <w:t>)</w:t>
      </w:r>
      <w:r w:rsidR="004147B4">
        <w:rPr>
          <w:rFonts w:ascii="Arial" w:hAnsi="Arial" w:cs="Arial"/>
          <w:sz w:val="24"/>
          <w:szCs w:val="24"/>
          <w:shd w:val="clear" w:color="auto" w:fill="FFFFFF"/>
        </w:rPr>
        <w:t xml:space="preserve"> in this situation</w:t>
      </w:r>
      <w:r w:rsidR="002B7581">
        <w:rPr>
          <w:rFonts w:ascii="Arial" w:hAnsi="Arial" w:cs="Arial"/>
          <w:sz w:val="24"/>
          <w:szCs w:val="24"/>
          <w:shd w:val="clear" w:color="auto" w:fill="FFFFFF"/>
        </w:rPr>
        <w:t xml:space="preserve">, </w:t>
      </w:r>
      <w:r w:rsidR="002B7581">
        <w:rPr>
          <w:rFonts w:ascii="Arial" w:hAnsi="Arial" w:cs="Arial"/>
          <w:sz w:val="24"/>
          <w:szCs w:val="24"/>
          <w:shd w:val="clear" w:color="auto" w:fill="FFFFFF"/>
        </w:rPr>
        <w:lastRenderedPageBreak/>
        <w:t>therefore it was deemed a resultant trust</w:t>
      </w:r>
      <w:r w:rsidR="00FF6006">
        <w:rPr>
          <w:rFonts w:ascii="Arial" w:hAnsi="Arial" w:cs="Arial"/>
          <w:sz w:val="24"/>
          <w:szCs w:val="24"/>
          <w:shd w:val="clear" w:color="auto" w:fill="FFFFFF"/>
        </w:rPr>
        <w:t>.</w:t>
      </w:r>
      <w:r w:rsidR="000F24A3">
        <w:rPr>
          <w:rFonts w:ascii="Arial" w:hAnsi="Arial" w:cs="Arial"/>
          <w:sz w:val="24"/>
          <w:szCs w:val="24"/>
          <w:shd w:val="clear" w:color="auto" w:fill="FFFFFF"/>
        </w:rPr>
        <w:t xml:space="preserve"> </w:t>
      </w:r>
      <w:r w:rsidR="00FF6006">
        <w:rPr>
          <w:rFonts w:ascii="Arial" w:hAnsi="Arial" w:cs="Arial"/>
          <w:sz w:val="24"/>
          <w:szCs w:val="24"/>
          <w:shd w:val="clear" w:color="auto" w:fill="FFFFFF"/>
        </w:rPr>
        <w:t>T</w:t>
      </w:r>
      <w:r w:rsidR="000F24A3">
        <w:rPr>
          <w:rFonts w:ascii="Arial" w:hAnsi="Arial" w:cs="Arial"/>
          <w:sz w:val="24"/>
          <w:szCs w:val="24"/>
          <w:shd w:val="clear" w:color="auto" w:fill="FFFFFF"/>
        </w:rPr>
        <w:t>he</w:t>
      </w:r>
      <w:r w:rsidR="00C26AA9">
        <w:rPr>
          <w:rFonts w:ascii="Arial" w:hAnsi="Arial" w:cs="Arial"/>
          <w:sz w:val="24"/>
          <w:szCs w:val="24"/>
          <w:shd w:val="clear" w:color="auto" w:fill="FFFFFF"/>
        </w:rPr>
        <w:t xml:space="preserve"> </w:t>
      </w:r>
      <w:r w:rsidR="000F24A3">
        <w:rPr>
          <w:rFonts w:ascii="Arial" w:hAnsi="Arial" w:cs="Arial"/>
          <w:sz w:val="24"/>
          <w:szCs w:val="24"/>
          <w:shd w:val="clear" w:color="auto" w:fill="FFFFFF"/>
        </w:rPr>
        <w:t xml:space="preserve">Wills Act (1837) </w:t>
      </w:r>
      <w:r w:rsidR="00C26AA9">
        <w:rPr>
          <w:rFonts w:ascii="Arial" w:hAnsi="Arial" w:cs="Arial"/>
          <w:sz w:val="24"/>
          <w:szCs w:val="24"/>
          <w:shd w:val="clear" w:color="auto" w:fill="FFFFFF"/>
        </w:rPr>
        <w:t xml:space="preserve">is another piece of legislation that can be specific to trusts. </w:t>
      </w:r>
      <w:r w:rsidR="00E05120">
        <w:rPr>
          <w:rFonts w:ascii="Arial" w:hAnsi="Arial" w:cs="Arial"/>
          <w:sz w:val="24"/>
          <w:szCs w:val="24"/>
          <w:shd w:val="clear" w:color="auto" w:fill="FFFFFF"/>
        </w:rPr>
        <w:t xml:space="preserve">The Wills Act highlights the right for every adult to distribute their property how they see fit through a will after their death, this includes to beneficiaries of </w:t>
      </w:r>
      <w:r w:rsidR="003B2EB3">
        <w:rPr>
          <w:rFonts w:ascii="Arial" w:hAnsi="Arial" w:cs="Arial"/>
          <w:sz w:val="24"/>
          <w:szCs w:val="24"/>
          <w:shd w:val="clear" w:color="auto" w:fill="FFFFFF"/>
        </w:rPr>
        <w:t xml:space="preserve">a </w:t>
      </w:r>
      <w:r w:rsidR="00E05120">
        <w:rPr>
          <w:rFonts w:ascii="Arial" w:hAnsi="Arial" w:cs="Arial"/>
          <w:sz w:val="24"/>
          <w:szCs w:val="24"/>
          <w:shd w:val="clear" w:color="auto" w:fill="FFFFFF"/>
        </w:rPr>
        <w:t>trust</w:t>
      </w:r>
      <w:r w:rsidR="00016B0E">
        <w:rPr>
          <w:rFonts w:ascii="Arial" w:hAnsi="Arial" w:cs="Arial"/>
          <w:sz w:val="24"/>
          <w:szCs w:val="24"/>
          <w:shd w:val="clear" w:color="auto" w:fill="FFFFFF"/>
        </w:rPr>
        <w:t xml:space="preserve"> as per section 3 of the act</w:t>
      </w:r>
      <w:r w:rsidR="00E05120">
        <w:rPr>
          <w:rFonts w:ascii="Arial" w:hAnsi="Arial" w:cs="Arial"/>
          <w:sz w:val="24"/>
          <w:szCs w:val="24"/>
          <w:shd w:val="clear" w:color="auto" w:fill="FFFFFF"/>
        </w:rPr>
        <w:t xml:space="preserve">. </w:t>
      </w:r>
      <w:r w:rsidR="00F3161A">
        <w:rPr>
          <w:rFonts w:ascii="Arial" w:hAnsi="Arial" w:cs="Arial"/>
          <w:sz w:val="24"/>
          <w:szCs w:val="24"/>
          <w:shd w:val="clear" w:color="auto" w:fill="FFFFFF"/>
        </w:rPr>
        <w:t xml:space="preserve">Now, considering the examples of relevant legislation and case law, this arguably strengthens the support for equity and trusts, but on the other hand, there must be a consideration for potential calls of reform. </w:t>
      </w:r>
      <w:r w:rsidR="00D624A4">
        <w:rPr>
          <w:rFonts w:ascii="Arial" w:hAnsi="Arial" w:cs="Arial"/>
          <w:sz w:val="24"/>
          <w:szCs w:val="24"/>
          <w:shd w:val="clear" w:color="auto" w:fill="FFFFFF"/>
        </w:rPr>
        <w:t xml:space="preserve">An argument that can be </w:t>
      </w:r>
      <w:r w:rsidR="007554BE">
        <w:rPr>
          <w:rFonts w:ascii="Arial" w:hAnsi="Arial" w:cs="Arial"/>
          <w:sz w:val="24"/>
          <w:szCs w:val="24"/>
          <w:shd w:val="clear" w:color="auto" w:fill="FFFFFF"/>
        </w:rPr>
        <w:t xml:space="preserve">seen when examining potential reform </w:t>
      </w:r>
      <w:r w:rsidR="00D60134">
        <w:rPr>
          <w:rFonts w:ascii="Arial" w:hAnsi="Arial" w:cs="Arial"/>
          <w:sz w:val="24"/>
          <w:szCs w:val="24"/>
          <w:shd w:val="clear" w:color="auto" w:fill="FFFFFF"/>
        </w:rPr>
        <w:t xml:space="preserve">is a call for modernisation of the laws surrounding trusts, the Law Commission have initiated a project to modernise trust law which was first proposed in 2017, with the main aim being stated as </w:t>
      </w:r>
      <w:r w:rsidR="00D60134" w:rsidRPr="00D60134">
        <w:rPr>
          <w:rFonts w:ascii="Arial" w:hAnsi="Arial" w:cs="Arial"/>
          <w:b/>
          <w:bCs/>
          <w:sz w:val="24"/>
          <w:szCs w:val="24"/>
          <w:shd w:val="clear" w:color="auto" w:fill="FFFFFF"/>
        </w:rPr>
        <w:t>“</w:t>
      </w:r>
      <w:r w:rsidR="00D60134" w:rsidRPr="00D60134">
        <w:rPr>
          <w:rStyle w:val="Strong"/>
          <w:rFonts w:ascii="Arial" w:hAnsi="Arial" w:cs="Arial"/>
          <w:b w:val="0"/>
          <w:bCs w:val="0"/>
          <w:sz w:val="24"/>
          <w:szCs w:val="24"/>
          <w:shd w:val="clear" w:color="auto" w:fill="FFFFFF"/>
        </w:rPr>
        <w:t>Reforming outdated trust laws to enhance Britain’s competitiveness.</w:t>
      </w:r>
      <w:r w:rsidR="00D60134">
        <w:rPr>
          <w:rStyle w:val="Strong"/>
          <w:rFonts w:ascii="Arial" w:hAnsi="Arial" w:cs="Arial"/>
          <w:b w:val="0"/>
          <w:bCs w:val="0"/>
          <w:sz w:val="24"/>
          <w:szCs w:val="24"/>
          <w:shd w:val="clear" w:color="auto" w:fill="FFFFFF"/>
        </w:rPr>
        <w:t xml:space="preserve">” </w:t>
      </w:r>
      <w:r w:rsidR="00E03EAC">
        <w:rPr>
          <w:rStyle w:val="Strong"/>
          <w:rFonts w:ascii="Arial" w:hAnsi="Arial" w:cs="Arial"/>
          <w:b w:val="0"/>
          <w:bCs w:val="0"/>
          <w:sz w:val="24"/>
          <w:szCs w:val="24"/>
          <w:shd w:val="clear" w:color="auto" w:fill="FFFFFF"/>
        </w:rPr>
        <w:t>(Law Commission, 2017)</w:t>
      </w:r>
      <w:r w:rsidR="00BA0CC8">
        <w:rPr>
          <w:rStyle w:val="Strong"/>
          <w:rFonts w:ascii="Arial" w:hAnsi="Arial" w:cs="Arial"/>
          <w:b w:val="0"/>
          <w:bCs w:val="0"/>
          <w:sz w:val="24"/>
          <w:szCs w:val="24"/>
          <w:shd w:val="clear" w:color="auto" w:fill="FFFFFF"/>
        </w:rPr>
        <w:t xml:space="preserve">. </w:t>
      </w:r>
      <w:r w:rsidR="00E03EAC">
        <w:rPr>
          <w:rStyle w:val="Strong"/>
          <w:rFonts w:ascii="Arial" w:hAnsi="Arial" w:cs="Arial"/>
          <w:b w:val="0"/>
          <w:bCs w:val="0"/>
          <w:sz w:val="24"/>
          <w:szCs w:val="24"/>
          <w:shd w:val="clear" w:color="auto" w:fill="FFFFFF"/>
        </w:rPr>
        <w:t xml:space="preserve">This argument for reform addresses the perceived limitations of the current laws </w:t>
      </w:r>
      <w:r w:rsidR="00B77F2A">
        <w:rPr>
          <w:rStyle w:val="Strong"/>
          <w:rFonts w:ascii="Arial" w:hAnsi="Arial" w:cs="Arial"/>
          <w:b w:val="0"/>
          <w:bCs w:val="0"/>
          <w:sz w:val="24"/>
          <w:szCs w:val="24"/>
          <w:shd w:val="clear" w:color="auto" w:fill="FFFFFF"/>
        </w:rPr>
        <w:t>and</w:t>
      </w:r>
      <w:r w:rsidR="00E03EAC">
        <w:rPr>
          <w:rStyle w:val="Strong"/>
          <w:rFonts w:ascii="Arial" w:hAnsi="Arial" w:cs="Arial"/>
          <w:b w:val="0"/>
          <w:bCs w:val="0"/>
          <w:sz w:val="24"/>
          <w:szCs w:val="24"/>
          <w:shd w:val="clear" w:color="auto" w:fill="FFFFFF"/>
        </w:rPr>
        <w:t xml:space="preserve"> points out the fact that other countries such as New Zealand and Singapore have implemented reforms which have benefited them by updating the law and maintaining healthy markets. </w:t>
      </w:r>
      <w:r w:rsidR="00305103">
        <w:rPr>
          <w:rStyle w:val="Strong"/>
          <w:rFonts w:ascii="Arial" w:hAnsi="Arial" w:cs="Arial"/>
          <w:b w:val="0"/>
          <w:bCs w:val="0"/>
          <w:sz w:val="24"/>
          <w:szCs w:val="24"/>
          <w:shd w:val="clear" w:color="auto" w:fill="FFFFFF"/>
        </w:rPr>
        <w:t xml:space="preserve">However, when looking at this argument for reform closer, </w:t>
      </w:r>
      <w:r w:rsidR="00771CB5">
        <w:rPr>
          <w:rStyle w:val="Strong"/>
          <w:rFonts w:ascii="Arial" w:hAnsi="Arial" w:cs="Arial"/>
          <w:b w:val="0"/>
          <w:bCs w:val="0"/>
          <w:sz w:val="24"/>
          <w:szCs w:val="24"/>
          <w:shd w:val="clear" w:color="auto" w:fill="FFFFFF"/>
        </w:rPr>
        <w:t>the main issue arises with the registration of certain trusts</w:t>
      </w:r>
      <w:r w:rsidR="00CE6066">
        <w:rPr>
          <w:rStyle w:val="Strong"/>
          <w:rFonts w:ascii="Arial" w:hAnsi="Arial" w:cs="Arial"/>
          <w:b w:val="0"/>
          <w:bCs w:val="0"/>
          <w:sz w:val="24"/>
          <w:szCs w:val="24"/>
          <w:shd w:val="clear" w:color="auto" w:fill="FFFFFF"/>
        </w:rPr>
        <w:t>, (Knobel, 2017) states, “</w:t>
      </w:r>
      <w:r w:rsidR="00CE6066" w:rsidRPr="00CE6066">
        <w:rPr>
          <w:rStyle w:val="Strong"/>
          <w:rFonts w:ascii="Arial" w:hAnsi="Arial" w:cs="Arial"/>
          <w:b w:val="0"/>
          <w:bCs w:val="0"/>
          <w:sz w:val="24"/>
          <w:szCs w:val="24"/>
          <w:shd w:val="clear" w:color="auto" w:fill="FFFFFF"/>
        </w:rPr>
        <w:t>since not all trusts have to register and there will be no public access to the B</w:t>
      </w:r>
      <w:r w:rsidR="009F4A04" w:rsidRPr="00CE6066">
        <w:rPr>
          <w:rStyle w:val="Strong"/>
          <w:rFonts w:ascii="Arial" w:hAnsi="Arial" w:cs="Arial"/>
          <w:b w:val="0"/>
          <w:bCs w:val="0"/>
          <w:sz w:val="24"/>
          <w:szCs w:val="24"/>
          <w:shd w:val="clear" w:color="auto" w:fill="FFFFFF"/>
        </w:rPr>
        <w:t>o</w:t>
      </w:r>
      <w:r w:rsidR="00CE6066" w:rsidRPr="00CE6066">
        <w:rPr>
          <w:rStyle w:val="Strong"/>
          <w:rFonts w:ascii="Arial" w:hAnsi="Arial" w:cs="Arial"/>
          <w:b w:val="0"/>
          <w:bCs w:val="0"/>
          <w:sz w:val="24"/>
          <w:szCs w:val="24"/>
          <w:shd w:val="clear" w:color="auto" w:fill="FFFFFF"/>
        </w:rPr>
        <w:t>s</w:t>
      </w:r>
      <w:r w:rsidR="009F4A04">
        <w:rPr>
          <w:rStyle w:val="Strong"/>
          <w:rFonts w:ascii="Arial" w:hAnsi="Arial" w:cs="Arial"/>
          <w:b w:val="0"/>
          <w:bCs w:val="0"/>
          <w:sz w:val="24"/>
          <w:szCs w:val="24"/>
          <w:shd w:val="clear" w:color="auto" w:fill="FFFFFF"/>
        </w:rPr>
        <w:t xml:space="preserve"> (beneficial ownership)</w:t>
      </w:r>
      <w:r w:rsidR="00CE6066" w:rsidRPr="00CE6066">
        <w:rPr>
          <w:rStyle w:val="Strong"/>
          <w:rFonts w:ascii="Arial" w:hAnsi="Arial" w:cs="Arial"/>
          <w:b w:val="0"/>
          <w:bCs w:val="0"/>
          <w:sz w:val="24"/>
          <w:szCs w:val="24"/>
          <w:shd w:val="clear" w:color="auto" w:fill="FFFFFF"/>
        </w:rPr>
        <w:t xml:space="preserve"> of trusts that do have to register. On top of everything else, attempts to create more flexible structures to make the UK more ‘competitive’ (when compared to places like Jersey or Cayman), should raise alarm everywhere, starting with the EU.</w:t>
      </w:r>
      <w:r w:rsidR="00CE6066">
        <w:rPr>
          <w:rStyle w:val="Strong"/>
          <w:rFonts w:ascii="Arial" w:hAnsi="Arial" w:cs="Arial"/>
          <w:b w:val="0"/>
          <w:bCs w:val="0"/>
          <w:sz w:val="24"/>
          <w:szCs w:val="24"/>
          <w:shd w:val="clear" w:color="auto" w:fill="FFFFFF"/>
        </w:rPr>
        <w:t xml:space="preserve">” </w:t>
      </w:r>
      <w:r w:rsidR="00E1142A">
        <w:rPr>
          <w:rStyle w:val="Strong"/>
          <w:rFonts w:ascii="Arial" w:hAnsi="Arial" w:cs="Arial"/>
          <w:b w:val="0"/>
          <w:bCs w:val="0"/>
          <w:sz w:val="24"/>
          <w:szCs w:val="24"/>
          <w:shd w:val="clear" w:color="auto" w:fill="FFFFFF"/>
        </w:rPr>
        <w:t xml:space="preserve">This statement from Knobel acts as a counterpoint to the previous proposal and </w:t>
      </w:r>
      <w:r w:rsidR="002F6F59">
        <w:rPr>
          <w:rStyle w:val="Strong"/>
          <w:rFonts w:ascii="Arial" w:hAnsi="Arial" w:cs="Arial"/>
          <w:b w:val="0"/>
          <w:bCs w:val="0"/>
          <w:sz w:val="24"/>
          <w:szCs w:val="24"/>
          <w:shd w:val="clear" w:color="auto" w:fill="FFFFFF"/>
        </w:rPr>
        <w:t>raises concerns surrounding transparency</w:t>
      </w:r>
      <w:r w:rsidR="00F64A61">
        <w:rPr>
          <w:rStyle w:val="Strong"/>
          <w:rFonts w:ascii="Arial" w:hAnsi="Arial" w:cs="Arial"/>
          <w:b w:val="0"/>
          <w:bCs w:val="0"/>
          <w:sz w:val="24"/>
          <w:szCs w:val="24"/>
          <w:shd w:val="clear" w:color="auto" w:fill="FFFFFF"/>
        </w:rPr>
        <w:t xml:space="preserve"> and takes the stance of being against further reform</w:t>
      </w:r>
      <w:r w:rsidR="002F6F59">
        <w:rPr>
          <w:rStyle w:val="Strong"/>
          <w:rFonts w:ascii="Arial" w:hAnsi="Arial" w:cs="Arial"/>
          <w:b w:val="0"/>
          <w:bCs w:val="0"/>
          <w:sz w:val="24"/>
          <w:szCs w:val="24"/>
          <w:shd w:val="clear" w:color="auto" w:fill="FFFFFF"/>
        </w:rPr>
        <w:t>, arguing that this approach to the beneficial ownership of trusts is more intrusive</w:t>
      </w:r>
      <w:r w:rsidR="00FB665B">
        <w:rPr>
          <w:rStyle w:val="Strong"/>
          <w:rFonts w:ascii="Arial" w:hAnsi="Arial" w:cs="Arial"/>
          <w:b w:val="0"/>
          <w:bCs w:val="0"/>
          <w:sz w:val="24"/>
          <w:szCs w:val="24"/>
          <w:shd w:val="clear" w:color="auto" w:fill="FFFFFF"/>
        </w:rPr>
        <w:t xml:space="preserve">. </w:t>
      </w:r>
    </w:p>
    <w:p w14:paraId="2978224A" w14:textId="46F94E18" w:rsidR="00642C6C" w:rsidRDefault="00A47EA8" w:rsidP="008E2874">
      <w:pPr>
        <w:spacing w:line="480" w:lineRule="auto"/>
        <w:rPr>
          <w:rStyle w:val="Strong"/>
          <w:rFonts w:ascii="Arial" w:hAnsi="Arial" w:cs="Arial"/>
          <w:b w:val="0"/>
          <w:bCs w:val="0"/>
          <w:sz w:val="24"/>
          <w:szCs w:val="24"/>
          <w:shd w:val="clear" w:color="auto" w:fill="FFFFFF"/>
        </w:rPr>
      </w:pPr>
      <w:r>
        <w:rPr>
          <w:rStyle w:val="Strong"/>
          <w:rFonts w:ascii="Arial" w:hAnsi="Arial" w:cs="Arial"/>
          <w:b w:val="0"/>
          <w:bCs w:val="0"/>
          <w:sz w:val="24"/>
          <w:szCs w:val="24"/>
          <w:shd w:val="clear" w:color="auto" w:fill="FFFFFF"/>
        </w:rPr>
        <w:t xml:space="preserve">To conclude this evaluation, </w:t>
      </w:r>
      <w:r w:rsidR="00AD16AC">
        <w:rPr>
          <w:rStyle w:val="Strong"/>
          <w:rFonts w:ascii="Arial" w:hAnsi="Arial" w:cs="Arial"/>
          <w:b w:val="0"/>
          <w:bCs w:val="0"/>
          <w:sz w:val="24"/>
          <w:szCs w:val="24"/>
          <w:shd w:val="clear" w:color="auto" w:fill="FFFFFF"/>
        </w:rPr>
        <w:t>in</w:t>
      </w:r>
      <w:r w:rsidR="00223916">
        <w:rPr>
          <w:rStyle w:val="Strong"/>
          <w:rFonts w:ascii="Arial" w:hAnsi="Arial" w:cs="Arial"/>
          <w:b w:val="0"/>
          <w:bCs w:val="0"/>
          <w:sz w:val="24"/>
          <w:szCs w:val="24"/>
          <w:shd w:val="clear" w:color="auto" w:fill="FFFFFF"/>
        </w:rPr>
        <w:t xml:space="preserve"> the initial stages of the development of equity and trusts in the 13</w:t>
      </w:r>
      <w:r w:rsidR="00223916" w:rsidRPr="00223916">
        <w:rPr>
          <w:rStyle w:val="Strong"/>
          <w:rFonts w:ascii="Arial" w:hAnsi="Arial" w:cs="Arial"/>
          <w:b w:val="0"/>
          <w:bCs w:val="0"/>
          <w:sz w:val="24"/>
          <w:szCs w:val="24"/>
          <w:shd w:val="clear" w:color="auto" w:fill="FFFFFF"/>
          <w:vertAlign w:val="superscript"/>
        </w:rPr>
        <w:t>th</w:t>
      </w:r>
      <w:r w:rsidR="00223916">
        <w:rPr>
          <w:rStyle w:val="Strong"/>
          <w:rFonts w:ascii="Arial" w:hAnsi="Arial" w:cs="Arial"/>
          <w:b w:val="0"/>
          <w:bCs w:val="0"/>
          <w:sz w:val="24"/>
          <w:szCs w:val="24"/>
          <w:shd w:val="clear" w:color="auto" w:fill="FFFFFF"/>
        </w:rPr>
        <w:t xml:space="preserve"> century</w:t>
      </w:r>
      <w:r w:rsidR="00533406">
        <w:rPr>
          <w:rStyle w:val="Strong"/>
          <w:rFonts w:ascii="Arial" w:hAnsi="Arial" w:cs="Arial"/>
          <w:b w:val="0"/>
          <w:bCs w:val="0"/>
          <w:sz w:val="24"/>
          <w:szCs w:val="24"/>
          <w:shd w:val="clear" w:color="auto" w:fill="FFFFFF"/>
        </w:rPr>
        <w:t xml:space="preserve"> from the Court of Chancery</w:t>
      </w:r>
      <w:r w:rsidR="00223916">
        <w:rPr>
          <w:rStyle w:val="Strong"/>
          <w:rFonts w:ascii="Arial" w:hAnsi="Arial" w:cs="Arial"/>
          <w:b w:val="0"/>
          <w:bCs w:val="0"/>
          <w:sz w:val="24"/>
          <w:szCs w:val="24"/>
          <w:shd w:val="clear" w:color="auto" w:fill="FFFFFF"/>
        </w:rPr>
        <w:t xml:space="preserve">, </w:t>
      </w:r>
      <w:r w:rsidR="00E577F7">
        <w:rPr>
          <w:rStyle w:val="Strong"/>
          <w:rFonts w:ascii="Arial" w:hAnsi="Arial" w:cs="Arial"/>
          <w:b w:val="0"/>
          <w:bCs w:val="0"/>
          <w:sz w:val="24"/>
          <w:szCs w:val="24"/>
          <w:shd w:val="clear" w:color="auto" w:fill="FFFFFF"/>
        </w:rPr>
        <w:t xml:space="preserve">equitable remedies provided </w:t>
      </w:r>
      <w:r w:rsidR="00E577F7">
        <w:rPr>
          <w:rStyle w:val="Strong"/>
          <w:rFonts w:ascii="Arial" w:hAnsi="Arial" w:cs="Arial"/>
          <w:b w:val="0"/>
          <w:bCs w:val="0"/>
          <w:sz w:val="24"/>
          <w:szCs w:val="24"/>
          <w:shd w:val="clear" w:color="auto" w:fill="FFFFFF"/>
        </w:rPr>
        <w:lastRenderedPageBreak/>
        <w:t>litigants with more opportunity for fair outcomes by allowing them to enforce their rights in a more diverse manner under the law of equity</w:t>
      </w:r>
      <w:r w:rsidR="008D5C71">
        <w:rPr>
          <w:rStyle w:val="Strong"/>
          <w:rFonts w:ascii="Arial" w:hAnsi="Arial" w:cs="Arial"/>
          <w:b w:val="0"/>
          <w:bCs w:val="0"/>
          <w:sz w:val="24"/>
          <w:szCs w:val="24"/>
          <w:shd w:val="clear" w:color="auto" w:fill="FFFFFF"/>
        </w:rPr>
        <w:t xml:space="preserve"> which in turn has aided the development of trusts</w:t>
      </w:r>
      <w:r w:rsidR="00E577F7">
        <w:rPr>
          <w:rStyle w:val="Strong"/>
          <w:rFonts w:ascii="Arial" w:hAnsi="Arial" w:cs="Arial"/>
          <w:b w:val="0"/>
          <w:bCs w:val="0"/>
          <w:sz w:val="24"/>
          <w:szCs w:val="24"/>
          <w:shd w:val="clear" w:color="auto" w:fill="FFFFFF"/>
        </w:rPr>
        <w:t xml:space="preserve">. </w:t>
      </w:r>
      <w:r w:rsidR="008D5C71">
        <w:rPr>
          <w:rStyle w:val="Strong"/>
          <w:rFonts w:ascii="Arial" w:hAnsi="Arial" w:cs="Arial"/>
          <w:b w:val="0"/>
          <w:bCs w:val="0"/>
          <w:sz w:val="24"/>
          <w:szCs w:val="24"/>
          <w:shd w:val="clear" w:color="auto" w:fill="FFFFFF"/>
        </w:rPr>
        <w:t xml:space="preserve">However, it has been acknowledged that by </w:t>
      </w:r>
      <w:r w:rsidR="00A7781A">
        <w:rPr>
          <w:rStyle w:val="Strong"/>
          <w:rFonts w:ascii="Arial" w:hAnsi="Arial" w:cs="Arial"/>
          <w:b w:val="0"/>
          <w:bCs w:val="0"/>
          <w:sz w:val="24"/>
          <w:szCs w:val="24"/>
          <w:shd w:val="clear" w:color="auto" w:fill="FFFFFF"/>
        </w:rPr>
        <w:t xml:space="preserve">the </w:t>
      </w:r>
      <w:r w:rsidR="009D3525">
        <w:rPr>
          <w:rStyle w:val="Strong"/>
          <w:rFonts w:ascii="Arial" w:hAnsi="Arial" w:cs="Arial"/>
          <w:b w:val="0"/>
          <w:bCs w:val="0"/>
          <w:sz w:val="24"/>
          <w:szCs w:val="24"/>
          <w:shd w:val="clear" w:color="auto" w:fill="FFFFFF"/>
        </w:rPr>
        <w:t>present</w:t>
      </w:r>
      <w:r w:rsidR="00A7781A">
        <w:rPr>
          <w:rStyle w:val="Strong"/>
          <w:rFonts w:ascii="Arial" w:hAnsi="Arial" w:cs="Arial"/>
          <w:b w:val="0"/>
          <w:bCs w:val="0"/>
          <w:sz w:val="24"/>
          <w:szCs w:val="24"/>
          <w:shd w:val="clear" w:color="auto" w:fill="FFFFFF"/>
        </w:rPr>
        <w:t xml:space="preserve"> day</w:t>
      </w:r>
      <w:r w:rsidR="008D5C71">
        <w:rPr>
          <w:rStyle w:val="Strong"/>
          <w:rFonts w:ascii="Arial" w:hAnsi="Arial" w:cs="Arial"/>
          <w:b w:val="0"/>
          <w:bCs w:val="0"/>
          <w:sz w:val="24"/>
          <w:szCs w:val="24"/>
          <w:shd w:val="clear" w:color="auto" w:fill="FFFFFF"/>
        </w:rPr>
        <w:t xml:space="preserve"> standard the maxims of equity that were originally produced aren’t </w:t>
      </w:r>
      <w:r w:rsidR="009D3525">
        <w:rPr>
          <w:rStyle w:val="Strong"/>
          <w:rFonts w:ascii="Arial" w:hAnsi="Arial" w:cs="Arial"/>
          <w:b w:val="0"/>
          <w:bCs w:val="0"/>
          <w:sz w:val="24"/>
          <w:szCs w:val="24"/>
          <w:shd w:val="clear" w:color="auto" w:fill="FFFFFF"/>
        </w:rPr>
        <w:t xml:space="preserve">entirely reliable when dealing with more modern cases, but since then the legislation that has been established surrounding trusts and property have further developed the concept, which has also been aided by the relevant case law, cases such as Knight v Knight due to the focus on certainties when forming a declaration of trust. </w:t>
      </w:r>
      <w:r w:rsidR="00D83ED8">
        <w:rPr>
          <w:rStyle w:val="Strong"/>
          <w:rFonts w:ascii="Arial" w:hAnsi="Arial" w:cs="Arial"/>
          <w:b w:val="0"/>
          <w:bCs w:val="0"/>
          <w:sz w:val="24"/>
          <w:szCs w:val="24"/>
          <w:shd w:val="clear" w:color="auto" w:fill="FFFFFF"/>
        </w:rPr>
        <w:t xml:space="preserve">Although there has been support presented for the development of equity and trusts, it’s important to acknowledge the reforms that have been implemented by parliament and the further reforms that have been proposed. </w:t>
      </w:r>
    </w:p>
    <w:p w14:paraId="65F970BC" w14:textId="2D66D71B" w:rsidR="000D2C50" w:rsidRDefault="000D2C50" w:rsidP="00AE4782">
      <w:pPr>
        <w:rPr>
          <w:rStyle w:val="Strong"/>
          <w:rFonts w:ascii="Arial" w:hAnsi="Arial" w:cs="Arial"/>
          <w:b w:val="0"/>
          <w:bCs w:val="0"/>
          <w:sz w:val="24"/>
          <w:szCs w:val="24"/>
          <w:shd w:val="clear" w:color="auto" w:fill="FFFFFF"/>
        </w:rPr>
      </w:pPr>
    </w:p>
    <w:p w14:paraId="3A15DB1E" w14:textId="77777777" w:rsidR="008E2874" w:rsidRDefault="008E2874" w:rsidP="000D2C50">
      <w:pPr>
        <w:rPr>
          <w:rFonts w:ascii="Arial" w:hAnsi="Arial" w:cs="Arial"/>
          <w:sz w:val="24"/>
          <w:szCs w:val="24"/>
          <w:u w:val="single"/>
        </w:rPr>
      </w:pPr>
    </w:p>
    <w:p w14:paraId="6C14653E" w14:textId="10341BA9" w:rsidR="000D2C50" w:rsidRDefault="000D2C50" w:rsidP="000D2C50">
      <w:pPr>
        <w:rPr>
          <w:rFonts w:ascii="Arial" w:hAnsi="Arial" w:cs="Arial"/>
          <w:sz w:val="24"/>
          <w:szCs w:val="24"/>
          <w:u w:val="single"/>
        </w:rPr>
      </w:pPr>
      <w:r>
        <w:rPr>
          <w:rFonts w:ascii="Arial" w:hAnsi="Arial" w:cs="Arial"/>
          <w:sz w:val="24"/>
          <w:szCs w:val="24"/>
          <w:u w:val="single"/>
        </w:rPr>
        <w:t>References</w:t>
      </w:r>
    </w:p>
    <w:p w14:paraId="657CFB80" w14:textId="6E4AF51B" w:rsidR="000D2C50" w:rsidRDefault="000D2C50" w:rsidP="000D2C50">
      <w:pPr>
        <w:rPr>
          <w:rFonts w:ascii="Arial" w:hAnsi="Arial" w:cs="Arial"/>
          <w:sz w:val="24"/>
          <w:szCs w:val="24"/>
          <w:shd w:val="clear" w:color="auto" w:fill="FFFFFF"/>
        </w:rPr>
      </w:pPr>
      <w:r w:rsidRPr="00057E52">
        <w:rPr>
          <w:rFonts w:ascii="Arial" w:hAnsi="Arial" w:cs="Arial"/>
          <w:color w:val="000000"/>
          <w:sz w:val="24"/>
          <w:szCs w:val="24"/>
          <w:shd w:val="clear" w:color="auto" w:fill="FFFFFF"/>
        </w:rPr>
        <w:t>Duddington, J. (</w:t>
      </w:r>
      <w:r>
        <w:rPr>
          <w:rFonts w:ascii="Arial" w:hAnsi="Arial" w:cs="Arial"/>
          <w:color w:val="000000"/>
          <w:sz w:val="24"/>
          <w:szCs w:val="24"/>
          <w:shd w:val="clear" w:color="auto" w:fill="FFFFFF"/>
        </w:rPr>
        <w:t>2006</w:t>
      </w:r>
      <w:r w:rsidRPr="00057E52">
        <w:rPr>
          <w:rFonts w:ascii="Arial" w:hAnsi="Arial" w:cs="Arial"/>
          <w:color w:val="000000"/>
          <w:sz w:val="24"/>
          <w:szCs w:val="24"/>
          <w:shd w:val="clear" w:color="auto" w:fill="FFFFFF"/>
        </w:rPr>
        <w:t>). </w:t>
      </w:r>
      <w:r>
        <w:rPr>
          <w:rFonts w:ascii="Arial" w:hAnsi="Arial" w:cs="Arial"/>
          <w:color w:val="000000"/>
          <w:sz w:val="24"/>
          <w:szCs w:val="24"/>
          <w:shd w:val="clear" w:color="auto" w:fill="FFFFFF"/>
        </w:rPr>
        <w:t xml:space="preserve">Essentials of </w:t>
      </w:r>
      <w:r w:rsidRPr="00057E52">
        <w:rPr>
          <w:rFonts w:ascii="Arial" w:hAnsi="Arial" w:cs="Arial"/>
          <w:i/>
          <w:iCs/>
          <w:color w:val="000000"/>
          <w:sz w:val="24"/>
          <w:szCs w:val="24"/>
        </w:rPr>
        <w:t>Equity and Trusts</w:t>
      </w:r>
      <w:r w:rsidRPr="00057E52">
        <w:rPr>
          <w:rFonts w:ascii="Arial" w:hAnsi="Arial" w:cs="Arial"/>
          <w:color w:val="000000"/>
          <w:sz w:val="24"/>
          <w:szCs w:val="24"/>
          <w:shd w:val="clear" w:color="auto" w:fill="FFFFFF"/>
        </w:rPr>
        <w:t>. United Kingdom: Pearson</w:t>
      </w:r>
      <w:r>
        <w:rPr>
          <w:rFonts w:ascii="Arial" w:hAnsi="Arial" w:cs="Arial"/>
          <w:color w:val="000000"/>
          <w:sz w:val="24"/>
          <w:szCs w:val="24"/>
          <w:shd w:val="clear" w:color="auto" w:fill="FFFFFF"/>
        </w:rPr>
        <w:t xml:space="preserve"> Education</w:t>
      </w:r>
      <w:r w:rsidRPr="00057E52">
        <w:rPr>
          <w:rFonts w:ascii="Arial" w:hAnsi="Arial" w:cs="Arial"/>
          <w:color w:val="000000"/>
          <w:sz w:val="24"/>
          <w:szCs w:val="24"/>
          <w:shd w:val="clear" w:color="auto" w:fill="FFFFFF"/>
        </w:rPr>
        <w:t xml:space="preserve">. </w:t>
      </w:r>
      <w:r w:rsidRPr="003C5E3B">
        <w:rPr>
          <w:rFonts w:ascii="Arial" w:hAnsi="Arial" w:cs="Arial"/>
          <w:sz w:val="24"/>
          <w:szCs w:val="24"/>
          <w:shd w:val="clear" w:color="auto" w:fill="FFFFFF"/>
        </w:rPr>
        <w:t>pp.</w:t>
      </w:r>
      <w:r>
        <w:rPr>
          <w:rFonts w:ascii="Arial" w:hAnsi="Arial" w:cs="Arial"/>
          <w:sz w:val="24"/>
          <w:szCs w:val="24"/>
          <w:shd w:val="clear" w:color="auto" w:fill="FFFFFF"/>
        </w:rPr>
        <w:t>21-23.</w:t>
      </w:r>
    </w:p>
    <w:p w14:paraId="4CAA0059" w14:textId="19A4D52D" w:rsidR="00B460CA" w:rsidRPr="00B460CA" w:rsidRDefault="00B460CA" w:rsidP="000D2C50">
      <w:pPr>
        <w:rPr>
          <w:rFonts w:ascii="Arial" w:hAnsi="Arial" w:cs="Arial"/>
          <w:sz w:val="24"/>
          <w:szCs w:val="24"/>
          <w:shd w:val="clear" w:color="auto" w:fill="FFFFFF"/>
        </w:rPr>
      </w:pPr>
      <w:r w:rsidRPr="00B460CA">
        <w:rPr>
          <w:rFonts w:ascii="Arial" w:hAnsi="Arial" w:cs="Arial"/>
          <w:sz w:val="24"/>
          <w:szCs w:val="24"/>
          <w:shd w:val="clear" w:color="auto" w:fill="FFFFFF"/>
        </w:rPr>
        <w:t>Durrant, R. (2022). </w:t>
      </w:r>
      <w:r w:rsidRPr="00B460CA">
        <w:rPr>
          <w:rFonts w:ascii="Arial" w:hAnsi="Arial" w:cs="Arial"/>
          <w:i/>
          <w:iCs/>
          <w:sz w:val="24"/>
          <w:szCs w:val="24"/>
        </w:rPr>
        <w:t>What is a Trust and why would you have one?</w:t>
      </w:r>
      <w:r w:rsidRPr="00B460CA">
        <w:rPr>
          <w:rFonts w:ascii="Arial" w:hAnsi="Arial" w:cs="Arial"/>
          <w:sz w:val="24"/>
          <w:szCs w:val="24"/>
          <w:shd w:val="clear" w:color="auto" w:fill="FFFFFF"/>
        </w:rPr>
        <w:t xml:space="preserve">. [Online]. Crowe. Last Updated: 8 February 2022. Available at: </w:t>
      </w:r>
      <w:hyperlink r:id="rId4" w:history="1">
        <w:r w:rsidRPr="00B65B55">
          <w:rPr>
            <w:rStyle w:val="Hyperlink"/>
            <w:rFonts w:ascii="Arial" w:hAnsi="Arial" w:cs="Arial"/>
            <w:sz w:val="24"/>
            <w:szCs w:val="24"/>
            <w:shd w:val="clear" w:color="auto" w:fill="FFFFFF"/>
          </w:rPr>
          <w:t>https://www.crowe.com/uk/insights/the-tax-implications-of-trusts</w:t>
        </w:r>
      </w:hyperlink>
      <w:r>
        <w:rPr>
          <w:rFonts w:ascii="Arial" w:hAnsi="Arial" w:cs="Arial"/>
          <w:sz w:val="24"/>
          <w:szCs w:val="24"/>
          <w:shd w:val="clear" w:color="auto" w:fill="FFFFFF"/>
        </w:rPr>
        <w:t xml:space="preserve"> </w:t>
      </w:r>
      <w:r w:rsidRPr="00B460CA">
        <w:rPr>
          <w:rFonts w:ascii="Arial" w:hAnsi="Arial" w:cs="Arial"/>
          <w:sz w:val="24"/>
          <w:szCs w:val="24"/>
          <w:shd w:val="clear" w:color="auto" w:fill="FFFFFF"/>
        </w:rPr>
        <w:t>[Accessed 10 March 2023].</w:t>
      </w:r>
    </w:p>
    <w:p w14:paraId="06C940A2" w14:textId="77777777" w:rsidR="000D2C50" w:rsidRDefault="000D2C50" w:rsidP="000D2C50">
      <w:pPr>
        <w:rPr>
          <w:rFonts w:ascii="Arial" w:hAnsi="Arial" w:cs="Arial"/>
          <w:color w:val="000000"/>
          <w:sz w:val="24"/>
          <w:szCs w:val="24"/>
          <w:shd w:val="clear" w:color="auto" w:fill="FFFFFF"/>
        </w:rPr>
      </w:pPr>
      <w:r w:rsidRPr="00804D26">
        <w:rPr>
          <w:rFonts w:ascii="Arial" w:hAnsi="Arial" w:cs="Arial"/>
          <w:color w:val="000000"/>
          <w:sz w:val="24"/>
          <w:szCs w:val="24"/>
          <w:shd w:val="clear" w:color="auto" w:fill="FFFFFF"/>
        </w:rPr>
        <w:t>Gardner, S. (2011). </w:t>
      </w:r>
      <w:r w:rsidRPr="00804D26">
        <w:rPr>
          <w:rFonts w:ascii="Arial" w:hAnsi="Arial" w:cs="Arial"/>
          <w:i/>
          <w:iCs/>
          <w:color w:val="000000"/>
          <w:sz w:val="24"/>
          <w:szCs w:val="24"/>
        </w:rPr>
        <w:t>An Introduction to the Law of Trusts</w:t>
      </w:r>
      <w:r w:rsidRPr="00804D26">
        <w:rPr>
          <w:rFonts w:ascii="Arial" w:hAnsi="Arial" w:cs="Arial"/>
          <w:color w:val="000000"/>
          <w:sz w:val="24"/>
          <w:szCs w:val="24"/>
          <w:shd w:val="clear" w:color="auto" w:fill="FFFFFF"/>
        </w:rPr>
        <w:t>. 3rd ed. Oxford: OUP Oxford. pp.1-2.</w:t>
      </w:r>
    </w:p>
    <w:p w14:paraId="71C1463D" w14:textId="77777777" w:rsidR="000D2C50" w:rsidRDefault="000D2C50" w:rsidP="000D2C50">
      <w:pPr>
        <w:rPr>
          <w:rFonts w:ascii="Arial" w:hAnsi="Arial" w:cs="Arial"/>
          <w:color w:val="000000"/>
          <w:sz w:val="24"/>
          <w:szCs w:val="24"/>
          <w:shd w:val="clear" w:color="auto" w:fill="FFFFFF"/>
        </w:rPr>
      </w:pPr>
      <w:r w:rsidRPr="00714065">
        <w:rPr>
          <w:rFonts w:ascii="Arial" w:hAnsi="Arial" w:cs="Arial"/>
          <w:color w:val="000000"/>
          <w:sz w:val="24"/>
          <w:szCs w:val="24"/>
          <w:shd w:val="clear" w:color="auto" w:fill="FFFFFF"/>
        </w:rPr>
        <w:t>Gardner, S. (1995). Two Maxims of Equity. </w:t>
      </w:r>
      <w:r w:rsidRPr="00714065">
        <w:rPr>
          <w:rFonts w:ascii="Arial" w:hAnsi="Arial" w:cs="Arial"/>
          <w:i/>
          <w:iCs/>
          <w:color w:val="000000"/>
          <w:sz w:val="24"/>
          <w:szCs w:val="24"/>
        </w:rPr>
        <w:t>Cambridge Law Journal</w:t>
      </w:r>
      <w:r w:rsidRPr="00714065">
        <w:rPr>
          <w:rFonts w:ascii="Arial" w:hAnsi="Arial" w:cs="Arial"/>
          <w:color w:val="000000"/>
          <w:sz w:val="24"/>
          <w:szCs w:val="24"/>
          <w:shd w:val="clear" w:color="auto" w:fill="FFFFFF"/>
        </w:rPr>
        <w:t>. 54(1), pp.60-68. [Online]. Available at: doi:10.1017/S000819730008315X [Accessed 8 March 2023].</w:t>
      </w:r>
    </w:p>
    <w:p w14:paraId="1EB085A1" w14:textId="77777777" w:rsidR="000D2C50" w:rsidRPr="005B0F64" w:rsidRDefault="000D2C50" w:rsidP="000D2C50">
      <w:pPr>
        <w:rPr>
          <w:rFonts w:ascii="Arial" w:hAnsi="Arial" w:cs="Arial"/>
          <w:b/>
          <w:bCs/>
          <w:sz w:val="24"/>
          <w:szCs w:val="24"/>
          <w:shd w:val="clear" w:color="auto" w:fill="FFFFFF"/>
        </w:rPr>
      </w:pPr>
      <w:r w:rsidRPr="00FD7036">
        <w:rPr>
          <w:rFonts w:ascii="Arial" w:hAnsi="Arial" w:cs="Arial"/>
          <w:sz w:val="24"/>
          <w:szCs w:val="24"/>
          <w:shd w:val="clear" w:color="auto" w:fill="FFFFFF"/>
        </w:rPr>
        <w:t>HM Revenue &amp; Customs. (2014). </w:t>
      </w:r>
      <w:r w:rsidRPr="00FD7036">
        <w:rPr>
          <w:rFonts w:ascii="Arial" w:hAnsi="Arial" w:cs="Arial"/>
          <w:i/>
          <w:iCs/>
          <w:sz w:val="24"/>
          <w:szCs w:val="24"/>
        </w:rPr>
        <w:t>Trust Statistics</w:t>
      </w:r>
      <w:r w:rsidRPr="00FD7036">
        <w:rPr>
          <w:rFonts w:ascii="Arial" w:hAnsi="Arial" w:cs="Arial"/>
          <w:sz w:val="24"/>
          <w:szCs w:val="24"/>
          <w:shd w:val="clear" w:color="auto" w:fill="FFFFFF"/>
        </w:rPr>
        <w:t xml:space="preserve">. [Online]. GOV. Last Updated: 29 October 2020. Available at: </w:t>
      </w:r>
      <w:hyperlink r:id="rId5" w:history="1">
        <w:r w:rsidRPr="00B65B55">
          <w:rPr>
            <w:rStyle w:val="Hyperlink"/>
            <w:rFonts w:ascii="Arial" w:hAnsi="Arial" w:cs="Arial"/>
            <w:sz w:val="24"/>
            <w:szCs w:val="24"/>
            <w:shd w:val="clear" w:color="auto" w:fill="FFFFFF"/>
          </w:rPr>
          <w:t>https://www.gov.uk/government/collections/trusts-statistics--2</w:t>
        </w:r>
      </w:hyperlink>
      <w:r>
        <w:rPr>
          <w:rFonts w:ascii="Arial" w:hAnsi="Arial" w:cs="Arial"/>
          <w:sz w:val="24"/>
          <w:szCs w:val="24"/>
          <w:shd w:val="clear" w:color="auto" w:fill="FFFFFF"/>
        </w:rPr>
        <w:t xml:space="preserve"> </w:t>
      </w:r>
      <w:r w:rsidRPr="00FD7036">
        <w:rPr>
          <w:rFonts w:ascii="Arial" w:hAnsi="Arial" w:cs="Arial"/>
          <w:sz w:val="24"/>
          <w:szCs w:val="24"/>
          <w:shd w:val="clear" w:color="auto" w:fill="FFFFFF"/>
        </w:rPr>
        <w:t xml:space="preserve">[Accessed 9 March 2023]. </w:t>
      </w:r>
    </w:p>
    <w:p w14:paraId="75032184" w14:textId="7340CA86" w:rsidR="000D2C50" w:rsidRDefault="000D2C50" w:rsidP="000D2C50">
      <w:pPr>
        <w:rPr>
          <w:rFonts w:ascii="Arial" w:hAnsi="Arial" w:cs="Arial"/>
          <w:color w:val="000000"/>
          <w:sz w:val="24"/>
          <w:szCs w:val="24"/>
          <w:shd w:val="clear" w:color="auto" w:fill="FFFFFF"/>
        </w:rPr>
      </w:pPr>
      <w:r w:rsidRPr="00E07852">
        <w:rPr>
          <w:rFonts w:ascii="Arial" w:hAnsi="Arial" w:cs="Arial"/>
          <w:color w:val="000000"/>
          <w:sz w:val="24"/>
          <w:szCs w:val="24"/>
          <w:shd w:val="clear" w:color="auto" w:fill="FFFFFF"/>
        </w:rPr>
        <w:t>Knobel, A. (2019). </w:t>
      </w:r>
      <w:r w:rsidRPr="00E07852">
        <w:rPr>
          <w:rFonts w:ascii="Arial" w:hAnsi="Arial" w:cs="Arial"/>
          <w:i/>
          <w:iCs/>
          <w:color w:val="000000"/>
          <w:sz w:val="24"/>
          <w:szCs w:val="24"/>
        </w:rPr>
        <w:t>Trusts and the UK: half a step forward, three steps backwards</w:t>
      </w:r>
      <w:r w:rsidRPr="00E07852">
        <w:rPr>
          <w:rFonts w:ascii="Arial" w:hAnsi="Arial" w:cs="Arial"/>
          <w:color w:val="000000"/>
          <w:sz w:val="24"/>
          <w:szCs w:val="24"/>
          <w:shd w:val="clear" w:color="auto" w:fill="FFFFFF"/>
        </w:rPr>
        <w:t xml:space="preserve">. [Online]. Tax Justice Network. Last Updated: 19 December 2019. Available at: </w:t>
      </w:r>
      <w:hyperlink r:id="rId6" w:history="1">
        <w:r w:rsidR="00D735A3" w:rsidRPr="00B65B55">
          <w:rPr>
            <w:rStyle w:val="Hyperlink"/>
            <w:rFonts w:ascii="Arial" w:hAnsi="Arial" w:cs="Arial"/>
            <w:sz w:val="24"/>
            <w:szCs w:val="24"/>
            <w:shd w:val="clear" w:color="auto" w:fill="FFFFFF"/>
          </w:rPr>
          <w:t>https://taxjustice.net/2017/12/19/trusts-uk-half-step-forward-three-steps-backwards/</w:t>
        </w:r>
      </w:hyperlink>
      <w:r w:rsidR="00D735A3">
        <w:rPr>
          <w:rFonts w:ascii="Arial" w:hAnsi="Arial" w:cs="Arial"/>
          <w:color w:val="000000"/>
          <w:sz w:val="24"/>
          <w:szCs w:val="24"/>
          <w:shd w:val="clear" w:color="auto" w:fill="FFFFFF"/>
        </w:rPr>
        <w:t xml:space="preserve"> </w:t>
      </w:r>
      <w:r w:rsidRPr="00E07852">
        <w:rPr>
          <w:rFonts w:ascii="Arial" w:hAnsi="Arial" w:cs="Arial"/>
          <w:color w:val="000000"/>
          <w:sz w:val="24"/>
          <w:szCs w:val="24"/>
          <w:shd w:val="clear" w:color="auto" w:fill="FFFFFF"/>
        </w:rPr>
        <w:t>[Accessed 8 March 2023].</w:t>
      </w:r>
    </w:p>
    <w:p w14:paraId="7E92AD8A" w14:textId="33EEAABE" w:rsidR="0070118D" w:rsidRPr="0070118D" w:rsidRDefault="0070118D" w:rsidP="000D2C50">
      <w:pPr>
        <w:rPr>
          <w:rFonts w:ascii="Arial" w:hAnsi="Arial" w:cs="Arial"/>
          <w:color w:val="000000"/>
          <w:sz w:val="24"/>
          <w:szCs w:val="24"/>
          <w:shd w:val="clear" w:color="auto" w:fill="FFFFFF"/>
        </w:rPr>
      </w:pPr>
      <w:r w:rsidRPr="0070118D">
        <w:rPr>
          <w:rFonts w:ascii="Arial" w:hAnsi="Arial" w:cs="Arial"/>
          <w:color w:val="000000"/>
          <w:sz w:val="24"/>
          <w:szCs w:val="24"/>
          <w:shd w:val="clear" w:color="auto" w:fill="FFFFFF"/>
        </w:rPr>
        <w:lastRenderedPageBreak/>
        <w:t>Sym, A. (2023). </w:t>
      </w:r>
      <w:r w:rsidRPr="0070118D">
        <w:rPr>
          <w:rFonts w:ascii="Arial" w:hAnsi="Arial" w:cs="Arial"/>
          <w:i/>
          <w:iCs/>
          <w:color w:val="000000"/>
          <w:sz w:val="24"/>
          <w:szCs w:val="24"/>
        </w:rPr>
        <w:t>Everything you need to know about will trusts</w:t>
      </w:r>
      <w:r w:rsidRPr="0070118D">
        <w:rPr>
          <w:rFonts w:ascii="Arial" w:hAnsi="Arial" w:cs="Arial"/>
          <w:color w:val="000000"/>
          <w:sz w:val="24"/>
          <w:szCs w:val="24"/>
          <w:shd w:val="clear" w:color="auto" w:fill="FFFFFF"/>
        </w:rPr>
        <w:t xml:space="preserve">. [Online]. The Gazette. Available at: </w:t>
      </w:r>
      <w:hyperlink r:id="rId7" w:history="1">
        <w:r w:rsidRPr="00B65B55">
          <w:rPr>
            <w:rStyle w:val="Hyperlink"/>
            <w:rFonts w:ascii="Arial" w:hAnsi="Arial" w:cs="Arial"/>
            <w:sz w:val="24"/>
            <w:szCs w:val="24"/>
            <w:shd w:val="clear" w:color="auto" w:fill="FFFFFF"/>
          </w:rPr>
          <w:t>https://www.thegazette.co.uk/wills-and-probate/content/103433</w:t>
        </w:r>
      </w:hyperlink>
      <w:r>
        <w:rPr>
          <w:rFonts w:ascii="Arial" w:hAnsi="Arial" w:cs="Arial"/>
          <w:color w:val="000000"/>
          <w:sz w:val="24"/>
          <w:szCs w:val="24"/>
          <w:shd w:val="clear" w:color="auto" w:fill="FFFFFF"/>
        </w:rPr>
        <w:t xml:space="preserve"> </w:t>
      </w:r>
      <w:r w:rsidRPr="0070118D">
        <w:rPr>
          <w:rFonts w:ascii="Arial" w:hAnsi="Arial" w:cs="Arial"/>
          <w:color w:val="000000"/>
          <w:sz w:val="24"/>
          <w:szCs w:val="24"/>
          <w:shd w:val="clear" w:color="auto" w:fill="FFFFFF"/>
        </w:rPr>
        <w:t>[Accessed 10 March 2023].</w:t>
      </w:r>
    </w:p>
    <w:p w14:paraId="1429AF5B" w14:textId="77777777" w:rsidR="000D2C50" w:rsidRDefault="000D2C50" w:rsidP="000D2C50">
      <w:pPr>
        <w:rPr>
          <w:rFonts w:ascii="Arial" w:hAnsi="Arial" w:cs="Arial"/>
          <w:sz w:val="24"/>
          <w:szCs w:val="24"/>
          <w:shd w:val="clear" w:color="auto" w:fill="FFFFFF"/>
        </w:rPr>
      </w:pPr>
      <w:r w:rsidRPr="00AF46AA">
        <w:rPr>
          <w:rFonts w:ascii="Arial" w:hAnsi="Arial" w:cs="Arial"/>
          <w:sz w:val="24"/>
          <w:szCs w:val="24"/>
          <w:shd w:val="clear" w:color="auto" w:fill="FFFFFF"/>
        </w:rPr>
        <w:t>The Law Commission. (2017). </w:t>
      </w:r>
      <w:r w:rsidRPr="00AF46AA">
        <w:rPr>
          <w:rFonts w:ascii="Arial" w:hAnsi="Arial" w:cs="Arial"/>
          <w:i/>
          <w:iCs/>
          <w:sz w:val="24"/>
          <w:szCs w:val="24"/>
        </w:rPr>
        <w:t>13th Programme of Law Reform</w:t>
      </w:r>
      <w:r w:rsidRPr="00AF46AA">
        <w:rPr>
          <w:rFonts w:ascii="Arial" w:hAnsi="Arial" w:cs="Arial"/>
          <w:sz w:val="24"/>
          <w:szCs w:val="24"/>
          <w:shd w:val="clear" w:color="auto" w:fill="FFFFFF"/>
        </w:rPr>
        <w:t>. [Online]. Law Commission. Last Updated: 14 December 2017. Available at:</w:t>
      </w:r>
      <w:r>
        <w:rPr>
          <w:rFonts w:ascii="Arial" w:hAnsi="Arial" w:cs="Arial"/>
          <w:sz w:val="24"/>
          <w:szCs w:val="24"/>
          <w:shd w:val="clear" w:color="auto" w:fill="FFFFFF"/>
        </w:rPr>
        <w:t xml:space="preserve"> </w:t>
      </w:r>
      <w:hyperlink r:id="rId8" w:history="1">
        <w:r w:rsidRPr="00B65B55">
          <w:rPr>
            <w:rStyle w:val="Hyperlink"/>
            <w:rFonts w:ascii="Arial" w:hAnsi="Arial" w:cs="Arial"/>
            <w:sz w:val="24"/>
            <w:szCs w:val="24"/>
            <w:shd w:val="clear" w:color="auto" w:fill="FFFFFF"/>
          </w:rPr>
          <w:t>https://www.lawcom.gov.uk/project/13th-programme-of-law-reform/</w:t>
        </w:r>
      </w:hyperlink>
      <w:r>
        <w:rPr>
          <w:rFonts w:ascii="Arial" w:hAnsi="Arial" w:cs="Arial"/>
          <w:sz w:val="24"/>
          <w:szCs w:val="24"/>
          <w:shd w:val="clear" w:color="auto" w:fill="FFFFFF"/>
        </w:rPr>
        <w:t xml:space="preserve"> </w:t>
      </w:r>
      <w:r w:rsidRPr="00AF46AA">
        <w:rPr>
          <w:rFonts w:ascii="Arial" w:hAnsi="Arial" w:cs="Arial"/>
          <w:sz w:val="24"/>
          <w:szCs w:val="24"/>
          <w:shd w:val="clear" w:color="auto" w:fill="FFFFFF"/>
        </w:rPr>
        <w:t>[Accessed 9 March 2023].</w:t>
      </w:r>
    </w:p>
    <w:p w14:paraId="1E38E6D7" w14:textId="77777777" w:rsidR="000D2C50" w:rsidRDefault="000D2C50" w:rsidP="000D2C50">
      <w:pPr>
        <w:rPr>
          <w:rFonts w:ascii="Arial" w:hAnsi="Arial" w:cs="Arial"/>
          <w:sz w:val="24"/>
          <w:szCs w:val="24"/>
          <w:shd w:val="clear" w:color="auto" w:fill="FFFFFF"/>
        </w:rPr>
      </w:pPr>
      <w:r w:rsidRPr="00CD3014">
        <w:rPr>
          <w:rFonts w:ascii="Arial" w:hAnsi="Arial" w:cs="Arial"/>
          <w:sz w:val="24"/>
          <w:szCs w:val="24"/>
          <w:shd w:val="clear" w:color="auto" w:fill="FFFFFF"/>
        </w:rPr>
        <w:t>The Gazette. (2018). </w:t>
      </w:r>
      <w:r w:rsidRPr="00CD3014">
        <w:rPr>
          <w:rFonts w:ascii="Arial" w:hAnsi="Arial" w:cs="Arial"/>
          <w:i/>
          <w:iCs/>
          <w:sz w:val="24"/>
          <w:szCs w:val="24"/>
        </w:rPr>
        <w:t>Number of trusts and estates in the UK drops by 6%</w:t>
      </w:r>
      <w:r w:rsidRPr="00CD3014">
        <w:rPr>
          <w:rFonts w:ascii="Arial" w:hAnsi="Arial" w:cs="Arial"/>
          <w:sz w:val="24"/>
          <w:szCs w:val="24"/>
          <w:shd w:val="clear" w:color="auto" w:fill="FFFFFF"/>
        </w:rPr>
        <w:t xml:space="preserve">. [Online]. The Gazette. Available at: </w:t>
      </w:r>
      <w:hyperlink r:id="rId9" w:history="1">
        <w:r w:rsidRPr="00B65B55">
          <w:rPr>
            <w:rStyle w:val="Hyperlink"/>
            <w:rFonts w:ascii="Arial" w:hAnsi="Arial" w:cs="Arial"/>
            <w:sz w:val="24"/>
            <w:szCs w:val="24"/>
            <w:shd w:val="clear" w:color="auto" w:fill="FFFFFF"/>
          </w:rPr>
          <w:t>https://www.thegazette.co.uk/all-notices/content/103399</w:t>
        </w:r>
      </w:hyperlink>
      <w:r>
        <w:rPr>
          <w:rFonts w:ascii="Arial" w:hAnsi="Arial" w:cs="Arial"/>
          <w:sz w:val="24"/>
          <w:szCs w:val="24"/>
          <w:shd w:val="clear" w:color="auto" w:fill="FFFFFF"/>
        </w:rPr>
        <w:t xml:space="preserve"> </w:t>
      </w:r>
      <w:r w:rsidRPr="00CD3014">
        <w:rPr>
          <w:rFonts w:ascii="Arial" w:hAnsi="Arial" w:cs="Arial"/>
          <w:sz w:val="24"/>
          <w:szCs w:val="24"/>
          <w:shd w:val="clear" w:color="auto" w:fill="FFFFFF"/>
        </w:rPr>
        <w:t>[Accessed 9 March 2023].</w:t>
      </w:r>
      <w:r>
        <w:rPr>
          <w:rFonts w:ascii="Arial" w:hAnsi="Arial" w:cs="Arial"/>
          <w:sz w:val="24"/>
          <w:szCs w:val="24"/>
          <w:shd w:val="clear" w:color="auto" w:fill="FFFFFF"/>
        </w:rPr>
        <w:t xml:space="preserve"> </w:t>
      </w:r>
    </w:p>
    <w:p w14:paraId="07FC831A" w14:textId="77777777" w:rsidR="000D2C50" w:rsidRDefault="000D2C50" w:rsidP="000D2C50">
      <w:pPr>
        <w:rPr>
          <w:rFonts w:ascii="Arial" w:hAnsi="Arial" w:cs="Arial"/>
          <w:sz w:val="24"/>
          <w:szCs w:val="24"/>
          <w:shd w:val="clear" w:color="auto" w:fill="FFFFFF"/>
        </w:rPr>
      </w:pPr>
      <w:r w:rsidRPr="003C5E3B">
        <w:rPr>
          <w:rFonts w:ascii="Arial" w:hAnsi="Arial" w:cs="Arial"/>
          <w:sz w:val="24"/>
          <w:szCs w:val="24"/>
          <w:shd w:val="clear" w:color="auto" w:fill="FFFFFF"/>
        </w:rPr>
        <w:t>Virgo, G. (2018). </w:t>
      </w:r>
      <w:r w:rsidRPr="003C5E3B">
        <w:rPr>
          <w:rFonts w:ascii="Arial" w:hAnsi="Arial" w:cs="Arial"/>
          <w:i/>
          <w:iCs/>
          <w:sz w:val="24"/>
          <w:szCs w:val="24"/>
        </w:rPr>
        <w:t>The Principles of Equity &amp; Trusts</w:t>
      </w:r>
      <w:r w:rsidRPr="003C5E3B">
        <w:rPr>
          <w:rFonts w:ascii="Arial" w:hAnsi="Arial" w:cs="Arial"/>
          <w:sz w:val="24"/>
          <w:szCs w:val="24"/>
          <w:shd w:val="clear" w:color="auto" w:fill="FFFFFF"/>
        </w:rPr>
        <w:t>. 3rd ed. Oxford: Oxford University Press. pp.20-21.</w:t>
      </w:r>
    </w:p>
    <w:p w14:paraId="7D3E2A5F" w14:textId="77777777" w:rsidR="000D2C50" w:rsidRDefault="000D2C50" w:rsidP="000D2C50">
      <w:pPr>
        <w:rPr>
          <w:rFonts w:ascii="Arial" w:hAnsi="Arial" w:cs="Arial"/>
          <w:sz w:val="24"/>
          <w:szCs w:val="24"/>
          <w:u w:val="single"/>
        </w:rPr>
      </w:pPr>
    </w:p>
    <w:p w14:paraId="54EC8BFA" w14:textId="77777777" w:rsidR="000D2C50" w:rsidRDefault="000D2C50" w:rsidP="000D2C50">
      <w:pPr>
        <w:rPr>
          <w:rFonts w:ascii="Arial" w:hAnsi="Arial" w:cs="Arial"/>
          <w:sz w:val="24"/>
          <w:szCs w:val="24"/>
          <w:u w:val="single"/>
        </w:rPr>
      </w:pPr>
      <w:r>
        <w:rPr>
          <w:rFonts w:ascii="Arial" w:hAnsi="Arial" w:cs="Arial"/>
          <w:sz w:val="24"/>
          <w:szCs w:val="24"/>
          <w:u w:val="single"/>
        </w:rPr>
        <w:t>Legislation</w:t>
      </w:r>
    </w:p>
    <w:p w14:paraId="11C2CD44" w14:textId="77777777" w:rsidR="000D2C50" w:rsidRDefault="000D2C50" w:rsidP="000D2C50">
      <w:pPr>
        <w:rPr>
          <w:rFonts w:ascii="Arial" w:hAnsi="Arial" w:cs="Arial"/>
          <w:sz w:val="24"/>
          <w:szCs w:val="24"/>
        </w:rPr>
      </w:pPr>
      <w:r>
        <w:rPr>
          <w:rFonts w:ascii="Arial" w:hAnsi="Arial" w:cs="Arial"/>
          <w:sz w:val="24"/>
          <w:szCs w:val="24"/>
        </w:rPr>
        <w:t>Charities Act (2011)</w:t>
      </w:r>
    </w:p>
    <w:p w14:paraId="79495C34" w14:textId="77777777" w:rsidR="000D2C50" w:rsidRDefault="000D2C50" w:rsidP="000D2C50">
      <w:pPr>
        <w:rPr>
          <w:rFonts w:ascii="Arial" w:hAnsi="Arial" w:cs="Arial"/>
          <w:sz w:val="24"/>
          <w:szCs w:val="24"/>
        </w:rPr>
      </w:pPr>
      <w:r>
        <w:rPr>
          <w:rFonts w:ascii="Arial" w:hAnsi="Arial" w:cs="Arial"/>
          <w:sz w:val="24"/>
          <w:szCs w:val="24"/>
        </w:rPr>
        <w:t>Law of Property Act (1925)</w:t>
      </w:r>
    </w:p>
    <w:p w14:paraId="0E632111" w14:textId="77777777" w:rsidR="000D2C50" w:rsidRDefault="000D2C50" w:rsidP="000D2C50">
      <w:pPr>
        <w:rPr>
          <w:rFonts w:ascii="Arial" w:hAnsi="Arial" w:cs="Arial"/>
          <w:sz w:val="24"/>
          <w:szCs w:val="24"/>
        </w:rPr>
      </w:pPr>
      <w:r>
        <w:rPr>
          <w:rFonts w:ascii="Arial" w:hAnsi="Arial" w:cs="Arial"/>
          <w:sz w:val="24"/>
          <w:szCs w:val="24"/>
        </w:rPr>
        <w:t>Recognition of Trusts Act (1987)</w:t>
      </w:r>
    </w:p>
    <w:p w14:paraId="0BF84B7E" w14:textId="77777777" w:rsidR="000D2C50" w:rsidRDefault="000D2C50" w:rsidP="000D2C50">
      <w:pPr>
        <w:rPr>
          <w:rFonts w:ascii="Arial" w:hAnsi="Arial" w:cs="Arial"/>
          <w:sz w:val="24"/>
          <w:szCs w:val="24"/>
        </w:rPr>
      </w:pPr>
      <w:r>
        <w:rPr>
          <w:rFonts w:ascii="Arial" w:hAnsi="Arial" w:cs="Arial"/>
          <w:sz w:val="24"/>
          <w:szCs w:val="24"/>
        </w:rPr>
        <w:t>Trustee Act (2000)</w:t>
      </w:r>
    </w:p>
    <w:p w14:paraId="4F74CABC" w14:textId="77777777" w:rsidR="000D2C50" w:rsidRDefault="000D2C50" w:rsidP="000D2C50">
      <w:pPr>
        <w:rPr>
          <w:rFonts w:ascii="Arial" w:hAnsi="Arial" w:cs="Arial"/>
          <w:sz w:val="24"/>
          <w:szCs w:val="24"/>
        </w:rPr>
      </w:pPr>
      <w:r>
        <w:rPr>
          <w:rFonts w:ascii="Arial" w:hAnsi="Arial" w:cs="Arial"/>
          <w:sz w:val="24"/>
          <w:szCs w:val="24"/>
        </w:rPr>
        <w:t>Wills Act (1837)</w:t>
      </w:r>
    </w:p>
    <w:p w14:paraId="4E925D58" w14:textId="77777777" w:rsidR="000D2C50" w:rsidRDefault="000D2C50" w:rsidP="000D2C50">
      <w:pPr>
        <w:rPr>
          <w:rFonts w:ascii="Arial" w:hAnsi="Arial" w:cs="Arial"/>
          <w:sz w:val="24"/>
          <w:szCs w:val="24"/>
          <w:u w:val="single"/>
        </w:rPr>
      </w:pPr>
    </w:p>
    <w:p w14:paraId="6013EB02" w14:textId="77777777" w:rsidR="000D2C50" w:rsidRDefault="000D2C50" w:rsidP="000D2C50">
      <w:pPr>
        <w:rPr>
          <w:rFonts w:ascii="Arial" w:hAnsi="Arial" w:cs="Arial"/>
          <w:sz w:val="24"/>
          <w:szCs w:val="24"/>
          <w:u w:val="single"/>
        </w:rPr>
      </w:pPr>
      <w:r>
        <w:rPr>
          <w:rFonts w:ascii="Arial" w:hAnsi="Arial" w:cs="Arial"/>
          <w:sz w:val="24"/>
          <w:szCs w:val="24"/>
          <w:u w:val="single"/>
        </w:rPr>
        <w:t>Case Law</w:t>
      </w:r>
    </w:p>
    <w:p w14:paraId="772B9719" w14:textId="7FA27C45" w:rsidR="000D2C50" w:rsidRPr="002B4FD1" w:rsidRDefault="000D2C50" w:rsidP="000D2C50">
      <w:pPr>
        <w:rPr>
          <w:rFonts w:ascii="Arial" w:hAnsi="Arial" w:cs="Arial"/>
          <w:sz w:val="24"/>
          <w:szCs w:val="24"/>
        </w:rPr>
      </w:pPr>
      <w:r>
        <w:rPr>
          <w:rFonts w:ascii="Arial" w:hAnsi="Arial" w:cs="Arial"/>
          <w:sz w:val="24"/>
          <w:szCs w:val="24"/>
        </w:rPr>
        <w:t>Hodgson v Marks (1971)</w:t>
      </w:r>
      <w:r w:rsidR="00EB42C2">
        <w:rPr>
          <w:rFonts w:ascii="Arial" w:hAnsi="Arial" w:cs="Arial"/>
          <w:sz w:val="24"/>
          <w:szCs w:val="24"/>
        </w:rPr>
        <w:t xml:space="preserve"> </w:t>
      </w:r>
      <w:r w:rsidR="00EB42C2" w:rsidRPr="00EB42C2">
        <w:rPr>
          <w:rFonts w:ascii="Arial" w:hAnsi="Arial" w:cs="Arial"/>
          <w:sz w:val="24"/>
          <w:szCs w:val="24"/>
        </w:rPr>
        <w:t>1 Ch 933</w:t>
      </w:r>
    </w:p>
    <w:p w14:paraId="5E507F15" w14:textId="431017A6" w:rsidR="000D2C50" w:rsidRDefault="000D2C50" w:rsidP="000D2C50">
      <w:pPr>
        <w:rPr>
          <w:rFonts w:ascii="Arial" w:hAnsi="Arial" w:cs="Arial"/>
          <w:sz w:val="24"/>
          <w:szCs w:val="24"/>
        </w:rPr>
      </w:pPr>
      <w:r>
        <w:rPr>
          <w:rFonts w:ascii="Arial" w:hAnsi="Arial" w:cs="Arial"/>
          <w:sz w:val="24"/>
          <w:szCs w:val="24"/>
        </w:rPr>
        <w:t>Knight v Knight (1840)</w:t>
      </w:r>
      <w:r w:rsidR="00EB42C2">
        <w:rPr>
          <w:rFonts w:ascii="Arial" w:hAnsi="Arial" w:cs="Arial"/>
          <w:sz w:val="24"/>
          <w:szCs w:val="24"/>
        </w:rPr>
        <w:t xml:space="preserve"> </w:t>
      </w:r>
      <w:r w:rsidR="00EB42C2" w:rsidRPr="00EB42C2">
        <w:rPr>
          <w:rFonts w:ascii="Arial" w:hAnsi="Arial" w:cs="Arial"/>
          <w:sz w:val="24"/>
          <w:szCs w:val="24"/>
        </w:rPr>
        <w:t>49 ER 58</w:t>
      </w:r>
    </w:p>
    <w:p w14:paraId="51284323" w14:textId="6B169C21" w:rsidR="000D2C50" w:rsidRDefault="000D2C50" w:rsidP="000D2C50">
      <w:pPr>
        <w:rPr>
          <w:rFonts w:ascii="Arial" w:hAnsi="Arial" w:cs="Arial"/>
          <w:sz w:val="24"/>
          <w:szCs w:val="24"/>
        </w:rPr>
      </w:pPr>
      <w:r>
        <w:rPr>
          <w:rFonts w:ascii="Arial" w:hAnsi="Arial" w:cs="Arial"/>
          <w:sz w:val="24"/>
          <w:szCs w:val="24"/>
        </w:rPr>
        <w:t>Strong v Bird (1874)</w:t>
      </w:r>
      <w:r w:rsidR="00EB42C2">
        <w:rPr>
          <w:rFonts w:ascii="Arial" w:hAnsi="Arial" w:cs="Arial"/>
          <w:sz w:val="24"/>
          <w:szCs w:val="24"/>
        </w:rPr>
        <w:t xml:space="preserve"> </w:t>
      </w:r>
      <w:r w:rsidR="00EB42C2" w:rsidRPr="00EB42C2">
        <w:rPr>
          <w:rFonts w:ascii="Arial" w:hAnsi="Arial" w:cs="Arial"/>
          <w:sz w:val="24"/>
          <w:szCs w:val="24"/>
        </w:rPr>
        <w:t>LR 18 Eq 315</w:t>
      </w:r>
    </w:p>
    <w:p w14:paraId="5D56F57B" w14:textId="77777777" w:rsidR="000D2C50" w:rsidRPr="00E03EAC" w:rsidRDefault="000D2C50" w:rsidP="00AE4782">
      <w:pPr>
        <w:rPr>
          <w:rFonts w:ascii="Arial" w:hAnsi="Arial" w:cs="Arial"/>
          <w:sz w:val="24"/>
          <w:szCs w:val="24"/>
          <w:shd w:val="clear" w:color="auto" w:fill="FFFFFF"/>
        </w:rPr>
      </w:pPr>
    </w:p>
    <w:p w14:paraId="1ED06DEA" w14:textId="72C7CD04" w:rsidR="00642C6C" w:rsidRPr="00AE4782" w:rsidRDefault="00642C6C" w:rsidP="00AE4782">
      <w:pPr>
        <w:rPr>
          <w:rFonts w:ascii="Arial" w:hAnsi="Arial" w:cs="Arial"/>
          <w:sz w:val="24"/>
          <w:szCs w:val="24"/>
        </w:rPr>
      </w:pPr>
    </w:p>
    <w:sectPr w:rsidR="00642C6C" w:rsidRPr="00AE47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08A"/>
    <w:rsid w:val="00016B0E"/>
    <w:rsid w:val="0002608A"/>
    <w:rsid w:val="00032BF5"/>
    <w:rsid w:val="00052E6F"/>
    <w:rsid w:val="00083463"/>
    <w:rsid w:val="000848F3"/>
    <w:rsid w:val="000A2E34"/>
    <w:rsid w:val="000A5D03"/>
    <w:rsid w:val="000D2C50"/>
    <w:rsid w:val="000F24A3"/>
    <w:rsid w:val="000F3724"/>
    <w:rsid w:val="0012044D"/>
    <w:rsid w:val="00157B1D"/>
    <w:rsid w:val="00192F53"/>
    <w:rsid w:val="001B6929"/>
    <w:rsid w:val="001C655A"/>
    <w:rsid w:val="001D06F3"/>
    <w:rsid w:val="001F2784"/>
    <w:rsid w:val="00211D14"/>
    <w:rsid w:val="00223916"/>
    <w:rsid w:val="00257CB0"/>
    <w:rsid w:val="002B7581"/>
    <w:rsid w:val="002D6652"/>
    <w:rsid w:val="002E16D2"/>
    <w:rsid w:val="002E7456"/>
    <w:rsid w:val="002F2298"/>
    <w:rsid w:val="002F6F59"/>
    <w:rsid w:val="0030451D"/>
    <w:rsid w:val="00305103"/>
    <w:rsid w:val="00326E18"/>
    <w:rsid w:val="00327618"/>
    <w:rsid w:val="00344EB9"/>
    <w:rsid w:val="00347452"/>
    <w:rsid w:val="003570B6"/>
    <w:rsid w:val="0036522B"/>
    <w:rsid w:val="003B2C09"/>
    <w:rsid w:val="003B2EB3"/>
    <w:rsid w:val="003C5605"/>
    <w:rsid w:val="003E796C"/>
    <w:rsid w:val="004046F9"/>
    <w:rsid w:val="00412432"/>
    <w:rsid w:val="00413CED"/>
    <w:rsid w:val="004147B4"/>
    <w:rsid w:val="004179FD"/>
    <w:rsid w:val="004431DE"/>
    <w:rsid w:val="00456802"/>
    <w:rsid w:val="0046030E"/>
    <w:rsid w:val="004747B2"/>
    <w:rsid w:val="00486E6B"/>
    <w:rsid w:val="004A0B59"/>
    <w:rsid w:val="004B1015"/>
    <w:rsid w:val="004C74A7"/>
    <w:rsid w:val="004D22E7"/>
    <w:rsid w:val="004D5930"/>
    <w:rsid w:val="00502E9E"/>
    <w:rsid w:val="00533406"/>
    <w:rsid w:val="0058575A"/>
    <w:rsid w:val="0058600E"/>
    <w:rsid w:val="0059150E"/>
    <w:rsid w:val="005A333E"/>
    <w:rsid w:val="005B3891"/>
    <w:rsid w:val="00623584"/>
    <w:rsid w:val="00642C6C"/>
    <w:rsid w:val="00675F48"/>
    <w:rsid w:val="00686D86"/>
    <w:rsid w:val="0069287A"/>
    <w:rsid w:val="006A434F"/>
    <w:rsid w:val="006C415E"/>
    <w:rsid w:val="006D2420"/>
    <w:rsid w:val="0070118D"/>
    <w:rsid w:val="007062B3"/>
    <w:rsid w:val="00724B70"/>
    <w:rsid w:val="00734664"/>
    <w:rsid w:val="00736CA1"/>
    <w:rsid w:val="007518E1"/>
    <w:rsid w:val="00753384"/>
    <w:rsid w:val="00754A8B"/>
    <w:rsid w:val="007554BE"/>
    <w:rsid w:val="00770493"/>
    <w:rsid w:val="00771CB5"/>
    <w:rsid w:val="00781E1C"/>
    <w:rsid w:val="00805076"/>
    <w:rsid w:val="0081030A"/>
    <w:rsid w:val="0081790A"/>
    <w:rsid w:val="00817AC4"/>
    <w:rsid w:val="00826327"/>
    <w:rsid w:val="00834ABB"/>
    <w:rsid w:val="00837E29"/>
    <w:rsid w:val="00842294"/>
    <w:rsid w:val="00873130"/>
    <w:rsid w:val="00886F21"/>
    <w:rsid w:val="00893621"/>
    <w:rsid w:val="00893C37"/>
    <w:rsid w:val="008B530F"/>
    <w:rsid w:val="008B572F"/>
    <w:rsid w:val="008B5AB2"/>
    <w:rsid w:val="008D5C71"/>
    <w:rsid w:val="008D69EC"/>
    <w:rsid w:val="008D6D90"/>
    <w:rsid w:val="008E2874"/>
    <w:rsid w:val="008F2840"/>
    <w:rsid w:val="008F2FD2"/>
    <w:rsid w:val="00910C2C"/>
    <w:rsid w:val="0091383D"/>
    <w:rsid w:val="009341E1"/>
    <w:rsid w:val="00942E4E"/>
    <w:rsid w:val="00970C1C"/>
    <w:rsid w:val="009D28D2"/>
    <w:rsid w:val="009D3525"/>
    <w:rsid w:val="009E4378"/>
    <w:rsid w:val="009F4A04"/>
    <w:rsid w:val="00A34442"/>
    <w:rsid w:val="00A47EA8"/>
    <w:rsid w:val="00A7781A"/>
    <w:rsid w:val="00A94D3D"/>
    <w:rsid w:val="00AA7A04"/>
    <w:rsid w:val="00AB03F4"/>
    <w:rsid w:val="00AB4C99"/>
    <w:rsid w:val="00AD16AC"/>
    <w:rsid w:val="00AE4782"/>
    <w:rsid w:val="00AE5CF3"/>
    <w:rsid w:val="00B04FA6"/>
    <w:rsid w:val="00B17A4C"/>
    <w:rsid w:val="00B41407"/>
    <w:rsid w:val="00B460CA"/>
    <w:rsid w:val="00B57D3C"/>
    <w:rsid w:val="00B77F2A"/>
    <w:rsid w:val="00B80E06"/>
    <w:rsid w:val="00B8519A"/>
    <w:rsid w:val="00BA0CC8"/>
    <w:rsid w:val="00BC3BE4"/>
    <w:rsid w:val="00BD4BA3"/>
    <w:rsid w:val="00BE75B5"/>
    <w:rsid w:val="00BF0485"/>
    <w:rsid w:val="00BF3E15"/>
    <w:rsid w:val="00C142C8"/>
    <w:rsid w:val="00C22394"/>
    <w:rsid w:val="00C25E03"/>
    <w:rsid w:val="00C26AA9"/>
    <w:rsid w:val="00C3740E"/>
    <w:rsid w:val="00C555FA"/>
    <w:rsid w:val="00C7704F"/>
    <w:rsid w:val="00CA221A"/>
    <w:rsid w:val="00CB0035"/>
    <w:rsid w:val="00CB5048"/>
    <w:rsid w:val="00CC6054"/>
    <w:rsid w:val="00CC7A1A"/>
    <w:rsid w:val="00CD7D19"/>
    <w:rsid w:val="00CD7E33"/>
    <w:rsid w:val="00CE6066"/>
    <w:rsid w:val="00D0686A"/>
    <w:rsid w:val="00D07017"/>
    <w:rsid w:val="00D30AF8"/>
    <w:rsid w:val="00D36440"/>
    <w:rsid w:val="00D37F67"/>
    <w:rsid w:val="00D5524B"/>
    <w:rsid w:val="00D60134"/>
    <w:rsid w:val="00D624A4"/>
    <w:rsid w:val="00D65B6D"/>
    <w:rsid w:val="00D735A3"/>
    <w:rsid w:val="00D7624E"/>
    <w:rsid w:val="00D8009E"/>
    <w:rsid w:val="00D83ED8"/>
    <w:rsid w:val="00DC2092"/>
    <w:rsid w:val="00DC7828"/>
    <w:rsid w:val="00DC79A9"/>
    <w:rsid w:val="00DF35AE"/>
    <w:rsid w:val="00E03EAC"/>
    <w:rsid w:val="00E05120"/>
    <w:rsid w:val="00E1142A"/>
    <w:rsid w:val="00E277AB"/>
    <w:rsid w:val="00E403B0"/>
    <w:rsid w:val="00E540EF"/>
    <w:rsid w:val="00E577F7"/>
    <w:rsid w:val="00E76DE2"/>
    <w:rsid w:val="00EB42C2"/>
    <w:rsid w:val="00EC247A"/>
    <w:rsid w:val="00EE44BA"/>
    <w:rsid w:val="00F03163"/>
    <w:rsid w:val="00F3161A"/>
    <w:rsid w:val="00F64A61"/>
    <w:rsid w:val="00F7797B"/>
    <w:rsid w:val="00F80FE4"/>
    <w:rsid w:val="00F81D31"/>
    <w:rsid w:val="00F94CF6"/>
    <w:rsid w:val="00FA250C"/>
    <w:rsid w:val="00FA3E78"/>
    <w:rsid w:val="00FB34D9"/>
    <w:rsid w:val="00FB665B"/>
    <w:rsid w:val="00FF6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934B3"/>
  <w15:chartTrackingRefBased/>
  <w15:docId w15:val="{84020544-E306-45A4-82A0-10FC95AEC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60134"/>
    <w:rPr>
      <w:b/>
      <w:bCs/>
    </w:rPr>
  </w:style>
  <w:style w:type="character" w:styleId="Hyperlink">
    <w:name w:val="Hyperlink"/>
    <w:basedOn w:val="DefaultParagraphFont"/>
    <w:uiPriority w:val="99"/>
    <w:unhideWhenUsed/>
    <w:rsid w:val="000D2C50"/>
    <w:rPr>
      <w:color w:val="0563C1" w:themeColor="hyperlink"/>
      <w:u w:val="single"/>
    </w:rPr>
  </w:style>
  <w:style w:type="character" w:styleId="UnresolvedMention">
    <w:name w:val="Unresolved Mention"/>
    <w:basedOn w:val="DefaultParagraphFont"/>
    <w:uiPriority w:val="99"/>
    <w:semiHidden/>
    <w:unhideWhenUsed/>
    <w:rsid w:val="007011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com.gov.uk/project/13th-programme-of-law-reform/" TargetMode="External"/><Relationship Id="rId3" Type="http://schemas.openxmlformats.org/officeDocument/2006/relationships/webSettings" Target="webSettings.xml"/><Relationship Id="rId7" Type="http://schemas.openxmlformats.org/officeDocument/2006/relationships/hyperlink" Target="https://www.thegazette.co.uk/wills-and-probate/content/10343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axjustice.net/2017/12/19/trusts-uk-half-step-forward-three-steps-backwards/" TargetMode="External"/><Relationship Id="rId11" Type="http://schemas.openxmlformats.org/officeDocument/2006/relationships/theme" Target="theme/theme1.xml"/><Relationship Id="rId5" Type="http://schemas.openxmlformats.org/officeDocument/2006/relationships/hyperlink" Target="https://www.gov.uk/government/collections/trusts-statistics--2" TargetMode="External"/><Relationship Id="rId10" Type="http://schemas.openxmlformats.org/officeDocument/2006/relationships/fontTable" Target="fontTable.xml"/><Relationship Id="rId4" Type="http://schemas.openxmlformats.org/officeDocument/2006/relationships/hyperlink" Target="https://www.crowe.com/uk/insights/the-tax-implications-of-trusts" TargetMode="External"/><Relationship Id="rId9" Type="http://schemas.openxmlformats.org/officeDocument/2006/relationships/hyperlink" Target="https://www.thegazette.co.uk/all-notices/content/1033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495</TotalTime>
  <Pages>9</Pages>
  <Words>2357</Words>
  <Characters>13438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Lovering</dc:creator>
  <cp:keywords/>
  <dc:description/>
  <cp:lastModifiedBy>George Lovering</cp:lastModifiedBy>
  <cp:revision>337</cp:revision>
  <dcterms:created xsi:type="dcterms:W3CDTF">2023-03-08T22:21:00Z</dcterms:created>
  <dcterms:modified xsi:type="dcterms:W3CDTF">2023-03-10T01:34:00Z</dcterms:modified>
</cp:coreProperties>
</file>