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431B27" w14:textId="77777777" w:rsidR="00825517" w:rsidRDefault="00F53669">
      <w:r>
        <w:rPr>
          <w:noProof/>
        </w:rPr>
        <w:drawing>
          <wp:anchor distT="0" distB="0" distL="114300" distR="114300" simplePos="0" relativeHeight="251658240" behindDoc="0" locked="0" layoutInCell="1" hidden="0" allowOverlap="1" wp14:anchorId="0573DA40" wp14:editId="48887190">
            <wp:simplePos x="0" y="0"/>
            <wp:positionH relativeFrom="column">
              <wp:posOffset>-101599</wp:posOffset>
            </wp:positionH>
            <wp:positionV relativeFrom="paragraph">
              <wp:posOffset>-482599</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4"/>
                    <a:srcRect/>
                    <a:stretch>
                      <a:fillRect/>
                    </a:stretch>
                  </pic:blipFill>
                  <pic:spPr>
                    <a:xfrm>
                      <a:off x="0" y="0"/>
                      <a:ext cx="1809750" cy="723900"/>
                    </a:xfrm>
                    <a:prstGeom prst="rect">
                      <a:avLst/>
                    </a:prstGeom>
                    <a:ln/>
                  </pic:spPr>
                </pic:pic>
              </a:graphicData>
            </a:graphic>
          </wp:anchor>
        </w:drawing>
      </w:r>
    </w:p>
    <w:p w14:paraId="53758760" w14:textId="77777777" w:rsidR="00825517" w:rsidRDefault="00825517">
      <w:pPr>
        <w:jc w:val="center"/>
        <w:rPr>
          <w:sz w:val="32"/>
          <w:szCs w:val="32"/>
        </w:rPr>
      </w:pPr>
    </w:p>
    <w:p w14:paraId="5ED75067" w14:textId="77777777" w:rsidR="00825517" w:rsidRDefault="00825517">
      <w:pPr>
        <w:jc w:val="center"/>
        <w:rPr>
          <w:b/>
          <w:sz w:val="32"/>
          <w:szCs w:val="32"/>
        </w:rPr>
      </w:pPr>
    </w:p>
    <w:p w14:paraId="05347A28" w14:textId="77777777" w:rsidR="00825517" w:rsidRDefault="00825517">
      <w:pPr>
        <w:jc w:val="center"/>
        <w:rPr>
          <w:b/>
          <w:sz w:val="32"/>
          <w:szCs w:val="32"/>
        </w:rPr>
      </w:pPr>
    </w:p>
    <w:p w14:paraId="493EF1E0" w14:textId="77777777" w:rsidR="00825517" w:rsidRPr="00F53669" w:rsidRDefault="00F53669">
      <w:pPr>
        <w:jc w:val="center"/>
        <w:rPr>
          <w:b/>
          <w:sz w:val="32"/>
          <w:szCs w:val="32"/>
          <w:lang w:val="fr-FR"/>
        </w:rPr>
      </w:pPr>
      <w:r w:rsidRPr="00F53669">
        <w:rPr>
          <w:b/>
          <w:sz w:val="32"/>
          <w:szCs w:val="32"/>
          <w:lang w:val="fr-FR"/>
        </w:rPr>
        <w:t>Module: International Financial Management</w:t>
      </w:r>
    </w:p>
    <w:p w14:paraId="0ED1F1B3" w14:textId="77777777" w:rsidR="00825517" w:rsidRPr="00F53669" w:rsidRDefault="00F53669">
      <w:pPr>
        <w:jc w:val="center"/>
        <w:rPr>
          <w:b/>
          <w:sz w:val="32"/>
          <w:szCs w:val="32"/>
          <w:lang w:val="fr-FR"/>
        </w:rPr>
      </w:pPr>
      <w:r w:rsidRPr="00F53669">
        <w:rPr>
          <w:b/>
          <w:sz w:val="32"/>
          <w:szCs w:val="32"/>
          <w:lang w:val="fr-FR"/>
        </w:rPr>
        <w:t>Module code: LCBB6002</w:t>
      </w:r>
    </w:p>
    <w:p w14:paraId="53183DD2" w14:textId="4EDE2576" w:rsidR="00F53669" w:rsidRDefault="00F53669">
      <w:pPr>
        <w:jc w:val="center"/>
        <w:rPr>
          <w:b/>
          <w:sz w:val="32"/>
          <w:szCs w:val="32"/>
        </w:rPr>
      </w:pPr>
      <w:r w:rsidRPr="00F53669">
        <w:rPr>
          <w:b/>
          <w:sz w:val="32"/>
          <w:szCs w:val="32"/>
        </w:rPr>
        <w:t>L</w:t>
      </w:r>
      <w:r>
        <w:rPr>
          <w:b/>
          <w:sz w:val="32"/>
          <w:szCs w:val="32"/>
        </w:rPr>
        <w:t>ecturer name :</w:t>
      </w:r>
      <w:proofErr w:type="spellStart"/>
      <w:r>
        <w:rPr>
          <w:b/>
          <w:sz w:val="32"/>
          <w:szCs w:val="32"/>
        </w:rPr>
        <w:t>Dr.</w:t>
      </w:r>
      <w:proofErr w:type="spellEnd"/>
      <w:r>
        <w:rPr>
          <w:b/>
          <w:sz w:val="32"/>
          <w:szCs w:val="32"/>
        </w:rPr>
        <w:t xml:space="preserve"> Mudassar Hasan</w:t>
      </w:r>
    </w:p>
    <w:p w14:paraId="399C0898" w14:textId="77777777" w:rsidR="00F53669" w:rsidRDefault="00F53669">
      <w:pPr>
        <w:jc w:val="center"/>
        <w:rPr>
          <w:b/>
          <w:sz w:val="32"/>
          <w:szCs w:val="32"/>
        </w:rPr>
      </w:pPr>
    </w:p>
    <w:p w14:paraId="07CC33AD" w14:textId="56BD5CC0" w:rsidR="00F53669" w:rsidRDefault="00F53669">
      <w:pPr>
        <w:jc w:val="center"/>
        <w:rPr>
          <w:b/>
          <w:sz w:val="32"/>
          <w:szCs w:val="32"/>
        </w:rPr>
      </w:pPr>
      <w:r>
        <w:rPr>
          <w:b/>
          <w:sz w:val="32"/>
          <w:szCs w:val="32"/>
        </w:rPr>
        <w:t xml:space="preserve">Student name : Viorica </w:t>
      </w:r>
      <w:proofErr w:type="spellStart"/>
      <w:r>
        <w:rPr>
          <w:b/>
          <w:sz w:val="32"/>
          <w:szCs w:val="32"/>
        </w:rPr>
        <w:t>Birloiu</w:t>
      </w:r>
      <w:proofErr w:type="spellEnd"/>
    </w:p>
    <w:p w14:paraId="5334E126" w14:textId="15075E67" w:rsidR="00F53669" w:rsidRPr="00F53669" w:rsidRDefault="00F53669">
      <w:pPr>
        <w:jc w:val="center"/>
        <w:rPr>
          <w:b/>
          <w:sz w:val="32"/>
          <w:szCs w:val="32"/>
        </w:rPr>
      </w:pPr>
      <w:proofErr w:type="spellStart"/>
      <w:r>
        <w:rPr>
          <w:b/>
          <w:sz w:val="32"/>
          <w:szCs w:val="32"/>
        </w:rPr>
        <w:t>Studnt</w:t>
      </w:r>
      <w:proofErr w:type="spellEnd"/>
      <w:r>
        <w:rPr>
          <w:b/>
          <w:sz w:val="32"/>
          <w:szCs w:val="32"/>
        </w:rPr>
        <w:t xml:space="preserve"> number : 2227895</w:t>
      </w:r>
    </w:p>
    <w:p w14:paraId="273212E8" w14:textId="77777777" w:rsidR="00825517" w:rsidRPr="00F53669" w:rsidRDefault="00825517">
      <w:pPr>
        <w:jc w:val="center"/>
        <w:rPr>
          <w:sz w:val="32"/>
          <w:szCs w:val="32"/>
        </w:rPr>
      </w:pPr>
    </w:p>
    <w:p w14:paraId="470C0E92" w14:textId="77777777" w:rsidR="00825517" w:rsidRDefault="00F53669">
      <w:pPr>
        <w:jc w:val="center"/>
        <w:rPr>
          <w:sz w:val="32"/>
          <w:szCs w:val="32"/>
        </w:rPr>
      </w:pPr>
      <w:r>
        <w:rPr>
          <w:sz w:val="32"/>
          <w:szCs w:val="32"/>
        </w:rPr>
        <w:t>Assignment Title: Component 1</w:t>
      </w:r>
    </w:p>
    <w:p w14:paraId="3497CB09" w14:textId="77777777" w:rsidR="00825517" w:rsidRDefault="00F53669">
      <w:pPr>
        <w:jc w:val="center"/>
        <w:rPr>
          <w:sz w:val="32"/>
          <w:szCs w:val="32"/>
        </w:rPr>
      </w:pPr>
      <w:r>
        <w:rPr>
          <w:sz w:val="32"/>
          <w:szCs w:val="32"/>
        </w:rPr>
        <w:t>Coursework: Written Report</w:t>
      </w:r>
      <w:r>
        <w:br w:type="page"/>
      </w:r>
    </w:p>
    <w:p w14:paraId="3E54E37F" w14:textId="77777777" w:rsidR="00825517" w:rsidRDefault="00F53669">
      <w:pPr>
        <w:pStyle w:val="Heading1"/>
      </w:pPr>
      <w:bookmarkStart w:id="0" w:name="_gjdgxs" w:colFirst="0" w:colLast="0"/>
      <w:bookmarkEnd w:id="0"/>
      <w:r>
        <w:lastRenderedPageBreak/>
        <w:t>Executive summary</w:t>
      </w:r>
    </w:p>
    <w:p w14:paraId="59A86710" w14:textId="77777777" w:rsidR="00825517" w:rsidRDefault="00F53669">
      <w:proofErr w:type="spellStart"/>
      <w:r>
        <w:t>Sibco</w:t>
      </w:r>
      <w:proofErr w:type="spellEnd"/>
      <w:r>
        <w:t xml:space="preserve"> Co. operates as a family-controlled service organisation that plans its AIM listing for UK markets while facing key matters during its transformation. The research looks at key parts of corporate governance and agency theory. It suggests ways to maintain control through owning 30% of shares, using dual-class stock, and making agreements with shareholders. In this report, it recommends performance-based compensation packages for directors to reward their accomplishments as well as positive results from equi</w:t>
      </w:r>
      <w:r>
        <w:t>ty ownership. Shanghai's headquarters relocation protocols do not provide the same shareholder protection or tax advantages provided by Dutch institutions, which benefit future business development and investor relations.</w:t>
      </w:r>
    </w:p>
    <w:p w14:paraId="2C86A82E" w14:textId="77777777" w:rsidR="00825517" w:rsidRDefault="00825517"/>
    <w:p w14:paraId="44EEBE9C" w14:textId="77777777" w:rsidR="00825517" w:rsidRDefault="00825517"/>
    <w:p w14:paraId="16132E9B" w14:textId="77777777" w:rsidR="00825517" w:rsidRDefault="00825517"/>
    <w:p w14:paraId="78EFB22B" w14:textId="77777777" w:rsidR="00825517" w:rsidRDefault="00825517"/>
    <w:p w14:paraId="1E930EDD" w14:textId="77777777" w:rsidR="00825517" w:rsidRDefault="00825517"/>
    <w:p w14:paraId="0AADF5DA" w14:textId="77777777" w:rsidR="00825517" w:rsidRDefault="00825517"/>
    <w:p w14:paraId="4EBD5D33" w14:textId="77777777" w:rsidR="00825517" w:rsidRDefault="00825517"/>
    <w:p w14:paraId="51AD3F6C" w14:textId="77777777" w:rsidR="00825517" w:rsidRDefault="00825517"/>
    <w:p w14:paraId="7E670086" w14:textId="77777777" w:rsidR="00825517" w:rsidRDefault="00F53669">
      <w:r>
        <w:br w:type="page"/>
      </w:r>
    </w:p>
    <w:p w14:paraId="508C2344" w14:textId="77777777" w:rsidR="00825517" w:rsidRDefault="00F53669">
      <w:pPr>
        <w:keepNext/>
        <w:keepLines/>
        <w:pBdr>
          <w:top w:val="nil"/>
          <w:left w:val="nil"/>
          <w:bottom w:val="nil"/>
          <w:right w:val="nil"/>
          <w:between w:val="nil"/>
        </w:pBdr>
        <w:spacing w:before="240" w:after="0" w:line="259" w:lineRule="auto"/>
        <w:jc w:val="left"/>
        <w:rPr>
          <w:rFonts w:ascii="Play" w:eastAsia="Play" w:hAnsi="Play" w:cs="Play"/>
          <w:color w:val="0F4761"/>
          <w:sz w:val="32"/>
          <w:szCs w:val="32"/>
        </w:rPr>
      </w:pPr>
      <w:r>
        <w:rPr>
          <w:rFonts w:ascii="Play" w:eastAsia="Play" w:hAnsi="Play" w:cs="Play"/>
          <w:color w:val="0F4761"/>
          <w:sz w:val="32"/>
          <w:szCs w:val="32"/>
        </w:rPr>
        <w:lastRenderedPageBreak/>
        <w:t>Table of Contents</w:t>
      </w:r>
    </w:p>
    <w:sdt>
      <w:sdtPr>
        <w:id w:val="1097682087"/>
        <w:docPartObj>
          <w:docPartGallery w:val="Table of Contents"/>
          <w:docPartUnique/>
        </w:docPartObj>
      </w:sdtPr>
      <w:sdtEndPr/>
      <w:sdtContent>
        <w:p w14:paraId="2B31DB05" w14:textId="77777777" w:rsidR="00825517" w:rsidRDefault="00F53669">
          <w:pPr>
            <w:pBdr>
              <w:top w:val="nil"/>
              <w:left w:val="nil"/>
              <w:bottom w:val="nil"/>
              <w:right w:val="nil"/>
              <w:between w:val="nil"/>
            </w:pBdr>
            <w:tabs>
              <w:tab w:val="right" w:leader="dot" w:pos="9350"/>
            </w:tabs>
            <w:spacing w:after="100"/>
            <w:rPr>
              <w:rFonts w:ascii="Aptos" w:eastAsia="Aptos" w:hAnsi="Aptos" w:cs="Aptos"/>
              <w:color w:val="000000"/>
            </w:rPr>
          </w:pPr>
          <w:r>
            <w:fldChar w:fldCharType="begin"/>
          </w:r>
          <w:r>
            <w:instrText xml:space="preserve"> TOC \h \u \z \t "Heading 1,1,Heading 2,2,Heading 3,3,"</w:instrText>
          </w:r>
          <w:r>
            <w:fldChar w:fldCharType="separate"/>
          </w:r>
          <w:hyperlink w:anchor="_gjdgxs">
            <w:r>
              <w:rPr>
                <w:color w:val="000000"/>
              </w:rPr>
              <w:t>Executive summary</w:t>
            </w:r>
            <w:r>
              <w:rPr>
                <w:color w:val="000000"/>
              </w:rPr>
              <w:tab/>
              <w:t>2</w:t>
            </w:r>
          </w:hyperlink>
        </w:p>
        <w:p w14:paraId="32AC1733" w14:textId="77777777" w:rsidR="00825517" w:rsidRDefault="00F53669">
          <w:pPr>
            <w:pBdr>
              <w:top w:val="nil"/>
              <w:left w:val="nil"/>
              <w:bottom w:val="nil"/>
              <w:right w:val="nil"/>
              <w:between w:val="nil"/>
            </w:pBdr>
            <w:tabs>
              <w:tab w:val="right" w:leader="dot" w:pos="9350"/>
            </w:tabs>
            <w:spacing w:after="100"/>
            <w:rPr>
              <w:rFonts w:ascii="Aptos" w:eastAsia="Aptos" w:hAnsi="Aptos" w:cs="Aptos"/>
              <w:color w:val="000000"/>
            </w:rPr>
          </w:pPr>
          <w:hyperlink w:anchor="_30j0zll">
            <w:r>
              <w:rPr>
                <w:color w:val="000000"/>
              </w:rPr>
              <w:t>1.0 Introduction</w:t>
            </w:r>
            <w:r>
              <w:rPr>
                <w:color w:val="000000"/>
              </w:rPr>
              <w:tab/>
              <w:t>4</w:t>
            </w:r>
          </w:hyperlink>
        </w:p>
        <w:p w14:paraId="0F02C4D7" w14:textId="77777777" w:rsidR="00825517" w:rsidRDefault="00F53669">
          <w:pPr>
            <w:pBdr>
              <w:top w:val="nil"/>
              <w:left w:val="nil"/>
              <w:bottom w:val="nil"/>
              <w:right w:val="nil"/>
              <w:between w:val="nil"/>
            </w:pBdr>
            <w:tabs>
              <w:tab w:val="right" w:leader="dot" w:pos="9350"/>
            </w:tabs>
            <w:spacing w:after="100"/>
            <w:rPr>
              <w:rFonts w:ascii="Aptos" w:eastAsia="Aptos" w:hAnsi="Aptos" w:cs="Aptos"/>
              <w:color w:val="000000"/>
            </w:rPr>
          </w:pPr>
          <w:hyperlink w:anchor="_1fob9te">
            <w:r>
              <w:rPr>
                <w:color w:val="000000"/>
              </w:rPr>
              <w:t>2.0 Discussion of findings</w:t>
            </w:r>
            <w:r>
              <w:rPr>
                <w:color w:val="000000"/>
              </w:rPr>
              <w:tab/>
              <w:t>5</w:t>
            </w:r>
          </w:hyperlink>
        </w:p>
        <w:p w14:paraId="78462041" w14:textId="77777777" w:rsidR="00825517" w:rsidRDefault="00F53669">
          <w:pPr>
            <w:pBdr>
              <w:top w:val="nil"/>
              <w:left w:val="nil"/>
              <w:bottom w:val="nil"/>
              <w:right w:val="nil"/>
              <w:between w:val="nil"/>
            </w:pBdr>
            <w:tabs>
              <w:tab w:val="right" w:leader="dot" w:pos="9350"/>
            </w:tabs>
            <w:spacing w:after="100"/>
            <w:ind w:left="240"/>
            <w:rPr>
              <w:rFonts w:ascii="Aptos" w:eastAsia="Aptos" w:hAnsi="Aptos" w:cs="Aptos"/>
              <w:color w:val="000000"/>
            </w:rPr>
          </w:pPr>
          <w:hyperlink w:anchor="_3znysh7">
            <w:r>
              <w:rPr>
                <w:color w:val="000000"/>
              </w:rPr>
              <w:t>2.1 Introduction to Corporate Governance and Agency Theory</w:t>
            </w:r>
            <w:r>
              <w:rPr>
                <w:color w:val="000000"/>
              </w:rPr>
              <w:tab/>
              <w:t>5</w:t>
            </w:r>
          </w:hyperlink>
        </w:p>
        <w:p w14:paraId="355047A3" w14:textId="77777777" w:rsidR="00825517" w:rsidRDefault="00F53669">
          <w:pPr>
            <w:pBdr>
              <w:top w:val="nil"/>
              <w:left w:val="nil"/>
              <w:bottom w:val="nil"/>
              <w:right w:val="nil"/>
              <w:between w:val="nil"/>
            </w:pBdr>
            <w:tabs>
              <w:tab w:val="right" w:leader="dot" w:pos="9350"/>
            </w:tabs>
            <w:spacing w:after="100"/>
            <w:ind w:left="240"/>
            <w:rPr>
              <w:rFonts w:ascii="Aptos" w:eastAsia="Aptos" w:hAnsi="Aptos" w:cs="Aptos"/>
              <w:color w:val="000000"/>
            </w:rPr>
          </w:pPr>
          <w:hyperlink w:anchor="_2et92p0">
            <w:r>
              <w:rPr>
                <w:color w:val="000000"/>
              </w:rPr>
              <w:t>2.2 Retaining Control with 30% Shareholding</w:t>
            </w:r>
            <w:r>
              <w:rPr>
                <w:color w:val="000000"/>
              </w:rPr>
              <w:tab/>
              <w:t>7</w:t>
            </w:r>
          </w:hyperlink>
        </w:p>
        <w:p w14:paraId="63D912F3" w14:textId="77777777" w:rsidR="00825517" w:rsidRDefault="00F53669">
          <w:pPr>
            <w:pBdr>
              <w:top w:val="nil"/>
              <w:left w:val="nil"/>
              <w:bottom w:val="nil"/>
              <w:right w:val="nil"/>
              <w:between w:val="nil"/>
            </w:pBdr>
            <w:tabs>
              <w:tab w:val="right" w:leader="dot" w:pos="9350"/>
            </w:tabs>
            <w:spacing w:after="100"/>
            <w:ind w:left="240"/>
            <w:rPr>
              <w:rFonts w:ascii="Aptos" w:eastAsia="Aptos" w:hAnsi="Aptos" w:cs="Aptos"/>
              <w:color w:val="000000"/>
            </w:rPr>
          </w:pPr>
          <w:hyperlink w:anchor="_tyjcwt">
            <w:r>
              <w:rPr>
                <w:color w:val="000000"/>
              </w:rPr>
              <w:t>2.3 Deciding the Remuneration of Directors</w:t>
            </w:r>
            <w:r>
              <w:rPr>
                <w:color w:val="000000"/>
              </w:rPr>
              <w:tab/>
              <w:t>8</w:t>
            </w:r>
          </w:hyperlink>
        </w:p>
        <w:p w14:paraId="19B8F335" w14:textId="77777777" w:rsidR="00825517" w:rsidRDefault="00F53669">
          <w:pPr>
            <w:pBdr>
              <w:top w:val="nil"/>
              <w:left w:val="nil"/>
              <w:bottom w:val="nil"/>
              <w:right w:val="nil"/>
              <w:between w:val="nil"/>
            </w:pBdr>
            <w:tabs>
              <w:tab w:val="right" w:leader="dot" w:pos="9350"/>
            </w:tabs>
            <w:spacing w:after="100"/>
            <w:ind w:left="240"/>
            <w:rPr>
              <w:rFonts w:ascii="Aptos" w:eastAsia="Aptos" w:hAnsi="Aptos" w:cs="Aptos"/>
              <w:color w:val="000000"/>
            </w:rPr>
          </w:pPr>
          <w:hyperlink w:anchor="_3dy6vkm">
            <w:r>
              <w:rPr>
                <w:color w:val="000000"/>
              </w:rPr>
              <w:t>2.4 Institutional Differences: Shanghai vs. The Netherlands</w:t>
            </w:r>
            <w:r>
              <w:rPr>
                <w:color w:val="000000"/>
              </w:rPr>
              <w:tab/>
              <w:t>9</w:t>
            </w:r>
          </w:hyperlink>
        </w:p>
        <w:p w14:paraId="6757068D" w14:textId="77777777" w:rsidR="00825517" w:rsidRDefault="00F53669">
          <w:pPr>
            <w:pBdr>
              <w:top w:val="nil"/>
              <w:left w:val="nil"/>
              <w:bottom w:val="nil"/>
              <w:right w:val="nil"/>
              <w:between w:val="nil"/>
            </w:pBdr>
            <w:tabs>
              <w:tab w:val="right" w:leader="dot" w:pos="9350"/>
            </w:tabs>
            <w:spacing w:after="100"/>
            <w:rPr>
              <w:rFonts w:ascii="Aptos" w:eastAsia="Aptos" w:hAnsi="Aptos" w:cs="Aptos"/>
              <w:color w:val="000000"/>
            </w:rPr>
          </w:pPr>
          <w:hyperlink w:anchor="_1t3h5sf">
            <w:r>
              <w:rPr>
                <w:color w:val="000000"/>
              </w:rPr>
              <w:t>3.0 Conclusion</w:t>
            </w:r>
            <w:r>
              <w:rPr>
                <w:color w:val="000000"/>
              </w:rPr>
              <w:tab/>
              <w:t>11</w:t>
            </w:r>
          </w:hyperlink>
        </w:p>
        <w:p w14:paraId="10A3484F" w14:textId="77777777" w:rsidR="00825517" w:rsidRDefault="00F53669">
          <w:pPr>
            <w:pBdr>
              <w:top w:val="nil"/>
              <w:left w:val="nil"/>
              <w:bottom w:val="nil"/>
              <w:right w:val="nil"/>
              <w:between w:val="nil"/>
            </w:pBdr>
            <w:tabs>
              <w:tab w:val="right" w:leader="dot" w:pos="9350"/>
            </w:tabs>
            <w:spacing w:after="100"/>
            <w:rPr>
              <w:rFonts w:ascii="Aptos" w:eastAsia="Aptos" w:hAnsi="Aptos" w:cs="Aptos"/>
              <w:color w:val="000000"/>
            </w:rPr>
          </w:pPr>
          <w:hyperlink w:anchor="_4d34og8">
            <w:r>
              <w:rPr>
                <w:color w:val="000000"/>
              </w:rPr>
              <w:t>4.0 Recommendations</w:t>
            </w:r>
            <w:r>
              <w:rPr>
                <w:color w:val="000000"/>
              </w:rPr>
              <w:tab/>
              <w:t>12</w:t>
            </w:r>
          </w:hyperlink>
        </w:p>
        <w:p w14:paraId="6319C68E" w14:textId="77777777" w:rsidR="00825517" w:rsidRDefault="00F53669">
          <w:pPr>
            <w:pBdr>
              <w:top w:val="nil"/>
              <w:left w:val="nil"/>
              <w:bottom w:val="nil"/>
              <w:right w:val="nil"/>
              <w:between w:val="nil"/>
            </w:pBdr>
            <w:tabs>
              <w:tab w:val="right" w:leader="dot" w:pos="9350"/>
            </w:tabs>
            <w:spacing w:after="100"/>
            <w:rPr>
              <w:rFonts w:ascii="Aptos" w:eastAsia="Aptos" w:hAnsi="Aptos" w:cs="Aptos"/>
              <w:color w:val="000000"/>
            </w:rPr>
          </w:pPr>
          <w:hyperlink w:anchor="_2s8eyo1">
            <w:r>
              <w:rPr>
                <w:color w:val="000000"/>
              </w:rPr>
              <w:t>References</w:t>
            </w:r>
            <w:r>
              <w:rPr>
                <w:color w:val="000000"/>
              </w:rPr>
              <w:tab/>
              <w:t>13</w:t>
            </w:r>
          </w:hyperlink>
        </w:p>
        <w:p w14:paraId="6EE316D7" w14:textId="77777777" w:rsidR="00825517" w:rsidRDefault="00F53669">
          <w:r>
            <w:fldChar w:fldCharType="end"/>
          </w:r>
        </w:p>
      </w:sdtContent>
    </w:sdt>
    <w:p w14:paraId="18F02D78" w14:textId="77777777" w:rsidR="00825517" w:rsidRDefault="00F53669">
      <w:pPr>
        <w:rPr>
          <w:color w:val="0C3512"/>
          <w:sz w:val="32"/>
          <w:szCs w:val="32"/>
        </w:rPr>
      </w:pPr>
      <w:r>
        <w:br w:type="page"/>
      </w:r>
    </w:p>
    <w:p w14:paraId="510D15B5" w14:textId="77777777" w:rsidR="00825517" w:rsidRDefault="00F53669">
      <w:pPr>
        <w:pStyle w:val="Heading1"/>
      </w:pPr>
      <w:bookmarkStart w:id="1" w:name="_30j0zll" w:colFirst="0" w:colLast="0"/>
      <w:bookmarkEnd w:id="1"/>
      <w:r>
        <w:lastRenderedPageBreak/>
        <w:t>1.0 Introduction</w:t>
      </w:r>
    </w:p>
    <w:p w14:paraId="7E0694AC" w14:textId="77777777" w:rsidR="00825517" w:rsidRDefault="00F53669">
      <w:proofErr w:type="spellStart"/>
      <w:r>
        <w:t>Sibco</w:t>
      </w:r>
      <w:proofErr w:type="spellEnd"/>
      <w:r>
        <w:t xml:space="preserve"> Co., as a family-run services firm, will meet different challenges and obtain several advantages by pursuing AIM listing eligibility status in the UK. For a company to go public, it needs to set up important parts like rules for managing the company and how it pays its directors based on agency theory ideas. A 30% equity dilution requires the family group to establish methods for preserving control over the company. The document evaluates essential agency theory components, corporate governance elements, a</w:t>
      </w:r>
      <w:r>
        <w:t>nd director compensation standards but also discusses the organisational differences between Shanghai venues and Dutch headquarters.</w:t>
      </w:r>
    </w:p>
    <w:p w14:paraId="5D82751B" w14:textId="77777777" w:rsidR="00825517" w:rsidRDefault="00F53669">
      <w:pPr>
        <w:spacing w:line="259" w:lineRule="auto"/>
        <w:jc w:val="left"/>
        <w:rPr>
          <w:b/>
          <w:color w:val="0C3512"/>
          <w:sz w:val="32"/>
          <w:szCs w:val="32"/>
        </w:rPr>
      </w:pPr>
      <w:r>
        <w:br w:type="page"/>
      </w:r>
    </w:p>
    <w:p w14:paraId="70D378ED" w14:textId="77777777" w:rsidR="00825517" w:rsidRDefault="00F53669">
      <w:pPr>
        <w:pStyle w:val="Heading1"/>
      </w:pPr>
      <w:bookmarkStart w:id="2" w:name="_1fob9te" w:colFirst="0" w:colLast="0"/>
      <w:bookmarkEnd w:id="2"/>
      <w:r>
        <w:lastRenderedPageBreak/>
        <w:t>2.0 Discussion of findings</w:t>
      </w:r>
    </w:p>
    <w:p w14:paraId="7BD3206B" w14:textId="77777777" w:rsidR="00825517" w:rsidRDefault="00F53669">
      <w:pPr>
        <w:pStyle w:val="Heading2"/>
      </w:pPr>
      <w:bookmarkStart w:id="3" w:name="_3znysh7" w:colFirst="0" w:colLast="0"/>
      <w:bookmarkEnd w:id="3"/>
      <w:r>
        <w:t>2.1 Introduction to Corporate Governance and Agency Theory</w:t>
      </w:r>
    </w:p>
    <w:p w14:paraId="6D8FA0AE" w14:textId="77777777" w:rsidR="00825517" w:rsidRDefault="00F53669">
      <w:r>
        <w:t xml:space="preserve">The operation of companies requires strategic systems that enable procedural methods for controller oversight. Corporate governance systems must ensure the responsible transparency and accountability functions of public limited liability companies (Nurunnabi, 2021). The governance mechanism establishes decision parameters for company management while simultaneously safeguarding shareholder value, which characterises board-member interactions within executive management teams (Madura, Hoque and </w:t>
      </w:r>
      <w:proofErr w:type="spellStart"/>
      <w:r>
        <w:t>Krishnamrti</w:t>
      </w:r>
      <w:proofErr w:type="spellEnd"/>
      <w:r>
        <w:t>, 2018). All UK-based public companies need to obey the UK Corporate Governance Code because it offers vital instructions about proper governance practices.</w:t>
      </w:r>
    </w:p>
    <w:p w14:paraId="3A141E22" w14:textId="77777777" w:rsidR="00825517" w:rsidRDefault="00F53669">
      <w:pPr>
        <w:jc w:val="center"/>
      </w:pPr>
      <w:r>
        <w:rPr>
          <w:noProof/>
        </w:rPr>
        <w:drawing>
          <wp:inline distT="0" distB="0" distL="0" distR="0" wp14:anchorId="35797083" wp14:editId="0EDE2B35">
            <wp:extent cx="4809765" cy="3272284"/>
            <wp:effectExtent l="0" t="0" r="0" b="0"/>
            <wp:docPr id="3" name="image3.png" descr="A diagram of a diagram&#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3.png" descr="A diagram of a diagram&#10;&#10;AI-generated content may be incorrect."/>
                    <pic:cNvPicPr preferRelativeResize="0"/>
                  </pic:nvPicPr>
                  <pic:blipFill>
                    <a:blip r:embed="rId5"/>
                    <a:srcRect/>
                    <a:stretch>
                      <a:fillRect/>
                    </a:stretch>
                  </pic:blipFill>
                  <pic:spPr>
                    <a:xfrm>
                      <a:off x="0" y="0"/>
                      <a:ext cx="4809765" cy="3272284"/>
                    </a:xfrm>
                    <a:prstGeom prst="rect">
                      <a:avLst/>
                    </a:prstGeom>
                    <a:ln/>
                  </pic:spPr>
                </pic:pic>
              </a:graphicData>
            </a:graphic>
          </wp:inline>
        </w:drawing>
      </w:r>
    </w:p>
    <w:p w14:paraId="30D4DFFC" w14:textId="77777777" w:rsidR="00825517" w:rsidRDefault="00F53669">
      <w:pPr>
        <w:jc w:val="center"/>
      </w:pPr>
      <w:r>
        <w:t>Figure 1: Corporate Governance and Agency Theory (Brigham and Daves, 2019)</w:t>
      </w:r>
    </w:p>
    <w:p w14:paraId="71A19405" w14:textId="77777777" w:rsidR="00825517" w:rsidRDefault="00F53669">
      <w:r>
        <w:t xml:space="preserve">Boards must function independently as separate entities according to the code, but board members need to provide full disclosure reports and protection systems for minority investor protection (Brigham and Daves, 2019). Financial market confidence and shareholder long-term interests serve as the main objectives that the established monitoring framework enables boards to fulfil. Strong governance systems are vital for </w:t>
      </w:r>
      <w:proofErr w:type="spellStart"/>
      <w:r>
        <w:lastRenderedPageBreak/>
        <w:t>Sibco</w:t>
      </w:r>
      <w:proofErr w:type="spellEnd"/>
      <w:r>
        <w:t xml:space="preserve"> Co. because market standards need fulfilment along with preservation of its corporate image during AIM listing procedures (Chandra, 2017). </w:t>
      </w:r>
    </w:p>
    <w:p w14:paraId="5EB87CF9" w14:textId="77777777" w:rsidR="00825517" w:rsidRDefault="00F53669">
      <w:r>
        <w:t xml:space="preserve">The principals who own shares in a company utilise agency theory to interact with their delegated agents, which consist of directors and managers. Under the outlined conditions, representatives routinely pursue decisions that place their personal interests over shareholder interests. </w:t>
      </w:r>
      <w:proofErr w:type="spellStart"/>
      <w:r>
        <w:t>Sibco</w:t>
      </w:r>
      <w:proofErr w:type="spellEnd"/>
      <w:r>
        <w:t xml:space="preserve"> Co. experiences a critical agency theory shift since family shareholders convert from widespread ownership to a position of minority stakeholders within the company (Shapiro and </w:t>
      </w:r>
      <w:proofErr w:type="spellStart"/>
      <w:r>
        <w:t>Hanouna</w:t>
      </w:r>
      <w:proofErr w:type="spellEnd"/>
      <w:r>
        <w:t>, 2019). AIM listing requires family shareholders to match their strategic objectives with those of outside investors for reaching essential shared arrangements.</w:t>
      </w:r>
    </w:p>
    <w:p w14:paraId="669F51B8" w14:textId="77777777" w:rsidR="00825517" w:rsidRDefault="00F53669">
      <w:pPr>
        <w:spacing w:line="259" w:lineRule="auto"/>
        <w:jc w:val="left"/>
        <w:rPr>
          <w:b/>
          <w:color w:val="0F4761"/>
          <w:sz w:val="28"/>
          <w:szCs w:val="28"/>
        </w:rPr>
      </w:pPr>
      <w:r>
        <w:br w:type="page"/>
      </w:r>
    </w:p>
    <w:p w14:paraId="090EE3F4" w14:textId="77777777" w:rsidR="00825517" w:rsidRDefault="00F53669">
      <w:pPr>
        <w:pStyle w:val="Heading2"/>
      </w:pPr>
      <w:bookmarkStart w:id="4" w:name="_2et92p0" w:colFirst="0" w:colLast="0"/>
      <w:bookmarkEnd w:id="4"/>
      <w:r>
        <w:lastRenderedPageBreak/>
        <w:t>2.2 Retaining Control with 30% Shareholding</w:t>
      </w:r>
    </w:p>
    <w:p w14:paraId="1B4BAE88" w14:textId="77777777" w:rsidR="00825517" w:rsidRDefault="00F53669">
      <w:pPr>
        <w:rPr>
          <w:b/>
        </w:rPr>
      </w:pPr>
      <w:r>
        <w:rPr>
          <w:b/>
        </w:rPr>
        <w:t>Dual-Class Share Structure</w:t>
      </w:r>
    </w:p>
    <w:p w14:paraId="4173554C" w14:textId="77777777" w:rsidR="00825517" w:rsidRDefault="00F53669">
      <w:r>
        <w:t>Dual class share structures stand as the most potent instrument to direct a company when minority owners hold control. The family members own Class A shares that provide superior voting rights while other share classes exist under the share structure (Baker, Kumar and Goyal, 2023). The family retains control over most voting decisions while possessing only a small 30% stake of company shares through this share structure. The family preserves their control over strategic decisions because they hold voting ri</w:t>
      </w:r>
      <w:r>
        <w:t>ghts that exceed those of external minority shareholders who own fewer company shares.</w:t>
      </w:r>
    </w:p>
    <w:p w14:paraId="009C1FCD" w14:textId="77777777" w:rsidR="00825517" w:rsidRDefault="00F53669">
      <w:pPr>
        <w:rPr>
          <w:b/>
        </w:rPr>
      </w:pPr>
      <w:r>
        <w:rPr>
          <w:b/>
        </w:rPr>
        <w:t>Shareholders’ Agreement</w:t>
      </w:r>
    </w:p>
    <w:p w14:paraId="007CB120" w14:textId="77777777" w:rsidR="00825517" w:rsidRDefault="00F53669">
      <w:r>
        <w:t>The precise nature of rights and responsibilities within shareholders’ agreements controls every shareholder, including family members who are subject to these arrangements. The shareholders' agreement allows family members to make important decisions, such as who to hire for key positions, how to develop the business model, and how to allocate funds (Kevin, 2022). The agreement defines the steps to make governance choices so family members can maintain strategic control over essential decisions even though</w:t>
      </w:r>
      <w:r>
        <w:t xml:space="preserve"> their ownership percentage falls.</w:t>
      </w:r>
    </w:p>
    <w:p w14:paraId="4AA3CE33" w14:textId="77777777" w:rsidR="00825517" w:rsidRDefault="00F53669">
      <w:pPr>
        <w:jc w:val="center"/>
      </w:pPr>
      <w:r>
        <w:rPr>
          <w:noProof/>
        </w:rPr>
        <w:drawing>
          <wp:inline distT="0" distB="0" distL="0" distR="0" wp14:anchorId="7C2C4D04" wp14:editId="4A939E92">
            <wp:extent cx="2727244" cy="1309077"/>
            <wp:effectExtent l="0" t="0" r="0" b="0"/>
            <wp:docPr id="2" name="image2.png" descr="A diagram of a diagram&#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2.png" descr="A diagram of a diagram&#10;&#10;AI-generated content may be incorrect."/>
                    <pic:cNvPicPr preferRelativeResize="0"/>
                  </pic:nvPicPr>
                  <pic:blipFill>
                    <a:blip r:embed="rId6"/>
                    <a:srcRect t="14285"/>
                    <a:stretch>
                      <a:fillRect/>
                    </a:stretch>
                  </pic:blipFill>
                  <pic:spPr>
                    <a:xfrm>
                      <a:off x="0" y="0"/>
                      <a:ext cx="2727244" cy="1309077"/>
                    </a:xfrm>
                    <a:prstGeom prst="rect">
                      <a:avLst/>
                    </a:prstGeom>
                    <a:ln/>
                  </pic:spPr>
                </pic:pic>
              </a:graphicData>
            </a:graphic>
          </wp:inline>
        </w:drawing>
      </w:r>
    </w:p>
    <w:p w14:paraId="092A5B00" w14:textId="77777777" w:rsidR="00825517" w:rsidRDefault="00F53669">
      <w:pPr>
        <w:jc w:val="center"/>
      </w:pPr>
      <w:r>
        <w:t>Figure 2: Challenges without Shareholders’ Agreement (Eun, Resnick and Chuluun, 2021)</w:t>
      </w:r>
    </w:p>
    <w:p w14:paraId="38F1B969" w14:textId="77777777" w:rsidR="00825517" w:rsidRDefault="00F53669">
      <w:pPr>
        <w:rPr>
          <w:b/>
        </w:rPr>
      </w:pPr>
      <w:r>
        <w:rPr>
          <w:b/>
        </w:rPr>
        <w:t>Board Composition and Independence</w:t>
      </w:r>
    </w:p>
    <w:p w14:paraId="2C62C3A4" w14:textId="77777777" w:rsidR="00825517" w:rsidRDefault="00F53669">
      <w:r>
        <w:t xml:space="preserve">A vital management approach requires the appointment of both family and non-family directors to the board. The family maintains the power to choose vital board members, including the chairman and CEO position, as specified by AIM governance standards </w:t>
      </w:r>
      <w:r>
        <w:lastRenderedPageBreak/>
        <w:t>while upholding proper adherence to guidelines (Eun, Resnick and Chuluun, 2021). An independent director's inclusion in the board preserves both family vision-aligned shareholder objectives and protects board decision-making from diverging from family interests.</w:t>
      </w:r>
    </w:p>
    <w:p w14:paraId="63F843E4" w14:textId="77777777" w:rsidR="00825517" w:rsidRDefault="00F53669">
      <w:pPr>
        <w:pStyle w:val="Heading2"/>
      </w:pPr>
      <w:bookmarkStart w:id="5" w:name="_tyjcwt" w:colFirst="0" w:colLast="0"/>
      <w:bookmarkEnd w:id="5"/>
      <w:r>
        <w:t>2.3 Deciding the Remuneration of Directors</w:t>
      </w:r>
    </w:p>
    <w:p w14:paraId="46516F73" w14:textId="77777777" w:rsidR="00825517" w:rsidRDefault="00F53669">
      <w:pPr>
        <w:rPr>
          <w:b/>
        </w:rPr>
      </w:pPr>
      <w:r>
        <w:rPr>
          <w:b/>
        </w:rPr>
        <w:t>Performance-Based Compensation</w:t>
      </w:r>
    </w:p>
    <w:p w14:paraId="3D2D5EA7" w14:textId="77777777" w:rsidR="00825517" w:rsidRDefault="00F53669">
      <w:r>
        <w:t>Executive directors should receive payments tied to business success and organisational growth to ensure their objectives match shareholder interests. The salary structure provided to employees must allocate bonus compensation as a reward for achieving their set targets (</w:t>
      </w:r>
      <w:proofErr w:type="spellStart"/>
      <w:r>
        <w:t>Nurgaliyeva</w:t>
      </w:r>
      <w:proofErr w:type="spellEnd"/>
      <w:r>
        <w:t xml:space="preserve">, Ismailova and </w:t>
      </w:r>
      <w:proofErr w:type="spellStart"/>
      <w:r>
        <w:t>Sarybayeva</w:t>
      </w:r>
      <w:proofErr w:type="spellEnd"/>
      <w:r>
        <w:t xml:space="preserve">, 2022). Compensation targets for the organization's director must include financial goals related to revenue and profit, as well as targets for strategic objectives and environmental, social, and governance (ESG) factors. </w:t>
      </w:r>
      <w:proofErr w:type="spellStart"/>
      <w:r>
        <w:t>Sibco</w:t>
      </w:r>
      <w:proofErr w:type="spellEnd"/>
      <w:r>
        <w:t xml:space="preserve"> Co. maintains director motivation for extended business achievement through performance-based compensation plans instead of fast-paced generation systems.</w:t>
      </w:r>
    </w:p>
    <w:p w14:paraId="1094F846" w14:textId="77777777" w:rsidR="00825517" w:rsidRDefault="00F53669">
      <w:pPr>
        <w:rPr>
          <w:b/>
        </w:rPr>
      </w:pPr>
      <w:r>
        <w:rPr>
          <w:b/>
        </w:rPr>
        <w:t>Equity-Based Compensation</w:t>
      </w:r>
    </w:p>
    <w:p w14:paraId="3E055379" w14:textId="77777777" w:rsidR="00825517" w:rsidRDefault="00F53669">
      <w:r>
        <w:t>As an effective strategy, the company should use equity-based compensation to align director goals with overall company objectives. Executive directors at the company receive stock options and restricted stock units (RSUs) as well as performance shares along with stock options, thus acquiring ownership responsibilities for the business (Ejaz et al., 2022). Directors make choices that promote shareholder value when they receive equity-based compensation because their business share price growth delivers them</w:t>
      </w:r>
      <w:r>
        <w:t xml:space="preserve"> direct financial benefits. Acting companies on AIM exploit this pay system to maintain their important key leaders in place for longer durations.</w:t>
      </w:r>
    </w:p>
    <w:p w14:paraId="6D600BB7" w14:textId="77777777" w:rsidR="00825517" w:rsidRDefault="00F53669">
      <w:pPr>
        <w:rPr>
          <w:b/>
        </w:rPr>
      </w:pPr>
      <w:r>
        <w:rPr>
          <w:b/>
        </w:rPr>
        <w:t>Independent Remuneration Committee</w:t>
      </w:r>
    </w:p>
    <w:p w14:paraId="18AE659E" w14:textId="77777777" w:rsidR="00825517" w:rsidRDefault="00F53669">
      <w:r>
        <w:t xml:space="preserve">For </w:t>
      </w:r>
      <w:proofErr w:type="spellStart"/>
      <w:r>
        <w:t>Sibco</w:t>
      </w:r>
      <w:proofErr w:type="spellEnd"/>
      <w:r>
        <w:t xml:space="preserve"> Co. to establish transparency and fairness, it needs to build an independent remuneration committee. The independent remuneration committee at </w:t>
      </w:r>
      <w:proofErr w:type="spellStart"/>
      <w:r>
        <w:t>Sibco</w:t>
      </w:r>
      <w:proofErr w:type="spellEnd"/>
      <w:r>
        <w:t xml:space="preserve"> Co. must consist entirely of directors without any executive responsibilities in the company. A </w:t>
      </w:r>
      <w:r>
        <w:lastRenderedPageBreak/>
        <w:t>committee member of the pay organisation needs to create compensation plans based on information collected from comparable firms and assess individual development as well as performance outcomes (Eun, Resnick and Chuluun, 2021). The appointed committee function</w:t>
      </w:r>
      <w:r>
        <w:t>s to confirm that executive pay remains proportionate to shareholder approval policies.</w:t>
      </w:r>
    </w:p>
    <w:p w14:paraId="757D14DE" w14:textId="77777777" w:rsidR="00825517" w:rsidRDefault="00F53669">
      <w:pPr>
        <w:rPr>
          <w:b/>
        </w:rPr>
      </w:pPr>
      <w:r>
        <w:rPr>
          <w:b/>
        </w:rPr>
        <w:t>External Benchmarking</w:t>
      </w:r>
    </w:p>
    <w:p w14:paraId="5A968ADF" w14:textId="77777777" w:rsidR="00825517" w:rsidRDefault="00F53669">
      <w:r>
        <w:t xml:space="preserve">Directors should evaluate their compensation by reviewing the pay levels of comparable businesses in their industry sector to defend fair pay practices and industry competitiveness (Madura, Hoque and </w:t>
      </w:r>
      <w:proofErr w:type="spellStart"/>
      <w:r>
        <w:t>Krishnamrti</w:t>
      </w:r>
      <w:proofErr w:type="spellEnd"/>
      <w:r>
        <w:t>, 2018). Exterior consultation firms specialising in compensation practices supply organisations with relevant compensation data regarding industry standards. Director compensation runs through benchmarking protocols that restrict excessive payouts while confirming a level of competitiveness for recruitment and staff retention needs.</w:t>
      </w:r>
    </w:p>
    <w:p w14:paraId="5C5A8186" w14:textId="77777777" w:rsidR="00825517" w:rsidRDefault="00F53669">
      <w:pPr>
        <w:pStyle w:val="Heading2"/>
        <w:rPr>
          <w:sz w:val="27"/>
          <w:szCs w:val="27"/>
        </w:rPr>
      </w:pPr>
      <w:bookmarkStart w:id="6" w:name="_3dy6vkm" w:colFirst="0" w:colLast="0"/>
      <w:bookmarkEnd w:id="6"/>
      <w:r>
        <w:t>2.4 Institutional Differences: Shanghai vs. The Netherlands</w:t>
      </w:r>
    </w:p>
    <w:p w14:paraId="1727DCD4" w14:textId="77777777" w:rsidR="00825517" w:rsidRDefault="00F53669">
      <w:pPr>
        <w:rPr>
          <w:b/>
        </w:rPr>
      </w:pPr>
      <w:r>
        <w:rPr>
          <w:b/>
        </w:rPr>
        <w:t>Corporate Governance in Shanghai (China)</w:t>
      </w:r>
    </w:p>
    <w:p w14:paraId="6F4F811D" w14:textId="77777777" w:rsidR="00825517" w:rsidRDefault="00F53669">
      <w:proofErr w:type="spellStart"/>
      <w:r>
        <w:t>Sibco</w:t>
      </w:r>
      <w:proofErr w:type="spellEnd"/>
      <w:r>
        <w:t xml:space="preserve"> Co. needs to perform a comparison of vital institutional systems between Shanghai and the Netherlands before choosing their headquarters' relocation destination and stock market listing locations. The parent company of corporate governance in Shanghai functions under China Securities Regulatory Commission oversight while state control maintains dominance, especially in strategic industries. International governance practices adopted by China do not create similar board independence that exists among Wester</w:t>
      </w:r>
      <w:r>
        <w:t>n boards (Eun, Resnick and Chuluun, 2021). The board struggles with managing potential governmental pressure because family control continues to maintain its influence. The political atmosphere demands that relatives in charge of decision-making evaluate their choices because political conditions may disrupt operational activities.</w:t>
      </w:r>
    </w:p>
    <w:p w14:paraId="5819160B" w14:textId="77777777" w:rsidR="00825517" w:rsidRDefault="00F53669">
      <w:r>
        <w:rPr>
          <w:b/>
        </w:rPr>
        <w:t>Corporate Governance in the Netherlands</w:t>
      </w:r>
      <w:r>
        <w:t xml:space="preserve"> </w:t>
      </w:r>
    </w:p>
    <w:p w14:paraId="556F7C09" w14:textId="77777777" w:rsidR="00825517" w:rsidRDefault="00F53669">
      <w:r>
        <w:t xml:space="preserve">Organisations implementing Dutch Corporate Governance Code standards must achieve maximum transparency along with full operational accountability. A company operating </w:t>
      </w:r>
      <w:r>
        <w:lastRenderedPageBreak/>
        <w:t>under the Dutch model needs to serve four key interests, which include shareholders and workforce members as well as the public community together with the surrounding environment (Ejaz et al.,, 2022). The business framework of this country delivers effective protection for minority stockholders through distinct safeguards that fix the connection between directorships and shareholder rights. Through such a governance framework, the government aims to achieve a better balance of authority between decision-ma</w:t>
      </w:r>
      <w:r>
        <w:t>king entities while focusing on long-term strategies.</w:t>
      </w:r>
    </w:p>
    <w:p w14:paraId="30F64F85" w14:textId="77777777" w:rsidR="00825517" w:rsidRDefault="00F53669">
      <w:r>
        <w:rPr>
          <w:b/>
        </w:rPr>
        <w:t>Regulatory and Tax Considerations</w:t>
      </w:r>
      <w:r>
        <w:t xml:space="preserve"> </w:t>
      </w:r>
    </w:p>
    <w:p w14:paraId="74556A85" w14:textId="77777777" w:rsidR="00825517" w:rsidRDefault="00F53669">
      <w:r>
        <w:t xml:space="preserve">The finance regulatory framework of Shanghai grants international concerns different monetary exemptions than those applied to domestic companies. The Dutch tax system supports organisations by providing benefits through its Innovation Box features to high-tech innovation entities. International investors find the Netherlands enticing due to its multiple legal protections, which serve as an attractive feature (Ejaz et al., 2022). The decision at </w:t>
      </w:r>
      <w:proofErr w:type="spellStart"/>
      <w:r>
        <w:t>Sibco</w:t>
      </w:r>
      <w:proofErr w:type="spellEnd"/>
      <w:r>
        <w:t xml:space="preserve"> Co. will rely on their future direction combined with their investor needs alongside their capability to function under regulations from Shanghai or the Netherlands. The family needs to determine if Dutch shareholders' legal protections make their decision to partner with the Netherlands better than accepting Shanghai's governance interference.</w:t>
      </w:r>
    </w:p>
    <w:p w14:paraId="0BE45BEB" w14:textId="77777777" w:rsidR="00825517" w:rsidRDefault="00F53669">
      <w:pPr>
        <w:spacing w:line="259" w:lineRule="auto"/>
        <w:jc w:val="left"/>
        <w:rPr>
          <w:b/>
          <w:color w:val="0C3512"/>
          <w:sz w:val="32"/>
          <w:szCs w:val="32"/>
        </w:rPr>
      </w:pPr>
      <w:r>
        <w:br w:type="page"/>
      </w:r>
    </w:p>
    <w:p w14:paraId="52A6F38D" w14:textId="77777777" w:rsidR="00825517" w:rsidRDefault="00F53669">
      <w:pPr>
        <w:pStyle w:val="Heading1"/>
      </w:pPr>
      <w:bookmarkStart w:id="7" w:name="_1t3h5sf" w:colFirst="0" w:colLast="0"/>
      <w:bookmarkEnd w:id="7"/>
      <w:r>
        <w:lastRenderedPageBreak/>
        <w:t>3.0 Conclusion</w:t>
      </w:r>
    </w:p>
    <w:p w14:paraId="69DA565D" w14:textId="77777777" w:rsidR="00825517" w:rsidRDefault="00F53669">
      <w:r>
        <w:t xml:space="preserve">Family shareholders at </w:t>
      </w:r>
      <w:proofErr w:type="spellStart"/>
      <w:r>
        <w:t>Sibco</w:t>
      </w:r>
      <w:proofErr w:type="spellEnd"/>
      <w:r>
        <w:t xml:space="preserve"> Co. must handle comprehensive governance and financial matters for their AIM listing to retain control authority and implement industrial norms. The long-term development and shareholder cohesion between organisations rely on corporate governance frameworks formed by dual-class share patterns and director compensation measured in performance metrics. Companies must analyse all aspects of regulatory and tax policies and corporate governance frameworks in Shanghai and the Netherlands before selecting a </w:t>
      </w:r>
      <w:r>
        <w:t>location. The family requirements lead them to make choices through comprehensive understanding that defends their corporate interests, builds market trust, and keeps their business thriving.</w:t>
      </w:r>
    </w:p>
    <w:p w14:paraId="78302E6F" w14:textId="77777777" w:rsidR="00825517" w:rsidRDefault="00F53669">
      <w:pPr>
        <w:spacing w:line="259" w:lineRule="auto"/>
        <w:jc w:val="left"/>
        <w:rPr>
          <w:b/>
          <w:color w:val="0C3512"/>
          <w:sz w:val="32"/>
          <w:szCs w:val="32"/>
        </w:rPr>
      </w:pPr>
      <w:r>
        <w:br w:type="page"/>
      </w:r>
    </w:p>
    <w:p w14:paraId="6B7253CE" w14:textId="77777777" w:rsidR="00825517" w:rsidRDefault="00F53669">
      <w:pPr>
        <w:pStyle w:val="Heading1"/>
      </w:pPr>
      <w:bookmarkStart w:id="8" w:name="_4d34og8" w:colFirst="0" w:colLast="0"/>
      <w:bookmarkEnd w:id="8"/>
      <w:r>
        <w:lastRenderedPageBreak/>
        <w:t>4.0 Recommendations</w:t>
      </w:r>
    </w:p>
    <w:p w14:paraId="1C05ECDD" w14:textId="77777777" w:rsidR="00825517" w:rsidRDefault="00F53669">
      <w:r>
        <w:t xml:space="preserve">As the sole holders of dual-class shares, </w:t>
      </w:r>
      <w:proofErr w:type="spellStart"/>
      <w:r>
        <w:t>Sibco</w:t>
      </w:r>
      <w:proofErr w:type="spellEnd"/>
      <w:r>
        <w:t xml:space="preserve"> Co. keeps operational control even with their 30% stake position to avoid administrative changes. Establishing shareholders' agreements necessitates the inclusion of veto rights definitions to safeguard the crucial control over business decisions by family stakeholders. Directors should mainly be paid through performance-based incentives and stock rewards. This encourages them to achieve great results that benefit shareholders. Transparency in compensation and fairness are achievable through an unbias</w:t>
      </w:r>
      <w:r>
        <w:t xml:space="preserve">ed remuneration committee. The family should assess Shanghai and the Netherlands through a comparison of Dutch tax regulations with Chinese rules and shareholder protection standards. </w:t>
      </w:r>
      <w:proofErr w:type="spellStart"/>
      <w:r>
        <w:t>Sibco's</w:t>
      </w:r>
      <w:proofErr w:type="spellEnd"/>
      <w:r>
        <w:t xml:space="preserve"> expansion goals match the Netherlands' governance system because it presents clear governance processes with equally balanced organisational structures.</w:t>
      </w:r>
    </w:p>
    <w:p w14:paraId="2A5CAAD6" w14:textId="77777777" w:rsidR="00825517" w:rsidRDefault="00F53669">
      <w:pPr>
        <w:spacing w:line="259" w:lineRule="auto"/>
        <w:jc w:val="left"/>
      </w:pPr>
      <w:r>
        <w:br w:type="page"/>
      </w:r>
    </w:p>
    <w:p w14:paraId="40129155" w14:textId="77777777" w:rsidR="00825517" w:rsidRDefault="00F53669">
      <w:pPr>
        <w:pStyle w:val="Heading1"/>
      </w:pPr>
      <w:bookmarkStart w:id="9" w:name="_2s8eyo1" w:colFirst="0" w:colLast="0"/>
      <w:bookmarkEnd w:id="9"/>
      <w:r>
        <w:lastRenderedPageBreak/>
        <w:t>References</w:t>
      </w:r>
    </w:p>
    <w:p w14:paraId="235E4F8F" w14:textId="77777777" w:rsidR="00825517" w:rsidRDefault="00F53669">
      <w:r>
        <w:t xml:space="preserve">Baker, H. K., Kumar, S., and Goyal, K. (2023). Publication trends in the journal of international financial management and accounting: a retrospective review. </w:t>
      </w:r>
      <w:r>
        <w:rPr>
          <w:i/>
        </w:rPr>
        <w:t>Journal of International Financial Management and Accounting</w:t>
      </w:r>
      <w:r>
        <w:t xml:space="preserve">, </w:t>
      </w:r>
      <w:r>
        <w:rPr>
          <w:i/>
        </w:rPr>
        <w:t>34</w:t>
      </w:r>
      <w:r>
        <w:t>(2), 131-161.</w:t>
      </w:r>
    </w:p>
    <w:p w14:paraId="741EE714" w14:textId="77777777" w:rsidR="00825517" w:rsidRDefault="00F53669">
      <w:r>
        <w:t xml:space="preserve">Brigham, E. F., and Daves, P. R. (2019). </w:t>
      </w:r>
      <w:r>
        <w:rPr>
          <w:i/>
        </w:rPr>
        <w:t>Intermediate financial management</w:t>
      </w:r>
      <w:r>
        <w:t>. Cengage Learning.</w:t>
      </w:r>
    </w:p>
    <w:p w14:paraId="6093EB11" w14:textId="77777777" w:rsidR="00825517" w:rsidRDefault="00F53669">
      <w:r>
        <w:t xml:space="preserve">Chandra, P. (2017). </w:t>
      </w:r>
      <w:r>
        <w:rPr>
          <w:i/>
        </w:rPr>
        <w:t>Fundamentals of financial management</w:t>
      </w:r>
      <w:r>
        <w:t>. McGraw Hill Education.</w:t>
      </w:r>
    </w:p>
    <w:p w14:paraId="25ADCE4F" w14:textId="77777777" w:rsidR="00825517" w:rsidRDefault="00F53669">
      <w:r>
        <w:t xml:space="preserve">Ejaz, R., Ashraf, S., Hassan, A., and Gupta, A. (2022). An empirical investigation of market risk, dependence structure, and portfolio management between green bonds and international financial markets. </w:t>
      </w:r>
      <w:r>
        <w:rPr>
          <w:i/>
        </w:rPr>
        <w:t>Journal of Cleaner Production</w:t>
      </w:r>
      <w:r>
        <w:t xml:space="preserve">, </w:t>
      </w:r>
      <w:r>
        <w:rPr>
          <w:i/>
        </w:rPr>
        <w:t>365</w:t>
      </w:r>
      <w:r>
        <w:t>, 132666.</w:t>
      </w:r>
    </w:p>
    <w:p w14:paraId="17D06C17" w14:textId="77777777" w:rsidR="00825517" w:rsidRDefault="00F53669">
      <w:r>
        <w:t xml:space="preserve">Eun, C. S., Resnick, B. G., and Chuluun, T. (2021). </w:t>
      </w:r>
      <w:r>
        <w:rPr>
          <w:i/>
        </w:rPr>
        <w:t>International financial management</w:t>
      </w:r>
      <w:r>
        <w:t>. McGraw-Hill.</w:t>
      </w:r>
    </w:p>
    <w:p w14:paraId="31CF7B75" w14:textId="77777777" w:rsidR="00825517" w:rsidRDefault="00F53669">
      <w:r>
        <w:t xml:space="preserve">Kevin, S. (2022). </w:t>
      </w:r>
      <w:r>
        <w:rPr>
          <w:i/>
        </w:rPr>
        <w:t>Fundamentals of international financial management</w:t>
      </w:r>
      <w:r>
        <w:t xml:space="preserve">. PHI Learning </w:t>
      </w:r>
      <w:proofErr w:type="spellStart"/>
      <w:r>
        <w:t>Pvt.</w:t>
      </w:r>
      <w:proofErr w:type="spellEnd"/>
      <w:r>
        <w:t xml:space="preserve"> Ltd..</w:t>
      </w:r>
    </w:p>
    <w:p w14:paraId="7FC00DD1" w14:textId="77777777" w:rsidR="00825517" w:rsidRPr="00F53669" w:rsidRDefault="00F53669">
      <w:pPr>
        <w:rPr>
          <w:lang w:val="fr-FR"/>
        </w:rPr>
      </w:pPr>
      <w:r>
        <w:t xml:space="preserve">Madura, J., Hoque, A., and </w:t>
      </w:r>
      <w:proofErr w:type="spellStart"/>
      <w:r>
        <w:t>Krishnamrti</w:t>
      </w:r>
      <w:proofErr w:type="spellEnd"/>
      <w:r>
        <w:t xml:space="preserve">, C. (2018). </w:t>
      </w:r>
      <w:r w:rsidRPr="00F53669">
        <w:rPr>
          <w:i/>
          <w:lang w:val="fr-FR"/>
        </w:rPr>
        <w:t xml:space="preserve">International </w:t>
      </w:r>
      <w:proofErr w:type="spellStart"/>
      <w:r w:rsidRPr="00F53669">
        <w:rPr>
          <w:i/>
          <w:lang w:val="fr-FR"/>
        </w:rPr>
        <w:t>financial</w:t>
      </w:r>
      <w:proofErr w:type="spellEnd"/>
      <w:r w:rsidRPr="00F53669">
        <w:rPr>
          <w:i/>
          <w:lang w:val="fr-FR"/>
        </w:rPr>
        <w:t xml:space="preserve"> management</w:t>
      </w:r>
      <w:r w:rsidRPr="00F53669">
        <w:rPr>
          <w:lang w:val="fr-FR"/>
        </w:rPr>
        <w:t xml:space="preserve">. </w:t>
      </w:r>
      <w:proofErr w:type="spellStart"/>
      <w:r w:rsidRPr="00F53669">
        <w:rPr>
          <w:lang w:val="fr-FR"/>
        </w:rPr>
        <w:t>Cengage</w:t>
      </w:r>
      <w:proofErr w:type="spellEnd"/>
      <w:r w:rsidRPr="00F53669">
        <w:rPr>
          <w:lang w:val="fr-FR"/>
        </w:rPr>
        <w:t xml:space="preserve"> AU.</w:t>
      </w:r>
    </w:p>
    <w:p w14:paraId="05DF14B9" w14:textId="77777777" w:rsidR="00825517" w:rsidRDefault="00F53669">
      <w:proofErr w:type="spellStart"/>
      <w:r>
        <w:t>Nurgaliyeva</w:t>
      </w:r>
      <w:proofErr w:type="spellEnd"/>
      <w:r>
        <w:t xml:space="preserve">, A., Ismailova, D., and </w:t>
      </w:r>
      <w:proofErr w:type="spellStart"/>
      <w:r>
        <w:t>Sarybayeva</w:t>
      </w:r>
      <w:proofErr w:type="spellEnd"/>
      <w:r>
        <w:t xml:space="preserve">, I. (2022). Regarding the prospects for the introduction of the budgeting system of international financial organizations of the future. </w:t>
      </w:r>
      <w:r>
        <w:rPr>
          <w:i/>
        </w:rPr>
        <w:t>Futurity Economics and Law</w:t>
      </w:r>
      <w:r>
        <w:t xml:space="preserve">, </w:t>
      </w:r>
      <w:r>
        <w:rPr>
          <w:i/>
        </w:rPr>
        <w:t>2</w:t>
      </w:r>
      <w:r>
        <w:t>(3), 38-47.</w:t>
      </w:r>
    </w:p>
    <w:p w14:paraId="5A2AB22E" w14:textId="77777777" w:rsidR="00825517" w:rsidRDefault="00F53669">
      <w:r>
        <w:t xml:space="preserve">Nurunnabi, M. (2021). Implementation of international financial reporting standards (IFRS) in developing countries. In </w:t>
      </w:r>
      <w:r>
        <w:rPr>
          <w:i/>
        </w:rPr>
        <w:t>International Financial Reporting Standards Implementation: A Global Experience</w:t>
      </w:r>
      <w:r>
        <w:t xml:space="preserve"> (pp. 11-76). Emerald Publishing Limited.</w:t>
      </w:r>
    </w:p>
    <w:p w14:paraId="330278A9" w14:textId="77777777" w:rsidR="00825517" w:rsidRDefault="00F53669">
      <w:r>
        <w:t xml:space="preserve">Shapiro, A. C., and </w:t>
      </w:r>
      <w:proofErr w:type="spellStart"/>
      <w:r>
        <w:t>Hanouna</w:t>
      </w:r>
      <w:proofErr w:type="spellEnd"/>
      <w:r>
        <w:t>, P. (2019). Multinational financial management. John Wiley and Sons.</w:t>
      </w:r>
    </w:p>
    <w:p w14:paraId="00DBBF18" w14:textId="77777777" w:rsidR="00825517" w:rsidRDefault="00825517"/>
    <w:p w14:paraId="093EAB14" w14:textId="77777777" w:rsidR="00825517" w:rsidRDefault="00825517"/>
    <w:p w14:paraId="4435C9F3" w14:textId="77777777" w:rsidR="00825517" w:rsidRDefault="00825517"/>
    <w:p w14:paraId="5E9150A5" w14:textId="77777777" w:rsidR="00825517" w:rsidRDefault="00825517"/>
    <w:p w14:paraId="07CFB88A" w14:textId="77777777" w:rsidR="00825517" w:rsidRDefault="00825517"/>
    <w:p w14:paraId="46E73D81" w14:textId="77777777" w:rsidR="00825517" w:rsidRDefault="00825517"/>
    <w:p w14:paraId="302F609F" w14:textId="77777777" w:rsidR="00825517" w:rsidRDefault="00825517"/>
    <w:p w14:paraId="249A76AD" w14:textId="77777777" w:rsidR="00825517" w:rsidRDefault="00825517"/>
    <w:p w14:paraId="54C78631" w14:textId="77777777" w:rsidR="00825517" w:rsidRDefault="00825517"/>
    <w:sectPr w:rsidR="0082551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Play">
    <w:altName w:val="Calibri"/>
    <w:charset w:val="00"/>
    <w:family w:val="auto"/>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5517"/>
    <w:rsid w:val="006E6C14"/>
    <w:rsid w:val="00825517"/>
    <w:rsid w:val="00F53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CFCE7"/>
  <w15:docId w15:val="{03D7FC72-3913-4DF7-A5BD-C4CC83F55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0C3512"/>
      <w:sz w:val="32"/>
      <w:szCs w:val="32"/>
    </w:rPr>
  </w:style>
  <w:style w:type="paragraph" w:styleId="Heading2">
    <w:name w:val="heading 2"/>
    <w:basedOn w:val="Normal"/>
    <w:next w:val="Normal"/>
    <w:uiPriority w:val="9"/>
    <w:unhideWhenUsed/>
    <w:qFormat/>
    <w:pPr>
      <w:keepNext/>
      <w:keepLines/>
      <w:spacing w:before="160" w:after="80"/>
      <w:outlineLvl w:val="1"/>
    </w:pPr>
    <w:rPr>
      <w:b/>
      <w:color w:val="0F4761"/>
      <w:sz w:val="28"/>
      <w:szCs w:val="28"/>
    </w:rPr>
  </w:style>
  <w:style w:type="paragraph" w:styleId="Heading3">
    <w:name w:val="heading 3"/>
    <w:basedOn w:val="Normal"/>
    <w:next w:val="Normal"/>
    <w:uiPriority w:val="9"/>
    <w:semiHidden/>
    <w:unhideWhenUsed/>
    <w:qFormat/>
    <w:pPr>
      <w:keepNext/>
      <w:keepLines/>
      <w:spacing w:before="160" w:after="80"/>
      <w:outlineLvl w:val="2"/>
    </w:pPr>
    <w:rPr>
      <w:rFonts w:ascii="Aptos" w:eastAsia="Aptos" w:hAnsi="Aptos" w:cs="Aptos"/>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ascii="Aptos" w:eastAsia="Aptos" w:hAnsi="Aptos" w:cs="Aptos"/>
      <w:i/>
      <w:color w:val="0F4761"/>
    </w:rPr>
  </w:style>
  <w:style w:type="paragraph" w:styleId="Heading5">
    <w:name w:val="heading 5"/>
    <w:basedOn w:val="Normal"/>
    <w:next w:val="Normal"/>
    <w:uiPriority w:val="9"/>
    <w:semiHidden/>
    <w:unhideWhenUsed/>
    <w:qFormat/>
    <w:pPr>
      <w:keepNext/>
      <w:keepLines/>
      <w:spacing w:before="80" w:after="40"/>
      <w:outlineLvl w:val="4"/>
    </w:pPr>
    <w:rPr>
      <w:rFonts w:ascii="Aptos" w:eastAsia="Aptos" w:hAnsi="Aptos" w:cs="Aptos"/>
      <w:color w:val="0F4761"/>
    </w:rPr>
  </w:style>
  <w:style w:type="paragraph" w:styleId="Heading6">
    <w:name w:val="heading 6"/>
    <w:basedOn w:val="Normal"/>
    <w:next w:val="Normal"/>
    <w:uiPriority w:val="9"/>
    <w:semiHidden/>
    <w:unhideWhenUsed/>
    <w:qFormat/>
    <w:pPr>
      <w:keepNext/>
      <w:keepLines/>
      <w:spacing w:before="40" w:after="0"/>
      <w:outlineLvl w:val="5"/>
    </w:pPr>
    <w:rPr>
      <w:rFonts w:ascii="Aptos" w:eastAsia="Aptos" w:hAnsi="Aptos" w:cs="Aptos"/>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rFonts w:ascii="Aptos" w:eastAsia="Aptos" w:hAnsi="Aptos" w:cs="Aptos"/>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2195</Words>
  <Characters>12517</Characters>
  <Application>Microsoft Office Word</Application>
  <DocSecurity>0</DocSecurity>
  <Lines>104</Lines>
  <Paragraphs>29</Paragraphs>
  <ScaleCrop>false</ScaleCrop>
  <Company/>
  <LinksUpToDate>false</LinksUpToDate>
  <CharactersWithSpaces>14683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viori</dc:creator>
  <cp:lastModifiedBy>vioricabirloiu@gmail.com</cp:lastModifiedBy>
  <cp:revision>2</cp:revision>
  <dcterms:created xsi:type="dcterms:W3CDTF">2025-02-23T09:33:00Z</dcterms:created>
  <dcterms:modified xsi:type="dcterms:W3CDTF">2025-02-23T09:33:00Z</dcterms:modified>
</cp:coreProperties>
</file>