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2EB54C5" w:rsidR="00986B43" w:rsidRPr="00286643" w:rsidRDefault="00986B43" w:rsidP="005D3F07">
            <w:pPr>
              <w:overflowPunct/>
              <w:autoSpaceDE/>
              <w:autoSpaceDN/>
              <w:adjustRightInd/>
              <w:ind w:right="-957"/>
              <w:textAlignment w:val="auto"/>
              <w:rPr>
                <w:rFonts w:ascii="Times New Roman" w:hAnsi="Times New Roman" w:cs="Times New Roman"/>
                <w:b/>
                <w:color w:val="auto"/>
                <w:sz w:val="40"/>
                <w:szCs w:val="40"/>
              </w:rPr>
            </w:pPr>
            <w:r w:rsidRPr="00286643">
              <w:rPr>
                <w:rFonts w:ascii="Times New Roman" w:hAnsi="Times New Roman" w:cs="Times New Roman"/>
                <w:b/>
                <w:color w:val="auto"/>
                <w:sz w:val="40"/>
                <w:szCs w:val="40"/>
              </w:rPr>
              <w:t>Learner’s name:</w:t>
            </w:r>
            <w:r w:rsidR="00247265" w:rsidRPr="00286643">
              <w:rPr>
                <w:rFonts w:ascii="Times New Roman" w:hAnsi="Times New Roman" w:cs="Times New Roman"/>
                <w:b/>
                <w:color w:val="auto"/>
                <w:sz w:val="40"/>
                <w:szCs w:val="40"/>
              </w:rPr>
              <w:t xml:space="preserve"> </w:t>
            </w:r>
            <w:r w:rsidR="00286643">
              <w:rPr>
                <w:rFonts w:ascii="Times New Roman" w:hAnsi="Times New Roman" w:cs="Times New Roman"/>
                <w:b/>
                <w:color w:val="auto"/>
                <w:sz w:val="40"/>
                <w:szCs w:val="40"/>
              </w:rPr>
              <w:t>Jessica Worthington</w:t>
            </w:r>
          </w:p>
          <w:p w14:paraId="0B6CD0DB" w14:textId="689515B5" w:rsidR="009C337F" w:rsidRPr="00286643" w:rsidRDefault="009C337F" w:rsidP="005D3F07">
            <w:pPr>
              <w:overflowPunct/>
              <w:autoSpaceDE/>
              <w:autoSpaceDN/>
              <w:adjustRightInd/>
              <w:ind w:right="-957"/>
              <w:textAlignment w:val="auto"/>
              <w:rPr>
                <w:rFonts w:ascii="Times New Roman" w:hAnsi="Times New Roman" w:cs="Times New Roman"/>
                <w:b/>
                <w:color w:val="auto"/>
                <w:sz w:val="40"/>
                <w:szCs w:val="40"/>
              </w:rPr>
            </w:pPr>
          </w:p>
          <w:p w14:paraId="3A6EAAC7" w14:textId="2857098F" w:rsidR="009C337F" w:rsidRPr="00286643" w:rsidRDefault="009C337F" w:rsidP="005D3F07">
            <w:pPr>
              <w:overflowPunct/>
              <w:autoSpaceDE/>
              <w:autoSpaceDN/>
              <w:adjustRightInd/>
              <w:ind w:right="-957"/>
              <w:textAlignment w:val="auto"/>
              <w:rPr>
                <w:rFonts w:ascii="Times New Roman" w:hAnsi="Times New Roman" w:cs="Times New Roman"/>
                <w:b/>
                <w:color w:val="auto"/>
                <w:sz w:val="40"/>
                <w:szCs w:val="40"/>
              </w:rPr>
            </w:pPr>
            <w:r w:rsidRPr="00286643">
              <w:rPr>
                <w:rFonts w:ascii="Times New Roman" w:hAnsi="Times New Roman" w:cs="Times New Roman"/>
                <w:b/>
                <w:color w:val="auto"/>
                <w:sz w:val="40"/>
                <w:szCs w:val="40"/>
              </w:rPr>
              <w:t>Email address:</w:t>
            </w:r>
            <w:r w:rsidR="00286643">
              <w:rPr>
                <w:rFonts w:ascii="Times New Roman" w:hAnsi="Times New Roman" w:cs="Times New Roman"/>
                <w:b/>
                <w:color w:val="auto"/>
                <w:sz w:val="40"/>
                <w:szCs w:val="40"/>
              </w:rPr>
              <w:t xml:space="preserve"> Jessica.worthington@powys.gov.uk</w:t>
            </w:r>
          </w:p>
          <w:p w14:paraId="22E38809" w14:textId="77777777" w:rsidR="00986B43" w:rsidRPr="00286643" w:rsidRDefault="00986B43" w:rsidP="005D3F07">
            <w:pPr>
              <w:overflowPunct/>
              <w:autoSpaceDE/>
              <w:autoSpaceDN/>
              <w:adjustRightInd/>
              <w:ind w:right="-957"/>
              <w:textAlignment w:val="auto"/>
              <w:rPr>
                <w:rFonts w:ascii="Times New Roman" w:hAnsi="Times New Roman" w:cs="Times New Roman"/>
                <w:b/>
                <w:color w:val="auto"/>
                <w:sz w:val="40"/>
                <w:szCs w:val="40"/>
              </w:rPr>
            </w:pPr>
          </w:p>
          <w:p w14:paraId="0DE696B2" w14:textId="5679C759" w:rsidR="00F927A1" w:rsidRPr="00286643" w:rsidRDefault="0085230E" w:rsidP="005D3F07">
            <w:pPr>
              <w:overflowPunct/>
              <w:autoSpaceDE/>
              <w:autoSpaceDN/>
              <w:adjustRightInd/>
              <w:ind w:right="-957"/>
              <w:textAlignment w:val="auto"/>
              <w:rPr>
                <w:rFonts w:ascii="Times New Roman" w:hAnsi="Times New Roman" w:cs="Times New Roman"/>
                <w:b/>
                <w:color w:val="auto"/>
                <w:sz w:val="40"/>
                <w:szCs w:val="40"/>
              </w:rPr>
            </w:pPr>
            <w:r w:rsidRPr="00286643">
              <w:rPr>
                <w:rFonts w:ascii="Times New Roman" w:hAnsi="Times New Roman" w:cs="Times New Roman"/>
                <w:b/>
                <w:color w:val="auto"/>
                <w:sz w:val="40"/>
                <w:szCs w:val="40"/>
              </w:rPr>
              <w:t>Learner’s University Registration</w:t>
            </w:r>
            <w:r w:rsidR="00F927A1" w:rsidRPr="00286643">
              <w:rPr>
                <w:rFonts w:ascii="Times New Roman" w:hAnsi="Times New Roman" w:cs="Times New Roman"/>
                <w:b/>
                <w:color w:val="auto"/>
                <w:sz w:val="40"/>
                <w:szCs w:val="40"/>
              </w:rPr>
              <w:t xml:space="preserve"> Number:</w:t>
            </w:r>
            <w:r w:rsidR="00286643">
              <w:rPr>
                <w:rFonts w:ascii="Times New Roman" w:hAnsi="Times New Roman" w:cs="Times New Roman"/>
                <w:b/>
                <w:color w:val="auto"/>
                <w:sz w:val="40"/>
                <w:szCs w:val="40"/>
              </w:rPr>
              <w:t xml:space="preserve"> 2416351</w:t>
            </w:r>
          </w:p>
          <w:p w14:paraId="622FD17A" w14:textId="77777777" w:rsidR="0085230E" w:rsidRPr="00286643" w:rsidRDefault="0085230E" w:rsidP="005D3F07">
            <w:pPr>
              <w:overflowPunct/>
              <w:autoSpaceDE/>
              <w:autoSpaceDN/>
              <w:adjustRightInd/>
              <w:ind w:right="-957"/>
              <w:textAlignment w:val="auto"/>
              <w:rPr>
                <w:rFonts w:ascii="Times New Roman" w:hAnsi="Times New Roman" w:cs="Times New Roman"/>
                <w:b/>
                <w:color w:val="auto"/>
                <w:sz w:val="40"/>
                <w:szCs w:val="40"/>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286643">
              <w:rPr>
                <w:rFonts w:ascii="Times New Roman" w:hAnsi="Times New Roman" w:cs="Times New Roman"/>
                <w:b/>
                <w:color w:val="auto"/>
                <w:sz w:val="40"/>
                <w:szCs w:val="40"/>
              </w:rPr>
              <w:t xml:space="preserve">Cohort: </w:t>
            </w:r>
            <w:r w:rsidR="0049374F" w:rsidRPr="00286643">
              <w:rPr>
                <w:rFonts w:ascii="Times New Roman" w:hAnsi="Times New Roman" w:cs="Times New Roman"/>
                <w:b/>
                <w:color w:val="auto"/>
                <w:sz w:val="40"/>
                <w:szCs w:val="40"/>
              </w:rPr>
              <w:t>21</w:t>
            </w:r>
            <w:r w:rsidR="00AE6231" w:rsidRPr="00286643">
              <w:rPr>
                <w:rFonts w:ascii="Times New Roman" w:hAnsi="Times New Roman" w:cs="Times New Roman"/>
                <w:b/>
                <w:color w:val="auto"/>
                <w:sz w:val="40"/>
                <w:szCs w:val="40"/>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2D39F55A" w14:textId="77777777" w:rsidR="000D4E4D" w:rsidRDefault="000D4E4D" w:rsidP="006B2434">
            <w:pPr>
              <w:rPr>
                <w:sz w:val="24"/>
                <w:szCs w:val="24"/>
              </w:rPr>
            </w:pPr>
          </w:p>
          <w:p w14:paraId="0318E819" w14:textId="12FF72BC" w:rsidR="00FC0334" w:rsidRPr="00F91E3C" w:rsidRDefault="00286643" w:rsidP="006B2434">
            <w:pPr>
              <w:rPr>
                <w:sz w:val="24"/>
                <w:szCs w:val="24"/>
              </w:rPr>
            </w:pPr>
            <w:r>
              <w:rPr>
                <w:sz w:val="24"/>
                <w:szCs w:val="24"/>
              </w:rPr>
              <w:t>In Wales, adult safeguarding is underpinned by both national UK legislation and Welsh specific policies and procedures, ensuring a comprehensive and rights-based approach.</w:t>
            </w:r>
            <w:r w:rsidR="008A0EAE">
              <w:rPr>
                <w:sz w:val="24"/>
                <w:szCs w:val="24"/>
              </w:rPr>
              <w:t xml:space="preserve"> </w:t>
            </w:r>
            <w:r w:rsidR="008A0EAE" w:rsidRPr="008A0EAE">
              <w:rPr>
                <w:sz w:val="24"/>
                <w:szCs w:val="24"/>
              </w:rPr>
              <w:t xml:space="preserve">In Wales, </w:t>
            </w:r>
            <w:r w:rsidR="008A0EAE" w:rsidRPr="00F91E3C">
              <w:rPr>
                <w:sz w:val="24"/>
                <w:szCs w:val="24"/>
              </w:rPr>
              <w:t>the Social Services and Well-being (Wales) Act 2014</w:t>
            </w:r>
            <w:r w:rsidR="006B2434" w:rsidRPr="00F91E3C">
              <w:rPr>
                <w:sz w:val="24"/>
                <w:szCs w:val="24"/>
              </w:rPr>
              <w:t xml:space="preserve"> (SSWBWA)</w:t>
            </w:r>
            <w:r w:rsidR="008A0EAE" w:rsidRPr="00F91E3C">
              <w:rPr>
                <w:sz w:val="24"/>
                <w:szCs w:val="24"/>
              </w:rPr>
              <w:t> is the cornerstone of adult safeguarding.</w:t>
            </w:r>
            <w:r w:rsidR="009959E9" w:rsidRPr="00F91E3C">
              <w:rPr>
                <w:sz w:val="24"/>
                <w:szCs w:val="24"/>
              </w:rPr>
              <w:t xml:space="preserve"> </w:t>
            </w:r>
            <w:r w:rsidR="008A0EAE" w:rsidRPr="00F91E3C">
              <w:rPr>
                <w:sz w:val="24"/>
                <w:szCs w:val="24"/>
              </w:rPr>
              <w:t>Supporting this legislation are the Wales Safeguarding Procedures (2019), which provide a unified digital</w:t>
            </w:r>
            <w:r w:rsidR="000D4E4D" w:rsidRPr="00F91E3C">
              <w:rPr>
                <w:sz w:val="24"/>
                <w:szCs w:val="24"/>
              </w:rPr>
              <w:t xml:space="preserve"> </w:t>
            </w:r>
            <w:r w:rsidR="008A0EAE" w:rsidRPr="00F91E3C">
              <w:rPr>
                <w:sz w:val="24"/>
                <w:szCs w:val="24"/>
              </w:rPr>
              <w:t>framework for safeguarding practice across Wale</w:t>
            </w:r>
            <w:r w:rsidR="00C502E0" w:rsidRPr="00F91E3C">
              <w:rPr>
                <w:sz w:val="24"/>
                <w:szCs w:val="24"/>
              </w:rPr>
              <w:t>s. They help practitioners apply the SSWBWA legislation and standardises practice across Wales and between agencies</w:t>
            </w:r>
          </w:p>
          <w:p w14:paraId="7400C0F7" w14:textId="3BDA7A24" w:rsidR="00D10AE8" w:rsidRPr="00F91E3C" w:rsidRDefault="00D10AE8" w:rsidP="006B2434">
            <w:pPr>
              <w:rPr>
                <w:sz w:val="24"/>
                <w:szCs w:val="24"/>
              </w:rPr>
            </w:pPr>
            <w:r w:rsidRPr="00F91E3C">
              <w:rPr>
                <w:sz w:val="24"/>
                <w:szCs w:val="24"/>
              </w:rPr>
              <w:t>The Mental Capacity Act (2005)</w:t>
            </w:r>
            <w:r w:rsidR="006B2434" w:rsidRPr="00F91E3C">
              <w:rPr>
                <w:sz w:val="24"/>
                <w:szCs w:val="24"/>
              </w:rPr>
              <w:t xml:space="preserve"> (MCA)</w:t>
            </w:r>
            <w:r w:rsidRPr="00F91E3C">
              <w:rPr>
                <w:sz w:val="24"/>
                <w:szCs w:val="24"/>
              </w:rPr>
              <w:t xml:space="preserve"> </w:t>
            </w:r>
            <w:r w:rsidR="009959E9" w:rsidRPr="00F91E3C">
              <w:rPr>
                <w:sz w:val="24"/>
                <w:szCs w:val="24"/>
              </w:rPr>
              <w:t xml:space="preserve">also contributes to </w:t>
            </w:r>
            <w:proofErr w:type="gramStart"/>
            <w:r w:rsidRPr="00F91E3C">
              <w:rPr>
                <w:sz w:val="24"/>
                <w:szCs w:val="24"/>
              </w:rPr>
              <w:t>Adult</w:t>
            </w:r>
            <w:proofErr w:type="gramEnd"/>
            <w:r w:rsidRPr="00F91E3C">
              <w:rPr>
                <w:sz w:val="24"/>
                <w:szCs w:val="24"/>
              </w:rPr>
              <w:t xml:space="preserve"> safeguarding</w:t>
            </w:r>
            <w:r w:rsidR="009959E9" w:rsidRPr="00F91E3C">
              <w:rPr>
                <w:sz w:val="24"/>
                <w:szCs w:val="24"/>
              </w:rPr>
              <w:t xml:space="preserve"> legislation</w:t>
            </w:r>
            <w:r w:rsidRPr="00F91E3C">
              <w:rPr>
                <w:sz w:val="24"/>
                <w:szCs w:val="24"/>
              </w:rPr>
              <w:t xml:space="preserve"> in E</w:t>
            </w:r>
            <w:r w:rsidR="005720AE">
              <w:rPr>
                <w:sz w:val="24"/>
                <w:szCs w:val="24"/>
              </w:rPr>
              <w:t>n</w:t>
            </w:r>
            <w:r w:rsidRPr="00F91E3C">
              <w:rPr>
                <w:sz w:val="24"/>
                <w:szCs w:val="24"/>
              </w:rPr>
              <w:t>gland and Wales. It provides a legal framework for making decisions on behalf of individuals aged 16 and over who lack capacity to make specific decisions for themselves.</w:t>
            </w:r>
            <w:r w:rsidR="006B2434" w:rsidRPr="00F91E3C">
              <w:rPr>
                <w:sz w:val="24"/>
                <w:szCs w:val="24"/>
              </w:rPr>
              <w:t xml:space="preserve"> The MCA supports in the safeguarding of adults by ensuring decisions are made lawfully when someone lacks capacity, preventing abuse through proper assessments and oversight. It also provides legal safeguards such as the Deprivation of Liberty Safeguards</w:t>
            </w:r>
            <w:r w:rsidR="00C5292F">
              <w:rPr>
                <w:sz w:val="24"/>
                <w:szCs w:val="24"/>
              </w:rPr>
              <w:t xml:space="preserve"> (</w:t>
            </w:r>
            <w:r w:rsidR="00F65588">
              <w:rPr>
                <w:sz w:val="24"/>
                <w:szCs w:val="24"/>
              </w:rPr>
              <w:t>200</w:t>
            </w:r>
            <w:r w:rsidR="00F71319">
              <w:rPr>
                <w:sz w:val="24"/>
                <w:szCs w:val="24"/>
              </w:rPr>
              <w:t xml:space="preserve">8) </w:t>
            </w:r>
            <w:r w:rsidR="006B2434" w:rsidRPr="00F91E3C">
              <w:rPr>
                <w:sz w:val="24"/>
                <w:szCs w:val="24"/>
              </w:rPr>
              <w:t xml:space="preserve">which ensures that restrictions on liberty are lawful </w:t>
            </w:r>
            <w:proofErr w:type="gramStart"/>
            <w:r w:rsidR="006B2434" w:rsidRPr="00F91E3C">
              <w:rPr>
                <w:sz w:val="24"/>
                <w:szCs w:val="24"/>
              </w:rPr>
              <w:t>and in the person’s</w:t>
            </w:r>
            <w:proofErr w:type="gramEnd"/>
            <w:r w:rsidR="006B2434" w:rsidRPr="00F91E3C">
              <w:rPr>
                <w:sz w:val="24"/>
                <w:szCs w:val="24"/>
              </w:rPr>
              <w:t xml:space="preserve"> best interests.</w:t>
            </w:r>
          </w:p>
          <w:p w14:paraId="4A95F4DB" w14:textId="47DC0B5C" w:rsidR="00FC0334" w:rsidRDefault="00C502E0" w:rsidP="000D4E4D">
            <w:pPr>
              <w:rPr>
                <w:sz w:val="24"/>
                <w:szCs w:val="24"/>
              </w:rPr>
            </w:pPr>
            <w:r w:rsidRPr="00F91E3C">
              <w:rPr>
                <w:sz w:val="24"/>
                <w:szCs w:val="24"/>
              </w:rPr>
              <w:t>Implementing the Human Rights Act 1998</w:t>
            </w:r>
            <w:r w:rsidRPr="00C502E0">
              <w:rPr>
                <w:sz w:val="24"/>
                <w:szCs w:val="24"/>
              </w:rPr>
              <w:t> in adult safeguarding ensur</w:t>
            </w:r>
            <w:r w:rsidR="009959E9">
              <w:rPr>
                <w:sz w:val="24"/>
                <w:szCs w:val="24"/>
              </w:rPr>
              <w:t>es</w:t>
            </w:r>
            <w:r w:rsidRPr="00C502E0">
              <w:rPr>
                <w:sz w:val="24"/>
                <w:szCs w:val="24"/>
              </w:rPr>
              <w:t xml:space="preserve"> that individuals at risk of abuse, neglect, or exploitation are protected in ways that uphold their fundamental rights under the European Convention on Human Rights. For example, safeguarding interventions must respect the right to life (Article 2) by taking reasonable steps to prevent </w:t>
            </w:r>
            <w:r w:rsidR="009959E9" w:rsidRPr="00C502E0">
              <w:rPr>
                <w:sz w:val="24"/>
                <w:szCs w:val="24"/>
              </w:rPr>
              <w:t>harm and</w:t>
            </w:r>
            <w:r w:rsidRPr="00C502E0">
              <w:rPr>
                <w:sz w:val="24"/>
                <w:szCs w:val="24"/>
              </w:rPr>
              <w:t xml:space="preserve"> must never subject individuals to inhuman or degrading treatment (Article 3), which includes neglect, humiliation, or abuse in care settings. </w:t>
            </w:r>
          </w:p>
          <w:p w14:paraId="5C4ACCB9" w14:textId="2C37E4DD" w:rsidR="000D4E4D" w:rsidRPr="000D4E4D" w:rsidRDefault="000D4E4D" w:rsidP="000D4E4D">
            <w:pPr>
              <w:rPr>
                <w:sz w:val="24"/>
                <w:szCs w:val="24"/>
              </w:rPr>
            </w:pPr>
            <w:r w:rsidRPr="000D4E4D">
              <w:rPr>
                <w:sz w:val="24"/>
                <w:szCs w:val="24"/>
              </w:rPr>
              <w:t>Identifying an adult as being at risk of harm, neglect, or abuse involves analysing factors that may compromise their safety, autonomy, or well-being. Adults may be considered at risk if they have care and support need</w:t>
            </w:r>
            <w:r>
              <w:rPr>
                <w:sz w:val="24"/>
                <w:szCs w:val="24"/>
              </w:rPr>
              <w:t xml:space="preserve">s, </w:t>
            </w:r>
            <w:r w:rsidRPr="000D4E4D">
              <w:rPr>
                <w:sz w:val="24"/>
                <w:szCs w:val="24"/>
              </w:rPr>
              <w:t>whether due to age, disability, mental health, or illness</w:t>
            </w:r>
            <w:r>
              <w:rPr>
                <w:sz w:val="24"/>
                <w:szCs w:val="24"/>
              </w:rPr>
              <w:t xml:space="preserve">, </w:t>
            </w:r>
            <w:r w:rsidRPr="000D4E4D">
              <w:rPr>
                <w:sz w:val="24"/>
                <w:szCs w:val="24"/>
              </w:rPr>
              <w:t xml:space="preserve">and </w:t>
            </w:r>
            <w:r w:rsidR="00C5292F">
              <w:rPr>
                <w:sz w:val="24"/>
                <w:szCs w:val="24"/>
              </w:rPr>
              <w:t>cannot</w:t>
            </w:r>
            <w:r w:rsidRPr="000D4E4D">
              <w:rPr>
                <w:sz w:val="24"/>
                <w:szCs w:val="24"/>
              </w:rPr>
              <w:t xml:space="preserve"> protect themselves. Social isolation, dependency on others for personal care, cognitive impairments, substance misuse are all contributing factors. Additionally, individuals who are socially excluded, experiencing homelessness, or involved in exploitative relationships may also be at heightened risk.</w:t>
            </w:r>
          </w:p>
          <w:p w14:paraId="3C9CB591" w14:textId="23BADFEA" w:rsidR="000D4E4D" w:rsidRDefault="000D4E4D" w:rsidP="000D4E4D">
            <w:pPr>
              <w:rPr>
                <w:sz w:val="24"/>
                <w:szCs w:val="24"/>
              </w:rPr>
            </w:pPr>
            <w:r w:rsidRPr="000D4E4D">
              <w:rPr>
                <w:sz w:val="24"/>
                <w:szCs w:val="24"/>
              </w:rPr>
              <w:lastRenderedPageBreak/>
              <w:t>Indicators of harm, neglect, or abuse can manifest in various ways, depending on the type of abuse. Physical abuse may be indicated by unexplained injuries,</w:t>
            </w:r>
            <w:r>
              <w:rPr>
                <w:sz w:val="24"/>
                <w:szCs w:val="24"/>
              </w:rPr>
              <w:t xml:space="preserve"> </w:t>
            </w:r>
            <w:r w:rsidRPr="000D4E4D">
              <w:rPr>
                <w:sz w:val="24"/>
                <w:szCs w:val="24"/>
              </w:rPr>
              <w:t>or a reluctance to be touched. Emotional or psychological abuse might present as low self-esteem, anxiety, withdrawal, or fearfulness around certain individuals. Signs of neglect include poor hygiene, malnutrition</w:t>
            </w:r>
            <w:r>
              <w:rPr>
                <w:sz w:val="24"/>
                <w:szCs w:val="24"/>
              </w:rPr>
              <w:t xml:space="preserve"> or </w:t>
            </w:r>
            <w:r w:rsidRPr="000D4E4D">
              <w:rPr>
                <w:sz w:val="24"/>
                <w:szCs w:val="24"/>
              </w:rPr>
              <w:t>untreated medical conditions. It is essential for professionals to be vigilant and responsive to these signs, always considering the individual's circumstances and ensuring safeguarding procedures are followed to protect their rights and well-being.</w:t>
            </w:r>
          </w:p>
          <w:p w14:paraId="704C9D4E" w14:textId="041EEE17" w:rsidR="000D4E4D" w:rsidRPr="000D4E4D" w:rsidRDefault="000D4E4D" w:rsidP="000D4E4D">
            <w:pPr>
              <w:rPr>
                <w:sz w:val="24"/>
                <w:szCs w:val="24"/>
              </w:rPr>
            </w:pPr>
            <w:r>
              <w:rPr>
                <w:sz w:val="24"/>
                <w:szCs w:val="24"/>
              </w:rPr>
              <w:t xml:space="preserve">In our local authority if somebody suspects a safeguarding concern in relation to an </w:t>
            </w:r>
            <w:r w:rsidR="00F74163">
              <w:rPr>
                <w:sz w:val="24"/>
                <w:szCs w:val="24"/>
              </w:rPr>
              <w:t>adult,</w:t>
            </w:r>
            <w:r>
              <w:rPr>
                <w:sz w:val="24"/>
                <w:szCs w:val="24"/>
              </w:rPr>
              <w:t xml:space="preserve"> they should contact the adult front door with their concerns, these concerns are then passed to the safeguarding team who decide whether </w:t>
            </w:r>
            <w:r w:rsidR="009959E9">
              <w:rPr>
                <w:sz w:val="24"/>
                <w:szCs w:val="24"/>
              </w:rPr>
              <w:t>they need to complete Section 126 enquiries of the SSWBWA</w:t>
            </w:r>
            <w:r w:rsidR="00306F12">
              <w:rPr>
                <w:sz w:val="24"/>
                <w:szCs w:val="24"/>
              </w:rPr>
              <w:t xml:space="preserve"> </w:t>
            </w:r>
            <w:r w:rsidR="00306F12">
              <w:rPr>
                <w:sz w:val="24"/>
                <w:szCs w:val="24"/>
              </w:rPr>
              <w:t>(XXX County Council</w:t>
            </w:r>
            <w:r w:rsidR="00594D4B">
              <w:rPr>
                <w:sz w:val="24"/>
                <w:szCs w:val="24"/>
              </w:rPr>
              <w:t>,</w:t>
            </w:r>
            <w:r w:rsidR="00306F12">
              <w:rPr>
                <w:sz w:val="24"/>
                <w:szCs w:val="24"/>
              </w:rPr>
              <w:t xml:space="preserve"> 2025)</w:t>
            </w:r>
            <w:r w:rsidR="009959E9">
              <w:rPr>
                <w:sz w:val="24"/>
                <w:szCs w:val="24"/>
              </w:rPr>
              <w:t>. This requires local authorities in Wales to respond when there is reasonable cause to suspect an adult in their area is at risk of abuse or neglect.</w:t>
            </w:r>
            <w:r w:rsidR="009959E9" w:rsidRPr="008A0EAE">
              <w:rPr>
                <w:sz w:val="24"/>
                <w:szCs w:val="24"/>
              </w:rPr>
              <w:t xml:space="preserve"> It defines an adult at risk </w:t>
            </w:r>
            <w:r w:rsidR="009959E9">
              <w:rPr>
                <w:sz w:val="24"/>
                <w:szCs w:val="24"/>
              </w:rPr>
              <w:t xml:space="preserve">as having needs for care and support, are experiencing or at risk of abuse or neglect and </w:t>
            </w:r>
            <w:proofErr w:type="gramStart"/>
            <w:r w:rsidR="009959E9">
              <w:rPr>
                <w:sz w:val="24"/>
                <w:szCs w:val="24"/>
              </w:rPr>
              <w:t>as a result of</w:t>
            </w:r>
            <w:proofErr w:type="gramEnd"/>
            <w:r w:rsidR="009959E9">
              <w:rPr>
                <w:sz w:val="24"/>
                <w:szCs w:val="24"/>
              </w:rPr>
              <w:t xml:space="preserve"> those needs are unable to protect themselves</w:t>
            </w:r>
            <w:r w:rsidR="00B6156A">
              <w:rPr>
                <w:sz w:val="24"/>
                <w:szCs w:val="24"/>
              </w:rPr>
              <w:t xml:space="preserve">. </w:t>
            </w:r>
            <w:r w:rsidR="009959E9">
              <w:rPr>
                <w:sz w:val="24"/>
                <w:szCs w:val="24"/>
              </w:rPr>
              <w:t>If an individual is deemed to be in immediate risk of harm a call should be made to the emergency services on 999.</w:t>
            </w: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774095BD" w14:textId="77777777" w:rsidR="00FC0334" w:rsidRDefault="00FC0334" w:rsidP="00FF7EBB">
            <w:pPr>
              <w:jc w:val="both"/>
              <w:rPr>
                <w:sz w:val="24"/>
                <w:szCs w:val="24"/>
              </w:rPr>
            </w:pPr>
          </w:p>
          <w:p w14:paraId="7F6D3396" w14:textId="7AD0C245" w:rsidR="00187EF3" w:rsidRDefault="009959E9" w:rsidP="00FF7EBB">
            <w:pPr>
              <w:jc w:val="both"/>
              <w:rPr>
                <w:sz w:val="24"/>
                <w:szCs w:val="24"/>
              </w:rPr>
            </w:pPr>
            <w:r>
              <w:rPr>
                <w:sz w:val="24"/>
                <w:szCs w:val="24"/>
              </w:rPr>
              <w:t>Word count: 5</w:t>
            </w:r>
            <w:r w:rsidR="006453BC">
              <w:rPr>
                <w:sz w:val="24"/>
                <w:szCs w:val="24"/>
              </w:rPr>
              <w:t>50</w:t>
            </w:r>
          </w:p>
          <w:p w14:paraId="744892DF" w14:textId="77777777" w:rsidR="00187EF3" w:rsidRPr="006108C9" w:rsidRDefault="00187EF3"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671554C9" w14:textId="77777777" w:rsidR="009959E9" w:rsidRDefault="009959E9" w:rsidP="00FF7EBB">
            <w:pPr>
              <w:jc w:val="both"/>
              <w:rPr>
                <w:sz w:val="24"/>
                <w:szCs w:val="24"/>
              </w:rPr>
            </w:pPr>
          </w:p>
          <w:p w14:paraId="36EC639E" w14:textId="77777777" w:rsidR="009959E9" w:rsidRDefault="009959E9" w:rsidP="00FF7EBB">
            <w:pPr>
              <w:jc w:val="both"/>
              <w:rPr>
                <w:sz w:val="24"/>
                <w:szCs w:val="24"/>
              </w:rPr>
            </w:pP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66E109CC" w14:textId="01F51FC6" w:rsidR="00286643" w:rsidRPr="00D10AE8" w:rsidRDefault="00286643" w:rsidP="00286643">
            <w:pPr>
              <w:rPr>
                <w:sz w:val="24"/>
                <w:szCs w:val="24"/>
              </w:rPr>
            </w:pPr>
            <w:r w:rsidRPr="00D10AE8">
              <w:rPr>
                <w:sz w:val="24"/>
                <w:szCs w:val="24"/>
              </w:rPr>
              <w:t xml:space="preserve">In Wales, both adult and children’s safeguarding are governed by the </w:t>
            </w:r>
            <w:r w:rsidR="008A0EAE" w:rsidRPr="00D10AE8">
              <w:rPr>
                <w:sz w:val="24"/>
                <w:szCs w:val="24"/>
              </w:rPr>
              <w:t>SSWBWA</w:t>
            </w:r>
            <w:r w:rsidRPr="00D10AE8">
              <w:rPr>
                <w:sz w:val="24"/>
                <w:szCs w:val="24"/>
              </w:rPr>
              <w:t xml:space="preserve">, which introduced a unified legal framework for social care. </w:t>
            </w:r>
            <w:r w:rsidR="008A0EAE" w:rsidRPr="00D10AE8">
              <w:rPr>
                <w:sz w:val="24"/>
                <w:szCs w:val="24"/>
              </w:rPr>
              <w:t>T</w:t>
            </w:r>
            <w:r w:rsidRPr="00D10AE8">
              <w:rPr>
                <w:sz w:val="24"/>
                <w:szCs w:val="24"/>
              </w:rPr>
              <w:t>he Act makes clear distinctions between children and adults at risk, recognising their different legal statuses and needs. For children, safeguarding is defined as protecting them from abuse, neglect, and exploitation, and ensuring development into adulthood. The Children Act 1989 and 2004 continue to underpin child protection.</w:t>
            </w:r>
          </w:p>
          <w:p w14:paraId="6241D630" w14:textId="4B6D31CA" w:rsidR="00286643" w:rsidRPr="00D10AE8" w:rsidRDefault="00286643" w:rsidP="00286643">
            <w:pPr>
              <w:rPr>
                <w:sz w:val="24"/>
                <w:szCs w:val="24"/>
              </w:rPr>
            </w:pPr>
            <w:r w:rsidRPr="00D10AE8">
              <w:rPr>
                <w:sz w:val="24"/>
                <w:szCs w:val="24"/>
              </w:rPr>
              <w:t xml:space="preserve">In contrast, safeguarding adults focuses on protecting individuals aged 18 and over at risk of abuse or neglect and who </w:t>
            </w:r>
            <w:r w:rsidR="00487E85">
              <w:rPr>
                <w:sz w:val="24"/>
                <w:szCs w:val="24"/>
              </w:rPr>
              <w:t>are</w:t>
            </w:r>
            <w:r w:rsidRPr="00D10AE8">
              <w:rPr>
                <w:sz w:val="24"/>
                <w:szCs w:val="24"/>
              </w:rPr>
              <w:t xml:space="preserve"> unable to protect themselves due to age, illness, or disability. The</w:t>
            </w:r>
            <w:r w:rsidR="008A0EAE" w:rsidRPr="00D10AE8">
              <w:rPr>
                <w:sz w:val="24"/>
                <w:szCs w:val="24"/>
              </w:rPr>
              <w:t xml:space="preserve"> SSWBWA </w:t>
            </w:r>
            <w:r w:rsidRPr="00D10AE8">
              <w:rPr>
                <w:sz w:val="24"/>
                <w:szCs w:val="24"/>
              </w:rPr>
              <w:t>defines adult</w:t>
            </w:r>
            <w:r w:rsidR="00784779">
              <w:rPr>
                <w:sz w:val="24"/>
                <w:szCs w:val="24"/>
              </w:rPr>
              <w:t>s</w:t>
            </w:r>
            <w:r w:rsidRPr="00D10AE8">
              <w:rPr>
                <w:sz w:val="24"/>
                <w:szCs w:val="24"/>
              </w:rPr>
              <w:t xml:space="preserve"> at risk as someone who is experiencing or is at risk of abuse or neglect, has needs for care and support, and </w:t>
            </w:r>
            <w:r w:rsidR="008A0EAE" w:rsidRPr="00D10AE8">
              <w:rPr>
                <w:sz w:val="24"/>
                <w:szCs w:val="24"/>
              </w:rPr>
              <w:t>because of</w:t>
            </w:r>
            <w:r w:rsidRPr="00D10AE8">
              <w:rPr>
                <w:sz w:val="24"/>
                <w:szCs w:val="24"/>
              </w:rPr>
              <w:t xml:space="preserve"> those is unable to protect themselves</w:t>
            </w:r>
            <w:r w:rsidR="009A2F49">
              <w:rPr>
                <w:sz w:val="24"/>
                <w:szCs w:val="24"/>
              </w:rPr>
              <w:t>.</w:t>
            </w:r>
          </w:p>
          <w:p w14:paraId="12C2CBAD" w14:textId="121CD3F9" w:rsidR="00286643" w:rsidRPr="00D10AE8" w:rsidRDefault="00286643" w:rsidP="00286643">
            <w:pPr>
              <w:rPr>
                <w:sz w:val="24"/>
                <w:szCs w:val="24"/>
              </w:rPr>
            </w:pPr>
            <w:r w:rsidRPr="00D10AE8">
              <w:rPr>
                <w:sz w:val="24"/>
                <w:szCs w:val="24"/>
              </w:rPr>
              <w:t>One of the most significant differences between adult and children’s safeguarding lies in the role of consent. In children’s safeguarding, the welfare of the child is paramount</w:t>
            </w:r>
            <w:r w:rsidR="00603A9B">
              <w:rPr>
                <w:sz w:val="24"/>
                <w:szCs w:val="24"/>
              </w:rPr>
              <w:t>,</w:t>
            </w:r>
            <w:r w:rsidRPr="00D10AE8">
              <w:rPr>
                <w:sz w:val="24"/>
                <w:szCs w:val="24"/>
              </w:rPr>
              <w:t xml:space="preserve"> professionals have a duty to act even without consent if there is a risk of significant harm. In adult safeguarding the principle of autonomy is central. Adults with capacity have the right to </w:t>
            </w:r>
            <w:r w:rsidRPr="00D10AE8">
              <w:rPr>
                <w:sz w:val="24"/>
                <w:szCs w:val="24"/>
              </w:rPr>
              <w:lastRenderedPageBreak/>
              <w:t>make unwise decisions, and intervention without consent is only justified if the person lacks capacity, defined by the Mental Capacity Act 2005, or if others are at risk. This creates a complex ethical landscape for adult</w:t>
            </w:r>
            <w:r w:rsidR="00AF30B6">
              <w:rPr>
                <w:sz w:val="24"/>
                <w:szCs w:val="24"/>
              </w:rPr>
              <w:t xml:space="preserve"> practitioners</w:t>
            </w:r>
            <w:r w:rsidRPr="00D10AE8">
              <w:rPr>
                <w:sz w:val="24"/>
                <w:szCs w:val="24"/>
              </w:rPr>
              <w:t>, who must balance protection with respect for individual rights</w:t>
            </w:r>
            <w:r w:rsidR="001159B5">
              <w:rPr>
                <w:sz w:val="24"/>
                <w:szCs w:val="24"/>
              </w:rPr>
              <w:t xml:space="preserve"> (Human Rights Act 1998</w:t>
            </w:r>
            <w:r w:rsidR="00A44762">
              <w:rPr>
                <w:sz w:val="24"/>
                <w:szCs w:val="24"/>
              </w:rPr>
              <w:t>)</w:t>
            </w:r>
            <w:r w:rsidRPr="00D10AE8">
              <w:rPr>
                <w:sz w:val="24"/>
                <w:szCs w:val="24"/>
              </w:rPr>
              <w:t xml:space="preserve">. </w:t>
            </w:r>
            <w:r w:rsidR="00AF30B6">
              <w:rPr>
                <w:sz w:val="24"/>
                <w:szCs w:val="24"/>
              </w:rPr>
              <w:t>I</w:t>
            </w:r>
            <w:r w:rsidRPr="00D10AE8">
              <w:rPr>
                <w:sz w:val="24"/>
                <w:szCs w:val="24"/>
              </w:rPr>
              <w:t>f an adult at risk refuses support but is deemed to have capacity, social workers must respect their decision, even if it leaves them vulnerable</w:t>
            </w:r>
            <w:r w:rsidR="00244B18">
              <w:rPr>
                <w:sz w:val="24"/>
                <w:szCs w:val="24"/>
              </w:rPr>
              <w:t xml:space="preserve"> though they will </w:t>
            </w:r>
            <w:r w:rsidR="00187CAC">
              <w:rPr>
                <w:sz w:val="24"/>
                <w:szCs w:val="24"/>
              </w:rPr>
              <w:t>try to engage and offer support through third</w:t>
            </w:r>
            <w:r w:rsidR="001051DB">
              <w:rPr>
                <w:sz w:val="24"/>
                <w:szCs w:val="24"/>
              </w:rPr>
              <w:t>-</w:t>
            </w:r>
            <w:r w:rsidR="00187CAC">
              <w:rPr>
                <w:sz w:val="24"/>
                <w:szCs w:val="24"/>
              </w:rPr>
              <w:t>sector organisations.</w:t>
            </w:r>
            <w:r w:rsidR="005A2197">
              <w:rPr>
                <w:sz w:val="24"/>
                <w:szCs w:val="24"/>
              </w:rPr>
              <w:t xml:space="preserve">  </w:t>
            </w:r>
            <w:r w:rsidR="005A2197">
              <w:rPr>
                <w:sz w:val="24"/>
                <w:szCs w:val="24"/>
              </w:rPr>
              <w:t>C</w:t>
            </w:r>
            <w:r w:rsidR="005A2197" w:rsidRPr="00A35584">
              <w:rPr>
                <w:sz w:val="24"/>
                <w:szCs w:val="24"/>
              </w:rPr>
              <w:t xml:space="preserve">hildren under 16 may be deemed competent to give </w:t>
            </w:r>
            <w:r w:rsidR="005A2197">
              <w:rPr>
                <w:sz w:val="24"/>
                <w:szCs w:val="24"/>
              </w:rPr>
              <w:t xml:space="preserve">their own </w:t>
            </w:r>
            <w:r w:rsidR="005A2197" w:rsidRPr="00A35584">
              <w:rPr>
                <w:sz w:val="24"/>
                <w:szCs w:val="24"/>
              </w:rPr>
              <w:t>consent if they have sufficient understanding to comprehend the proposed interve</w:t>
            </w:r>
            <w:r w:rsidR="005A2197">
              <w:rPr>
                <w:sz w:val="24"/>
                <w:szCs w:val="24"/>
              </w:rPr>
              <w:t xml:space="preserve">ntion, </w:t>
            </w:r>
            <w:r w:rsidR="005A2197" w:rsidRPr="00A35584">
              <w:rPr>
                <w:sz w:val="24"/>
                <w:szCs w:val="24"/>
              </w:rPr>
              <w:t xml:space="preserve">known as </w:t>
            </w:r>
            <w:r w:rsidR="005A2197" w:rsidRPr="00D0584A">
              <w:rPr>
                <w:sz w:val="24"/>
                <w:szCs w:val="24"/>
              </w:rPr>
              <w:t>Gillick competence.</w:t>
            </w:r>
            <w:r w:rsidRPr="00D10AE8">
              <w:rPr>
                <w:sz w:val="24"/>
                <w:szCs w:val="24"/>
              </w:rPr>
              <w:t xml:space="preserve"> In</w:t>
            </w:r>
            <w:r w:rsidR="00187CAC">
              <w:rPr>
                <w:sz w:val="24"/>
                <w:szCs w:val="24"/>
              </w:rPr>
              <w:t xml:space="preserve"> children’s, </w:t>
            </w:r>
            <w:r w:rsidRPr="00D10AE8">
              <w:rPr>
                <w:sz w:val="24"/>
                <w:szCs w:val="24"/>
              </w:rPr>
              <w:t>refusal to engage does not prevent professionals from taking protective action if the threshold for intervention is met.</w:t>
            </w:r>
            <w:r w:rsidR="00A35584">
              <w:rPr>
                <w:sz w:val="24"/>
                <w:szCs w:val="24"/>
              </w:rPr>
              <w:t xml:space="preserve"> </w:t>
            </w:r>
          </w:p>
          <w:p w14:paraId="560C7653" w14:textId="43B041D1" w:rsidR="00286643" w:rsidRPr="00D10AE8" w:rsidRDefault="00286643" w:rsidP="00286643">
            <w:pPr>
              <w:rPr>
                <w:sz w:val="24"/>
                <w:szCs w:val="24"/>
              </w:rPr>
            </w:pPr>
            <w:r w:rsidRPr="00D10AE8">
              <w:rPr>
                <w:sz w:val="24"/>
                <w:szCs w:val="24"/>
              </w:rPr>
              <w:t>The thresholds for intervention also differ between adult and children’s. In children’s, the threshold for statutory intervention is significant harm, as defined in Section 31 of the Children Act 1989. Once this threshold is met, local authorities are required to initiate a Section 47 enquiry and may convene a child protection conference. In adult</w:t>
            </w:r>
            <w:r w:rsidR="002021B2">
              <w:rPr>
                <w:sz w:val="24"/>
                <w:szCs w:val="24"/>
              </w:rPr>
              <w:t>s</w:t>
            </w:r>
            <w:r w:rsidRPr="00D10AE8">
              <w:rPr>
                <w:sz w:val="24"/>
                <w:szCs w:val="24"/>
              </w:rPr>
              <w:t xml:space="preserve"> the threshold is broader and more nuanced. The</w:t>
            </w:r>
            <w:r w:rsidR="008A0EAE" w:rsidRPr="00D10AE8">
              <w:rPr>
                <w:sz w:val="24"/>
                <w:szCs w:val="24"/>
              </w:rPr>
              <w:t xml:space="preserve"> SSWBWA</w:t>
            </w:r>
            <w:r w:rsidRPr="00D10AE8">
              <w:rPr>
                <w:sz w:val="24"/>
                <w:szCs w:val="24"/>
              </w:rPr>
              <w:t xml:space="preserve"> requires local authorities to make enquiries if they have reasonable cause to suspect that an adult is at risk of abuse or neglect and is unable to protect themselves. This often involves a Section 126 enquiry, which is the adult safeguarding equivalent of a Section 47 enquiry in children’s services. </w:t>
            </w:r>
          </w:p>
          <w:p w14:paraId="1215BC2F" w14:textId="77777777" w:rsidR="00286643" w:rsidRDefault="00286643" w:rsidP="00FC0334">
            <w:pPr>
              <w:jc w:val="both"/>
              <w:rPr>
                <w:sz w:val="24"/>
                <w:szCs w:val="24"/>
              </w:rPr>
            </w:pPr>
          </w:p>
          <w:p w14:paraId="5847B174" w14:textId="77777777" w:rsidR="005705B2" w:rsidRPr="00D10AE8" w:rsidRDefault="005705B2" w:rsidP="00FC0334">
            <w:pPr>
              <w:jc w:val="both"/>
              <w:rPr>
                <w:sz w:val="24"/>
                <w:szCs w:val="24"/>
              </w:rPr>
            </w:pPr>
          </w:p>
          <w:p w14:paraId="795C6051" w14:textId="480CFB76" w:rsidR="00FC0334" w:rsidRPr="00D10AE8" w:rsidRDefault="00D10AE8" w:rsidP="00FC0334">
            <w:pPr>
              <w:jc w:val="both"/>
              <w:rPr>
                <w:sz w:val="24"/>
                <w:szCs w:val="24"/>
              </w:rPr>
            </w:pPr>
            <w:r w:rsidRPr="00D10AE8">
              <w:rPr>
                <w:sz w:val="24"/>
                <w:szCs w:val="24"/>
              </w:rPr>
              <w:t>Word count: 4</w:t>
            </w:r>
            <w:r w:rsidR="00633AC1">
              <w:rPr>
                <w:sz w:val="24"/>
                <w:szCs w:val="24"/>
              </w:rPr>
              <w:t>39</w:t>
            </w: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3483C58C" w14:textId="77777777" w:rsidR="00654B60" w:rsidRDefault="00654B60"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BECA7D" w14:textId="77777777" w:rsidR="00694A52" w:rsidRDefault="00694A52">
      <w:r>
        <w:separator/>
      </w:r>
    </w:p>
  </w:endnote>
  <w:endnote w:type="continuationSeparator" w:id="0">
    <w:p w14:paraId="3351E9D1" w14:textId="77777777" w:rsidR="00694A52" w:rsidRDefault="00694A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89F79A" w14:textId="77777777" w:rsidR="00694A52" w:rsidRDefault="00694A52">
      <w:r>
        <w:separator/>
      </w:r>
    </w:p>
  </w:footnote>
  <w:footnote w:type="continuationSeparator" w:id="0">
    <w:p w14:paraId="2ACB9979" w14:textId="77777777" w:rsidR="00694A52" w:rsidRDefault="00694A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44"/>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4E4D"/>
    <w:rsid w:val="000D6653"/>
    <w:rsid w:val="000E0D51"/>
    <w:rsid w:val="000E26B0"/>
    <w:rsid w:val="000E37C2"/>
    <w:rsid w:val="000E38C3"/>
    <w:rsid w:val="000F1599"/>
    <w:rsid w:val="000F1769"/>
    <w:rsid w:val="000F1A97"/>
    <w:rsid w:val="000F42AE"/>
    <w:rsid w:val="000F6196"/>
    <w:rsid w:val="000F6BC3"/>
    <w:rsid w:val="0010312C"/>
    <w:rsid w:val="00105026"/>
    <w:rsid w:val="001051DB"/>
    <w:rsid w:val="0010662B"/>
    <w:rsid w:val="00106DC7"/>
    <w:rsid w:val="00112391"/>
    <w:rsid w:val="00114F52"/>
    <w:rsid w:val="001159B5"/>
    <w:rsid w:val="00130119"/>
    <w:rsid w:val="00132812"/>
    <w:rsid w:val="001347F8"/>
    <w:rsid w:val="001359EE"/>
    <w:rsid w:val="00137BB5"/>
    <w:rsid w:val="00137E05"/>
    <w:rsid w:val="001447F6"/>
    <w:rsid w:val="00147DE3"/>
    <w:rsid w:val="00150794"/>
    <w:rsid w:val="00151DA6"/>
    <w:rsid w:val="001608C4"/>
    <w:rsid w:val="00164832"/>
    <w:rsid w:val="00171418"/>
    <w:rsid w:val="00175001"/>
    <w:rsid w:val="001772BF"/>
    <w:rsid w:val="001772DE"/>
    <w:rsid w:val="00187CAC"/>
    <w:rsid w:val="00187EF3"/>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21B2"/>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4B18"/>
    <w:rsid w:val="00247265"/>
    <w:rsid w:val="00260663"/>
    <w:rsid w:val="002657E9"/>
    <w:rsid w:val="0026665E"/>
    <w:rsid w:val="0027147E"/>
    <w:rsid w:val="002761F4"/>
    <w:rsid w:val="002775E1"/>
    <w:rsid w:val="00277979"/>
    <w:rsid w:val="00286643"/>
    <w:rsid w:val="00291ADD"/>
    <w:rsid w:val="002920DF"/>
    <w:rsid w:val="00292F3D"/>
    <w:rsid w:val="00295CA1"/>
    <w:rsid w:val="002A0D2C"/>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6F12"/>
    <w:rsid w:val="003106DB"/>
    <w:rsid w:val="0031350A"/>
    <w:rsid w:val="00316815"/>
    <w:rsid w:val="003168CA"/>
    <w:rsid w:val="00321255"/>
    <w:rsid w:val="0032230D"/>
    <w:rsid w:val="00322A0B"/>
    <w:rsid w:val="00330881"/>
    <w:rsid w:val="00331CD2"/>
    <w:rsid w:val="00332426"/>
    <w:rsid w:val="00334087"/>
    <w:rsid w:val="00335C41"/>
    <w:rsid w:val="00335FC5"/>
    <w:rsid w:val="0033771E"/>
    <w:rsid w:val="00337FEF"/>
    <w:rsid w:val="00354B6D"/>
    <w:rsid w:val="00355210"/>
    <w:rsid w:val="00355CFD"/>
    <w:rsid w:val="00365DF9"/>
    <w:rsid w:val="0037066E"/>
    <w:rsid w:val="00370955"/>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75D96"/>
    <w:rsid w:val="00482C17"/>
    <w:rsid w:val="00484CE3"/>
    <w:rsid w:val="00487E85"/>
    <w:rsid w:val="00490B22"/>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05B2"/>
    <w:rsid w:val="005720AE"/>
    <w:rsid w:val="00574A0C"/>
    <w:rsid w:val="0057780F"/>
    <w:rsid w:val="00581E0A"/>
    <w:rsid w:val="00586D89"/>
    <w:rsid w:val="005877C8"/>
    <w:rsid w:val="00587923"/>
    <w:rsid w:val="00594D4B"/>
    <w:rsid w:val="00594F9F"/>
    <w:rsid w:val="005A1B4C"/>
    <w:rsid w:val="005A2197"/>
    <w:rsid w:val="005A545C"/>
    <w:rsid w:val="005B271A"/>
    <w:rsid w:val="005B3A2D"/>
    <w:rsid w:val="005C1567"/>
    <w:rsid w:val="005C28D3"/>
    <w:rsid w:val="005C6CE5"/>
    <w:rsid w:val="005C6E30"/>
    <w:rsid w:val="005D3F07"/>
    <w:rsid w:val="005D4A1E"/>
    <w:rsid w:val="005D4F72"/>
    <w:rsid w:val="005E13EA"/>
    <w:rsid w:val="005E17F1"/>
    <w:rsid w:val="005F64AA"/>
    <w:rsid w:val="005F7851"/>
    <w:rsid w:val="00603A9B"/>
    <w:rsid w:val="00606E27"/>
    <w:rsid w:val="006108C9"/>
    <w:rsid w:val="00610CFE"/>
    <w:rsid w:val="00614DF7"/>
    <w:rsid w:val="006179BB"/>
    <w:rsid w:val="0062158D"/>
    <w:rsid w:val="006223FD"/>
    <w:rsid w:val="006326D1"/>
    <w:rsid w:val="00632E0A"/>
    <w:rsid w:val="00633165"/>
    <w:rsid w:val="00633AC1"/>
    <w:rsid w:val="006447DE"/>
    <w:rsid w:val="00644889"/>
    <w:rsid w:val="006453BC"/>
    <w:rsid w:val="0065276E"/>
    <w:rsid w:val="00654329"/>
    <w:rsid w:val="00654B60"/>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4A52"/>
    <w:rsid w:val="0069625A"/>
    <w:rsid w:val="00696A88"/>
    <w:rsid w:val="00696F65"/>
    <w:rsid w:val="00697572"/>
    <w:rsid w:val="006B2434"/>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4779"/>
    <w:rsid w:val="007872F2"/>
    <w:rsid w:val="007873F9"/>
    <w:rsid w:val="007908E0"/>
    <w:rsid w:val="00793EB3"/>
    <w:rsid w:val="00794205"/>
    <w:rsid w:val="0079422A"/>
    <w:rsid w:val="007A1F6A"/>
    <w:rsid w:val="007A2CF4"/>
    <w:rsid w:val="007A628F"/>
    <w:rsid w:val="007B0DE3"/>
    <w:rsid w:val="007B1BFD"/>
    <w:rsid w:val="007B7191"/>
    <w:rsid w:val="007C1A45"/>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0EA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6AB6"/>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959E9"/>
    <w:rsid w:val="009A2F49"/>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5584"/>
    <w:rsid w:val="00A37416"/>
    <w:rsid w:val="00A40ED6"/>
    <w:rsid w:val="00A44762"/>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30B6"/>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156A"/>
    <w:rsid w:val="00B6548F"/>
    <w:rsid w:val="00B707CC"/>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2E0"/>
    <w:rsid w:val="00C50A05"/>
    <w:rsid w:val="00C5292F"/>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84A"/>
    <w:rsid w:val="00D07026"/>
    <w:rsid w:val="00D10AE8"/>
    <w:rsid w:val="00D146AE"/>
    <w:rsid w:val="00D22C8F"/>
    <w:rsid w:val="00D3203C"/>
    <w:rsid w:val="00D33491"/>
    <w:rsid w:val="00D3442D"/>
    <w:rsid w:val="00D36F00"/>
    <w:rsid w:val="00D44B67"/>
    <w:rsid w:val="00D44F8E"/>
    <w:rsid w:val="00D5012F"/>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57E2"/>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5588"/>
    <w:rsid w:val="00F66272"/>
    <w:rsid w:val="00F709C0"/>
    <w:rsid w:val="00F71319"/>
    <w:rsid w:val="00F74163"/>
    <w:rsid w:val="00F81FEC"/>
    <w:rsid w:val="00F91E3C"/>
    <w:rsid w:val="00F927A1"/>
    <w:rsid w:val="00F92E4D"/>
    <w:rsid w:val="00F95D08"/>
    <w:rsid w:val="00FA0497"/>
    <w:rsid w:val="00FA23BD"/>
    <w:rsid w:val="00FA3764"/>
    <w:rsid w:val="00FA41C7"/>
    <w:rsid w:val="00FA4A79"/>
    <w:rsid w:val="00FA56ED"/>
    <w:rsid w:val="00FB0201"/>
    <w:rsid w:val="00FB05DD"/>
    <w:rsid w:val="00FB0F7C"/>
    <w:rsid w:val="00FB24EA"/>
    <w:rsid w:val="00FB5FA6"/>
    <w:rsid w:val="00FC0334"/>
    <w:rsid w:val="00FC1310"/>
    <w:rsid w:val="00FC2FF3"/>
    <w:rsid w:val="00FC3263"/>
    <w:rsid w:val="00FC51F9"/>
    <w:rsid w:val="00FC5B40"/>
    <w:rsid w:val="00FC5FF8"/>
    <w:rsid w:val="00FC66BB"/>
    <w:rsid w:val="00FD1E7E"/>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4</Pages>
  <Words>1195</Words>
  <Characters>6628</Characters>
  <Application>Microsoft Office Word</Application>
  <DocSecurity>0</DocSecurity>
  <Lines>144</Lines>
  <Paragraphs>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Jessica Worthington</cp:lastModifiedBy>
  <cp:revision>39</cp:revision>
  <cp:lastPrinted>2020-02-11T19:20:00Z</cp:lastPrinted>
  <dcterms:created xsi:type="dcterms:W3CDTF">2025-09-11T16:01:00Z</dcterms:created>
  <dcterms:modified xsi:type="dcterms:W3CDTF">2025-10-06T18:05:00Z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