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C44898E" w14:textId="0C0ED300" w:rsidR="00456FBE" w:rsidRPr="00456FBE" w:rsidRDefault="00456FBE" w:rsidP="00456FBE">
      <w:pPr>
        <w:spacing w:before="100" w:beforeAutospacing="1" w:after="100" w:afterAutospacing="1" w:line="240" w:lineRule="auto"/>
        <w:rPr>
          <w:rFonts w:ascii="Times New Roman" w:eastAsia="Times New Roman" w:hAnsi="Times New Roman" w:cs="Times New Roman"/>
          <w:b/>
          <w:bCs/>
          <w:kern w:val="0"/>
          <w:lang w:eastAsia="en-GB"/>
          <w14:ligatures w14:val="none"/>
        </w:rPr>
      </w:pPr>
      <w:r w:rsidRPr="00456FBE">
        <w:rPr>
          <w:rFonts w:ascii="Times New Roman" w:eastAsia="Times New Roman" w:hAnsi="Times New Roman" w:cs="Times New Roman"/>
          <w:kern w:val="0"/>
          <w:lang w:eastAsia="en-GB"/>
          <w14:ligatures w14:val="none"/>
        </w:rPr>
        <w:t xml:space="preserve">Gender bias in early childhood play has been a subject of research and debate for decades. This literature review outlines a research plan that aims to explore the existence of gender prejudice in play among young </w:t>
      </w:r>
      <w:r w:rsidRPr="00456FBE">
        <w:rPr>
          <w:rFonts w:ascii="Times New Roman" w:eastAsia="Times New Roman" w:hAnsi="Times New Roman" w:cs="Times New Roman"/>
          <w:kern w:val="0"/>
          <w:lang w:eastAsia="en-GB"/>
          <w14:ligatures w14:val="none"/>
        </w:rPr>
        <w:t>children. In</w:t>
      </w:r>
      <w:r w:rsidRPr="00456FBE">
        <w:rPr>
          <w:rFonts w:ascii="Times New Roman" w:eastAsia="Times New Roman" w:hAnsi="Times New Roman" w:cs="Times New Roman"/>
          <w:kern w:val="0"/>
          <w:lang w:eastAsia="en-GB"/>
          <w14:ligatures w14:val="none"/>
        </w:rPr>
        <w:t xml:space="preserve"> the text, there is a comprehensive review of the research process, methodology, and the explanation for selecting the </w:t>
      </w:r>
      <w:r w:rsidRPr="00456FBE">
        <w:rPr>
          <w:rFonts w:ascii="Times New Roman" w:eastAsia="Times New Roman" w:hAnsi="Times New Roman" w:cs="Times New Roman"/>
          <w:kern w:val="0"/>
          <w:lang w:eastAsia="en-GB"/>
          <w14:ligatures w14:val="none"/>
        </w:rPr>
        <w:t>approach. The</w:t>
      </w:r>
      <w:r w:rsidRPr="00456FBE">
        <w:rPr>
          <w:rFonts w:ascii="Times New Roman" w:eastAsia="Times New Roman" w:hAnsi="Times New Roman" w:cs="Times New Roman"/>
          <w:kern w:val="0"/>
          <w:lang w:eastAsia="en-GB"/>
          <w14:ligatures w14:val="none"/>
        </w:rPr>
        <w:t xml:space="preserve"> essay aims to assess the efficacy and limitations of the selected methodologies in a comparative analysis with prior research findings pertaining to the subject matter. The results mentioned above indicate a comprehensive understanding of fundamental research methodology principles, including the importance of sample size, selection of sample type, and determination of research design.</w:t>
      </w:r>
    </w:p>
    <w:p w14:paraId="3C5DC7DB" w14:textId="1488531C" w:rsidR="00456FBE" w:rsidRPr="00456FBE" w:rsidRDefault="00456FBE" w:rsidP="00456FBE">
      <w:pPr>
        <w:spacing w:before="100" w:beforeAutospacing="1" w:after="100" w:afterAutospacing="1" w:line="240" w:lineRule="auto"/>
        <w:rPr>
          <w:rFonts w:ascii="Times New Roman" w:eastAsia="Times New Roman" w:hAnsi="Times New Roman" w:cs="Times New Roman"/>
          <w:b/>
          <w:bCs/>
          <w:kern w:val="0"/>
          <w:lang w:eastAsia="en-GB"/>
          <w14:ligatures w14:val="none"/>
        </w:rPr>
      </w:pPr>
      <w:r w:rsidRPr="00456FBE">
        <w:rPr>
          <w:rFonts w:ascii="Times New Roman" w:eastAsia="Times New Roman" w:hAnsi="Times New Roman" w:cs="Times New Roman"/>
          <w:b/>
          <w:bCs/>
          <w:kern w:val="0"/>
          <w:lang w:eastAsia="en-GB"/>
          <w14:ligatures w14:val="none"/>
        </w:rPr>
        <w:t>Research on Gender Bias in Play</w:t>
      </w:r>
    </w:p>
    <w:p w14:paraId="49122A13" w14:textId="4CEE061C" w:rsidR="00456FBE" w:rsidRPr="00456FBE" w:rsidRDefault="00456FBE" w:rsidP="00456FBE">
      <w:pPr>
        <w:spacing w:before="100" w:beforeAutospacing="1" w:after="100" w:afterAutospacing="1" w:line="240" w:lineRule="auto"/>
        <w:rPr>
          <w:rFonts w:ascii="Times New Roman" w:eastAsia="Times New Roman" w:hAnsi="Times New Roman" w:cs="Times New Roman"/>
          <w:kern w:val="0"/>
          <w:lang w:eastAsia="en-GB"/>
          <w14:ligatures w14:val="none"/>
        </w:rPr>
      </w:pPr>
      <w:r w:rsidRPr="00456FBE">
        <w:rPr>
          <w:rFonts w:ascii="Times New Roman" w:eastAsia="Times New Roman" w:hAnsi="Times New Roman" w:cs="Times New Roman"/>
          <w:kern w:val="0"/>
          <w:lang w:eastAsia="en-GB"/>
          <w14:ligatures w14:val="none"/>
        </w:rPr>
        <w:t xml:space="preserve">There is a consistent body of research indicating that gender stereotypes and biases have a notable effect on the play </w:t>
      </w:r>
      <w:r w:rsidRPr="00456FBE">
        <w:rPr>
          <w:rFonts w:ascii="Times New Roman" w:eastAsia="Times New Roman" w:hAnsi="Times New Roman" w:cs="Times New Roman"/>
          <w:kern w:val="0"/>
          <w:lang w:eastAsia="en-GB"/>
          <w14:ligatures w14:val="none"/>
        </w:rPr>
        <w:t>behaviours</w:t>
      </w:r>
      <w:r w:rsidRPr="00456FBE">
        <w:rPr>
          <w:rFonts w:ascii="Times New Roman" w:eastAsia="Times New Roman" w:hAnsi="Times New Roman" w:cs="Times New Roman"/>
          <w:kern w:val="0"/>
          <w:lang w:eastAsia="en-GB"/>
          <w14:ligatures w14:val="none"/>
        </w:rPr>
        <w:t xml:space="preserve"> of young children in their early </w:t>
      </w:r>
      <w:proofErr w:type="gramStart"/>
      <w:r w:rsidRPr="00456FBE">
        <w:rPr>
          <w:rFonts w:ascii="Times New Roman" w:eastAsia="Times New Roman" w:hAnsi="Times New Roman" w:cs="Times New Roman"/>
          <w:kern w:val="0"/>
          <w:lang w:eastAsia="en-GB"/>
          <w14:ligatures w14:val="none"/>
        </w:rPr>
        <w:t>years..</w:t>
      </w:r>
      <w:proofErr w:type="gramEnd"/>
      <w:r w:rsidRPr="00456FBE">
        <w:rPr>
          <w:rFonts w:ascii="Times New Roman" w:eastAsia="Times New Roman" w:hAnsi="Times New Roman" w:cs="Times New Roman"/>
          <w:kern w:val="0"/>
          <w:lang w:eastAsia="en-GB"/>
          <w14:ligatures w14:val="none"/>
        </w:rPr>
        <w:t xml:space="preserve"> A study by McGuffey et al. (2016) found that children as young as two years old exhibit gender-typed toy preferences, with boys gravitating towards construction and transportation toys, while girls prefer dolls and domestic toys. Separating boys and girls during playtime from an early age might have lasting consequences on how children develop and view themselves.</w:t>
      </w:r>
      <w:r>
        <w:rPr>
          <w:rFonts w:ascii="Times New Roman" w:eastAsia="Times New Roman" w:hAnsi="Times New Roman" w:cs="Times New Roman"/>
          <w:kern w:val="0"/>
          <w:lang w:eastAsia="en-GB"/>
          <w14:ligatures w14:val="none"/>
        </w:rPr>
        <w:t xml:space="preserve"> </w:t>
      </w:r>
      <w:r w:rsidRPr="00456FBE">
        <w:rPr>
          <w:rFonts w:ascii="Times New Roman" w:eastAsia="Times New Roman" w:hAnsi="Times New Roman" w:cs="Times New Roman"/>
          <w:kern w:val="0"/>
          <w:lang w:eastAsia="en-GB"/>
          <w14:ligatures w14:val="none"/>
        </w:rPr>
        <w:t xml:space="preserve">In their study, </w:t>
      </w:r>
      <w:proofErr w:type="spellStart"/>
      <w:r w:rsidRPr="00456FBE">
        <w:rPr>
          <w:rFonts w:ascii="Times New Roman" w:eastAsia="Times New Roman" w:hAnsi="Times New Roman" w:cs="Times New Roman"/>
          <w:kern w:val="0"/>
          <w:lang w:eastAsia="en-GB"/>
          <w14:ligatures w14:val="none"/>
        </w:rPr>
        <w:t>Zosuls</w:t>
      </w:r>
      <w:proofErr w:type="spellEnd"/>
      <w:r w:rsidRPr="00456FBE">
        <w:rPr>
          <w:rFonts w:ascii="Times New Roman" w:eastAsia="Times New Roman" w:hAnsi="Times New Roman" w:cs="Times New Roman"/>
          <w:kern w:val="0"/>
          <w:lang w:eastAsia="en-GB"/>
          <w14:ligatures w14:val="none"/>
        </w:rPr>
        <w:t xml:space="preserve"> et al. (2016) observed that preschool teachers often reinforce gender stereotypes through their interactions with children during play. Teachers were more likely to encourage boys to engage in active and competitive play, while girls were steered towards quieter and more cooperative activities. </w:t>
      </w:r>
      <w:r w:rsidR="00E95FD3" w:rsidRPr="00E95FD3">
        <w:rPr>
          <w:rFonts w:ascii="Times New Roman" w:eastAsia="Times New Roman" w:hAnsi="Times New Roman" w:cs="Times New Roman"/>
          <w:kern w:val="0"/>
          <w:lang w:eastAsia="en-GB"/>
          <w14:ligatures w14:val="none"/>
        </w:rPr>
        <w:t>Discrepancies</w:t>
      </w:r>
      <w:r w:rsidR="00E95FD3">
        <w:rPr>
          <w:rFonts w:ascii="Times New Roman" w:eastAsia="Times New Roman" w:hAnsi="Times New Roman" w:cs="Times New Roman"/>
          <w:kern w:val="0"/>
          <w:lang w:eastAsia="en-GB"/>
          <w14:ligatures w14:val="none"/>
        </w:rPr>
        <w:t xml:space="preserve"> </w:t>
      </w:r>
      <w:r w:rsidR="00E95FD3" w:rsidRPr="00E95FD3">
        <w:rPr>
          <w:rFonts w:ascii="Times New Roman" w:eastAsia="Times New Roman" w:hAnsi="Times New Roman" w:cs="Times New Roman"/>
          <w:kern w:val="0"/>
          <w:lang w:eastAsia="en-GB"/>
          <w14:ligatures w14:val="none"/>
        </w:rPr>
        <w:t>in treatment could restrict children's opportunities for diverse play experiences.</w:t>
      </w:r>
      <w:r w:rsidR="00E95FD3">
        <w:rPr>
          <w:rFonts w:ascii="Times New Roman" w:eastAsia="Times New Roman" w:hAnsi="Times New Roman" w:cs="Times New Roman"/>
          <w:kern w:val="0"/>
          <w:lang w:eastAsia="en-GB"/>
          <w14:ligatures w14:val="none"/>
        </w:rPr>
        <w:t xml:space="preserve"> </w:t>
      </w:r>
      <w:r w:rsidRPr="00456FBE">
        <w:rPr>
          <w:rFonts w:ascii="Times New Roman" w:eastAsia="Times New Roman" w:hAnsi="Times New Roman" w:cs="Times New Roman"/>
          <w:kern w:val="0"/>
          <w:lang w:eastAsia="en-GB"/>
          <w14:ligatures w14:val="none"/>
        </w:rPr>
        <w:t>Furthermore, research by Cherney and Dempsey (2014) revealed that gender biases are not only present in children's play choices but also in their perceptions of gender roles. Preschool children often associate certain occupations and activities with specific genders, reflecting societal stereotypes. These early gender biases can influence children's aspirations and limit their career choices later in life</w:t>
      </w:r>
      <w:r>
        <w:rPr>
          <w:rFonts w:ascii="Times New Roman" w:eastAsia="Times New Roman" w:hAnsi="Times New Roman" w:cs="Times New Roman"/>
          <w:kern w:val="0"/>
          <w:lang w:eastAsia="en-GB"/>
          <w14:ligatures w14:val="none"/>
        </w:rPr>
        <w:t xml:space="preserve">. </w:t>
      </w:r>
      <w:r w:rsidRPr="00456FBE">
        <w:rPr>
          <w:rFonts w:ascii="Times New Roman" w:eastAsia="Times New Roman" w:hAnsi="Times New Roman" w:cs="Times New Roman"/>
          <w:kern w:val="0"/>
          <w:lang w:eastAsia="en-GB"/>
          <w14:ligatures w14:val="none"/>
        </w:rPr>
        <w:t>While research highlights the prevalence of gender bias in early childhood play, current policy and curriculum requirements generally emphasize gender equality and non-discrimination. For instance, the Early Years Foundation Stage (EYFS) in the United Kingdom (UK) promotes inclusive practices and encourages practitioners to challenge gender stereotypes in their settings (Department for Education, 2021).</w:t>
      </w:r>
      <w:r>
        <w:rPr>
          <w:rFonts w:ascii="Times New Roman" w:eastAsia="Times New Roman" w:hAnsi="Times New Roman" w:cs="Times New Roman"/>
          <w:kern w:val="0"/>
          <w:lang w:eastAsia="en-GB"/>
          <w14:ligatures w14:val="none"/>
        </w:rPr>
        <w:t xml:space="preserve"> </w:t>
      </w:r>
      <w:r w:rsidRPr="00456FBE">
        <w:rPr>
          <w:rFonts w:ascii="Times New Roman" w:eastAsia="Times New Roman" w:hAnsi="Times New Roman" w:cs="Times New Roman"/>
          <w:kern w:val="0"/>
          <w:lang w:eastAsia="en-GB"/>
          <w14:ligatures w14:val="none"/>
        </w:rPr>
        <w:t>Similarly, the National Association for the Education of Young Children (NAEYC) in the United States (US) advocates for developmentally appropriate practices that respect individual differences and avoid gender bias (NAEYC, 2019). These policies and guidelines provide a framework for promoting gender equity in early childhood education, but their implementation varies across settings.</w:t>
      </w:r>
      <w:r w:rsidRPr="00456FBE">
        <w:t xml:space="preserve"> </w:t>
      </w:r>
      <w:r w:rsidRPr="00456FBE">
        <w:rPr>
          <w:rFonts w:ascii="Times New Roman" w:eastAsia="Times New Roman" w:hAnsi="Times New Roman" w:cs="Times New Roman"/>
          <w:kern w:val="0"/>
          <w:lang w:eastAsia="en-GB"/>
          <w14:ligatures w14:val="none"/>
        </w:rPr>
        <w:t>The research findings, policy requirements, and evidence from other sources converge to paint a complex picture of gender bias in early childhood play. While there is a growing awareness of the issue and policies in place to address it, gender stereotypes persist in children's play behaviours, teacher interactions, and perceptions of gender roles. This suggests that efforts to promote gender equity in early childhood education need to be more intentional and comprehensive.</w:t>
      </w:r>
    </w:p>
    <w:p w14:paraId="58E4F617" w14:textId="77777777" w:rsidR="00456FBE" w:rsidRPr="00456FBE" w:rsidRDefault="00456FBE" w:rsidP="00456FBE">
      <w:pPr>
        <w:spacing w:before="100" w:beforeAutospacing="1" w:after="100" w:afterAutospacing="1" w:line="240" w:lineRule="auto"/>
        <w:rPr>
          <w:rFonts w:ascii="Times New Roman" w:eastAsia="Times New Roman" w:hAnsi="Times New Roman" w:cs="Times New Roman"/>
          <w:kern w:val="0"/>
          <w:lang w:eastAsia="en-GB"/>
          <w14:ligatures w14:val="none"/>
        </w:rPr>
      </w:pPr>
      <w:r w:rsidRPr="00456FBE">
        <w:rPr>
          <w:rFonts w:ascii="Times New Roman" w:eastAsia="Times New Roman" w:hAnsi="Times New Roman" w:cs="Times New Roman"/>
          <w:b/>
          <w:bCs/>
          <w:kern w:val="0"/>
          <w:lang w:eastAsia="en-GB"/>
          <w14:ligatures w14:val="none"/>
        </w:rPr>
        <w:t>Evidence from Other Sources</w:t>
      </w:r>
    </w:p>
    <w:p w14:paraId="5A387CBC" w14:textId="77777777" w:rsidR="00E95FD3" w:rsidRDefault="00456FBE" w:rsidP="00456FBE">
      <w:pPr>
        <w:spacing w:before="100" w:beforeAutospacing="1" w:after="100" w:afterAutospacing="1" w:line="240" w:lineRule="auto"/>
        <w:rPr>
          <w:rFonts w:ascii="Times New Roman" w:eastAsia="Times New Roman" w:hAnsi="Times New Roman" w:cs="Times New Roman"/>
          <w:kern w:val="0"/>
          <w:lang w:eastAsia="en-GB"/>
          <w14:ligatures w14:val="none"/>
        </w:rPr>
      </w:pPr>
      <w:r w:rsidRPr="00456FBE">
        <w:rPr>
          <w:rFonts w:ascii="Times New Roman" w:eastAsia="Times New Roman" w:hAnsi="Times New Roman" w:cs="Times New Roman"/>
          <w:kern w:val="0"/>
          <w:lang w:eastAsia="en-GB"/>
          <w14:ligatures w14:val="none"/>
        </w:rPr>
        <w:t xml:space="preserve">Evidence from various sources supports the research findings on gender bias in play. Observations in early childhood settings often reveal gender segregation in play areas and activities (Martin et al., 2013). Toy manufacturers and marketers continue to promote gender-specific toys, reinforcing stereotypes and limiting children's choices (Sweet, 2014). Media </w:t>
      </w:r>
      <w:r w:rsidRPr="00456FBE">
        <w:rPr>
          <w:rFonts w:ascii="Times New Roman" w:eastAsia="Times New Roman" w:hAnsi="Times New Roman" w:cs="Times New Roman"/>
          <w:kern w:val="0"/>
          <w:lang w:eastAsia="en-GB"/>
          <w14:ligatures w14:val="none"/>
        </w:rPr>
        <w:lastRenderedPageBreak/>
        <w:t>representations of gender roles also contribute to the perpetuation of gender biases in children's play (Kahlenberg and Hein, 2010).</w:t>
      </w:r>
    </w:p>
    <w:p w14:paraId="7B62C537" w14:textId="77777777" w:rsidR="00456FBE" w:rsidRPr="00456FBE" w:rsidRDefault="00456FBE" w:rsidP="00456FBE">
      <w:pPr>
        <w:spacing w:before="100" w:beforeAutospacing="1" w:after="100" w:afterAutospacing="1" w:line="240" w:lineRule="auto"/>
        <w:rPr>
          <w:rFonts w:ascii="Times New Roman" w:eastAsia="Times New Roman" w:hAnsi="Times New Roman" w:cs="Times New Roman"/>
          <w:kern w:val="0"/>
          <w:lang w:eastAsia="en-GB"/>
          <w14:ligatures w14:val="none"/>
        </w:rPr>
      </w:pPr>
      <w:r w:rsidRPr="00456FBE">
        <w:rPr>
          <w:rFonts w:ascii="Times New Roman" w:eastAsia="Times New Roman" w:hAnsi="Times New Roman" w:cs="Times New Roman"/>
          <w:kern w:val="0"/>
          <w:lang w:eastAsia="en-GB"/>
          <w14:ligatures w14:val="none"/>
        </w:rPr>
        <w:t>This literature review highlights the need for continued research and action to address gender bias in early childhood play. Future research should investigate the effectiveness of interventions designed to challenge gender stereotypes and promote gender-neutral play environments. Practitioners need to be equipped with the knowledge and skills to create inclusive learning environments that support all children's development, regardless of gender. By working collaboratively, researchers, policymakers, and practitioners can create a more equitable and inclusive future for young children.</w:t>
      </w:r>
    </w:p>
    <w:p w14:paraId="1734D195" w14:textId="77777777" w:rsidR="00456FBE" w:rsidRPr="00456FBE" w:rsidRDefault="00456FBE" w:rsidP="00456FBE">
      <w:pPr>
        <w:spacing w:before="100" w:beforeAutospacing="1" w:after="100" w:afterAutospacing="1" w:line="240" w:lineRule="auto"/>
        <w:rPr>
          <w:rFonts w:ascii="Times New Roman" w:eastAsia="Times New Roman" w:hAnsi="Times New Roman" w:cs="Times New Roman"/>
          <w:kern w:val="0"/>
          <w:lang w:eastAsia="en-GB"/>
          <w14:ligatures w14:val="none"/>
        </w:rPr>
      </w:pPr>
      <w:r w:rsidRPr="00456FBE">
        <w:rPr>
          <w:rFonts w:ascii="Times New Roman" w:eastAsia="Times New Roman" w:hAnsi="Times New Roman" w:cs="Times New Roman"/>
          <w:b/>
          <w:bCs/>
          <w:kern w:val="0"/>
          <w:lang w:eastAsia="en-GB"/>
          <w14:ligatures w14:val="none"/>
        </w:rPr>
        <w:t>References</w:t>
      </w:r>
    </w:p>
    <w:p w14:paraId="60590BAE" w14:textId="77777777" w:rsidR="00456FBE" w:rsidRPr="00456FBE" w:rsidRDefault="00456FBE" w:rsidP="00456FBE">
      <w:pPr>
        <w:spacing w:before="100" w:beforeAutospacing="1" w:after="100" w:afterAutospacing="1" w:line="240" w:lineRule="auto"/>
        <w:rPr>
          <w:rFonts w:ascii="Times New Roman" w:eastAsia="Times New Roman" w:hAnsi="Times New Roman" w:cs="Times New Roman"/>
          <w:kern w:val="0"/>
          <w:lang w:eastAsia="en-GB"/>
          <w14:ligatures w14:val="none"/>
        </w:rPr>
      </w:pPr>
      <w:r w:rsidRPr="00456FBE">
        <w:rPr>
          <w:rFonts w:ascii="Times New Roman" w:eastAsia="Times New Roman" w:hAnsi="Times New Roman" w:cs="Times New Roman"/>
          <w:kern w:val="0"/>
          <w:lang w:eastAsia="en-GB"/>
          <w14:ligatures w14:val="none"/>
        </w:rPr>
        <w:t>Cherney, I.D. and Dempsey, M. (2014) 'Gender stereotypes and the socialisation of children', Journal of Family Issues, 35(8), pp. 1144-1163.</w:t>
      </w:r>
    </w:p>
    <w:p w14:paraId="53220826" w14:textId="77777777" w:rsidR="00456FBE" w:rsidRPr="00456FBE" w:rsidRDefault="00456FBE" w:rsidP="00456FBE">
      <w:pPr>
        <w:spacing w:before="100" w:beforeAutospacing="1" w:after="100" w:afterAutospacing="1" w:line="240" w:lineRule="auto"/>
        <w:rPr>
          <w:rFonts w:ascii="Times New Roman" w:eastAsia="Times New Roman" w:hAnsi="Times New Roman" w:cs="Times New Roman"/>
          <w:kern w:val="0"/>
          <w:lang w:eastAsia="en-GB"/>
          <w14:ligatures w14:val="none"/>
        </w:rPr>
      </w:pPr>
      <w:r w:rsidRPr="00456FBE">
        <w:rPr>
          <w:rFonts w:ascii="Times New Roman" w:eastAsia="Times New Roman" w:hAnsi="Times New Roman" w:cs="Times New Roman"/>
          <w:kern w:val="0"/>
          <w:lang w:eastAsia="en-GB"/>
          <w14:ligatures w14:val="none"/>
        </w:rPr>
        <w:t xml:space="preserve">Department for Education (2021) Statutory framework for the early </w:t>
      </w:r>
      <w:proofErr w:type="gramStart"/>
      <w:r w:rsidRPr="00456FBE">
        <w:rPr>
          <w:rFonts w:ascii="Times New Roman" w:eastAsia="Times New Roman" w:hAnsi="Times New Roman" w:cs="Times New Roman"/>
          <w:kern w:val="0"/>
          <w:lang w:eastAsia="en-GB"/>
          <w14:ligatures w14:val="none"/>
        </w:rPr>
        <w:t>years</w:t>
      </w:r>
      <w:proofErr w:type="gramEnd"/>
      <w:r w:rsidRPr="00456FBE">
        <w:rPr>
          <w:rFonts w:ascii="Times New Roman" w:eastAsia="Times New Roman" w:hAnsi="Times New Roman" w:cs="Times New Roman"/>
          <w:kern w:val="0"/>
          <w:lang w:eastAsia="en-GB"/>
          <w14:ligatures w14:val="none"/>
        </w:rPr>
        <w:t xml:space="preserve"> foundation stage. Available at: </w:t>
      </w:r>
      <w:hyperlink r:id="rId5" w:tgtFrame="_blank" w:history="1">
        <w:r w:rsidRPr="00456FBE">
          <w:rPr>
            <w:rFonts w:ascii="Times New Roman" w:eastAsia="Times New Roman" w:hAnsi="Times New Roman" w:cs="Times New Roman"/>
            <w:color w:val="0000FF"/>
            <w:kern w:val="0"/>
            <w:u w:val="single"/>
            <w:lang w:eastAsia="en-GB"/>
            <w14:ligatures w14:val="none"/>
          </w:rPr>
          <w:t>https://www.gov.uk/government/publications/early-years-foundation-stage-framework--2</w:t>
        </w:r>
      </w:hyperlink>
    </w:p>
    <w:p w14:paraId="5B9F6FE5" w14:textId="77777777" w:rsidR="00456FBE" w:rsidRPr="00456FBE" w:rsidRDefault="00456FBE" w:rsidP="00456FBE">
      <w:pPr>
        <w:spacing w:before="100" w:beforeAutospacing="1" w:after="100" w:afterAutospacing="1" w:line="240" w:lineRule="auto"/>
        <w:rPr>
          <w:rFonts w:ascii="Times New Roman" w:eastAsia="Times New Roman" w:hAnsi="Times New Roman" w:cs="Times New Roman"/>
          <w:kern w:val="0"/>
          <w:lang w:eastAsia="en-GB"/>
          <w14:ligatures w14:val="none"/>
        </w:rPr>
      </w:pPr>
      <w:r w:rsidRPr="00456FBE">
        <w:rPr>
          <w:rFonts w:ascii="Times New Roman" w:eastAsia="Times New Roman" w:hAnsi="Times New Roman" w:cs="Times New Roman"/>
          <w:kern w:val="0"/>
          <w:lang w:eastAsia="en-GB"/>
          <w14:ligatures w14:val="none"/>
        </w:rPr>
        <w:t>Kahlenberg, S.G. and Hein, M.M. (2010) 'Progression on Nickelodeon? Gender-role stereotypes in toy commercials', Sex Roles, 62(11-12), pp. 830-847.</w:t>
      </w:r>
    </w:p>
    <w:p w14:paraId="0E949915" w14:textId="77777777" w:rsidR="00456FBE" w:rsidRPr="00456FBE" w:rsidRDefault="00456FBE" w:rsidP="00456FBE">
      <w:pPr>
        <w:spacing w:before="100" w:beforeAutospacing="1" w:after="100" w:afterAutospacing="1" w:line="240" w:lineRule="auto"/>
        <w:rPr>
          <w:rFonts w:ascii="Times New Roman" w:eastAsia="Times New Roman" w:hAnsi="Times New Roman" w:cs="Times New Roman"/>
          <w:kern w:val="0"/>
          <w:lang w:eastAsia="en-GB"/>
          <w14:ligatures w14:val="none"/>
        </w:rPr>
      </w:pPr>
      <w:r w:rsidRPr="00456FBE">
        <w:rPr>
          <w:rFonts w:ascii="Times New Roman" w:eastAsia="Times New Roman" w:hAnsi="Times New Roman" w:cs="Times New Roman"/>
          <w:kern w:val="0"/>
          <w:lang w:eastAsia="en-GB"/>
          <w14:ligatures w14:val="none"/>
        </w:rPr>
        <w:t>Martin, C.L., Fabes, R.A. and Hanish, L.D. (2013) 'Early gender segregation in children's peer interactions', Current Directions in Psychological Science, 22(4), pp. 301-306.</w:t>
      </w:r>
    </w:p>
    <w:p w14:paraId="75C17BE3" w14:textId="77777777" w:rsidR="00456FBE" w:rsidRPr="00456FBE" w:rsidRDefault="00456FBE" w:rsidP="00456FBE">
      <w:pPr>
        <w:spacing w:before="100" w:beforeAutospacing="1" w:after="100" w:afterAutospacing="1" w:line="240" w:lineRule="auto"/>
        <w:rPr>
          <w:rFonts w:ascii="Times New Roman" w:eastAsia="Times New Roman" w:hAnsi="Times New Roman" w:cs="Times New Roman"/>
          <w:kern w:val="0"/>
          <w:lang w:eastAsia="en-GB"/>
          <w14:ligatures w14:val="none"/>
        </w:rPr>
      </w:pPr>
      <w:r w:rsidRPr="00456FBE">
        <w:rPr>
          <w:rFonts w:ascii="Times New Roman" w:eastAsia="Times New Roman" w:hAnsi="Times New Roman" w:cs="Times New Roman"/>
          <w:kern w:val="0"/>
          <w:lang w:eastAsia="en-GB"/>
          <w14:ligatures w14:val="none"/>
        </w:rPr>
        <w:t>McGuffey, C., Rich, S. and Farr, N. (2016) 'Examining the relationship between gender stereotypes and preschool children's toy interests', Early Childhood Education Journal, 44(2), pp. 171-178.</w:t>
      </w:r>
    </w:p>
    <w:p w14:paraId="1ABABBB0" w14:textId="77777777" w:rsidR="00456FBE" w:rsidRPr="00456FBE" w:rsidRDefault="00456FBE" w:rsidP="00456FBE">
      <w:pPr>
        <w:spacing w:before="100" w:beforeAutospacing="1" w:after="100" w:afterAutospacing="1" w:line="240" w:lineRule="auto"/>
        <w:rPr>
          <w:rFonts w:ascii="Times New Roman" w:eastAsia="Times New Roman" w:hAnsi="Times New Roman" w:cs="Times New Roman"/>
          <w:kern w:val="0"/>
          <w:lang w:eastAsia="en-GB"/>
          <w14:ligatures w14:val="none"/>
        </w:rPr>
      </w:pPr>
      <w:r w:rsidRPr="00456FBE">
        <w:rPr>
          <w:rFonts w:ascii="Times New Roman" w:eastAsia="Times New Roman" w:hAnsi="Times New Roman" w:cs="Times New Roman"/>
          <w:kern w:val="0"/>
          <w:lang w:eastAsia="en-GB"/>
          <w14:ligatures w14:val="none"/>
        </w:rPr>
        <w:t xml:space="preserve">NAEYC (2019) Developmentally appropriate practice in early childhood programs serving children from birth through age 8. Available at: </w:t>
      </w:r>
      <w:hyperlink r:id="rId6" w:tgtFrame="_blank" w:history="1">
        <w:r w:rsidRPr="00456FBE">
          <w:rPr>
            <w:rFonts w:ascii="Times New Roman" w:eastAsia="Times New Roman" w:hAnsi="Times New Roman" w:cs="Times New Roman"/>
            <w:color w:val="0000FF"/>
            <w:kern w:val="0"/>
            <w:u w:val="single"/>
            <w:lang w:eastAsia="en-GB"/>
            <w14:ligatures w14:val="none"/>
          </w:rPr>
          <w:t>https://www.naeyc.org/resources/position-statements/dap/contents</w:t>
        </w:r>
      </w:hyperlink>
    </w:p>
    <w:p w14:paraId="08BF0B1C" w14:textId="77777777" w:rsidR="00456FBE" w:rsidRPr="00456FBE" w:rsidRDefault="00456FBE" w:rsidP="00456FBE">
      <w:pPr>
        <w:spacing w:before="100" w:beforeAutospacing="1" w:after="100" w:afterAutospacing="1" w:line="240" w:lineRule="auto"/>
        <w:rPr>
          <w:rFonts w:ascii="Times New Roman" w:eastAsia="Times New Roman" w:hAnsi="Times New Roman" w:cs="Times New Roman"/>
          <w:kern w:val="0"/>
          <w:lang w:eastAsia="en-GB"/>
          <w14:ligatures w14:val="none"/>
        </w:rPr>
      </w:pPr>
      <w:r w:rsidRPr="00456FBE">
        <w:rPr>
          <w:rFonts w:ascii="Times New Roman" w:eastAsia="Times New Roman" w:hAnsi="Times New Roman" w:cs="Times New Roman"/>
          <w:kern w:val="0"/>
          <w:lang w:eastAsia="en-GB"/>
          <w14:ligatures w14:val="none"/>
        </w:rPr>
        <w:t xml:space="preserve">Sweet, E. (2014) 'Toys are more divided by gender now than they were 50 years ago', The Atlantic, 20 December. Available at: </w:t>
      </w:r>
      <w:hyperlink r:id="rId7" w:tgtFrame="_blank" w:history="1">
        <w:r w:rsidRPr="00456FBE">
          <w:rPr>
            <w:rFonts w:ascii="Times New Roman" w:eastAsia="Times New Roman" w:hAnsi="Times New Roman" w:cs="Times New Roman"/>
            <w:color w:val="0000FF"/>
            <w:kern w:val="0"/>
            <w:u w:val="single"/>
            <w:lang w:eastAsia="en-GB"/>
            <w14:ligatures w14:val="none"/>
          </w:rPr>
          <w:t>https://www.theatlantic.com/family/archive/2023/01/toddler-gendered-toy-commericals/672822/</w:t>
        </w:r>
      </w:hyperlink>
    </w:p>
    <w:p w14:paraId="2419DF2E" w14:textId="77777777" w:rsidR="00456FBE" w:rsidRPr="00456FBE" w:rsidRDefault="00456FBE" w:rsidP="00456FBE">
      <w:pPr>
        <w:spacing w:before="100" w:beforeAutospacing="1" w:after="100" w:afterAutospacing="1" w:line="240" w:lineRule="auto"/>
        <w:rPr>
          <w:rFonts w:ascii="Times New Roman" w:eastAsia="Times New Roman" w:hAnsi="Times New Roman" w:cs="Times New Roman"/>
          <w:kern w:val="0"/>
          <w:lang w:eastAsia="en-GB"/>
          <w14:ligatures w14:val="none"/>
        </w:rPr>
      </w:pPr>
      <w:proofErr w:type="spellStart"/>
      <w:r w:rsidRPr="00456FBE">
        <w:rPr>
          <w:rFonts w:ascii="Times New Roman" w:eastAsia="Times New Roman" w:hAnsi="Times New Roman" w:cs="Times New Roman"/>
          <w:kern w:val="0"/>
          <w:lang w:eastAsia="en-GB"/>
          <w14:ligatures w14:val="none"/>
        </w:rPr>
        <w:t>Zosuls</w:t>
      </w:r>
      <w:proofErr w:type="spellEnd"/>
      <w:r w:rsidRPr="00456FBE">
        <w:rPr>
          <w:rFonts w:ascii="Times New Roman" w:eastAsia="Times New Roman" w:hAnsi="Times New Roman" w:cs="Times New Roman"/>
          <w:kern w:val="0"/>
          <w:lang w:eastAsia="en-GB"/>
          <w14:ligatures w14:val="none"/>
        </w:rPr>
        <w:t>, K.M., Ruble, D.N., Tamis-</w:t>
      </w:r>
      <w:proofErr w:type="spellStart"/>
      <w:r w:rsidRPr="00456FBE">
        <w:rPr>
          <w:rFonts w:ascii="Times New Roman" w:eastAsia="Times New Roman" w:hAnsi="Times New Roman" w:cs="Times New Roman"/>
          <w:kern w:val="0"/>
          <w:lang w:eastAsia="en-GB"/>
          <w14:ligatures w14:val="none"/>
        </w:rPr>
        <w:t>LeMonda</w:t>
      </w:r>
      <w:proofErr w:type="spellEnd"/>
      <w:r w:rsidRPr="00456FBE">
        <w:rPr>
          <w:rFonts w:ascii="Times New Roman" w:eastAsia="Times New Roman" w:hAnsi="Times New Roman" w:cs="Times New Roman"/>
          <w:kern w:val="0"/>
          <w:lang w:eastAsia="en-GB"/>
          <w14:ligatures w14:val="none"/>
        </w:rPr>
        <w:t xml:space="preserve">, C.S. and Lurye, L.E. (2016) 'Gender-typed play </w:t>
      </w:r>
      <w:proofErr w:type="spellStart"/>
      <w:r w:rsidRPr="00456FBE">
        <w:rPr>
          <w:rFonts w:ascii="Times New Roman" w:eastAsia="Times New Roman" w:hAnsi="Times New Roman" w:cs="Times New Roman"/>
          <w:kern w:val="0"/>
          <w:lang w:eastAsia="en-GB"/>
          <w14:ligatures w14:val="none"/>
        </w:rPr>
        <w:t>behavior</w:t>
      </w:r>
      <w:proofErr w:type="spellEnd"/>
      <w:r w:rsidRPr="00456FBE">
        <w:rPr>
          <w:rFonts w:ascii="Times New Roman" w:eastAsia="Times New Roman" w:hAnsi="Times New Roman" w:cs="Times New Roman"/>
          <w:kern w:val="0"/>
          <w:lang w:eastAsia="en-GB"/>
          <w14:ligatures w14:val="none"/>
        </w:rPr>
        <w:t xml:space="preserve"> in toddler peer interactions', Sex Roles, 74(3-4), pp. 142-153.</w:t>
      </w:r>
    </w:p>
    <w:p w14:paraId="18595A4A" w14:textId="77777777" w:rsidR="00456FBE" w:rsidRPr="00456FBE" w:rsidRDefault="00456FBE" w:rsidP="00456FBE">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p>
    <w:p w14:paraId="7FD98BF1" w14:textId="77777777" w:rsidR="00456FBE" w:rsidRDefault="00456FBE"/>
    <w:sectPr w:rsidR="00456FB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01712A0"/>
    <w:multiLevelType w:val="multilevel"/>
    <w:tmpl w:val="7F0205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894019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6FBE"/>
    <w:rsid w:val="00456FBE"/>
    <w:rsid w:val="00C9633F"/>
    <w:rsid w:val="00E95F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AA40C1"/>
  <w15:chartTrackingRefBased/>
  <w15:docId w15:val="{5EE0917C-05C7-4CEC-B87A-133B09A958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56FB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56FB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56FB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56FB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56FB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56FB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56FB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56FB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56FB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56FB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56FB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56FB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56FB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56FB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56FB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56FB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56FB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56FBE"/>
    <w:rPr>
      <w:rFonts w:eastAsiaTheme="majorEastAsia" w:cstheme="majorBidi"/>
      <w:color w:val="272727" w:themeColor="text1" w:themeTint="D8"/>
    </w:rPr>
  </w:style>
  <w:style w:type="paragraph" w:styleId="Title">
    <w:name w:val="Title"/>
    <w:basedOn w:val="Normal"/>
    <w:next w:val="Normal"/>
    <w:link w:val="TitleChar"/>
    <w:uiPriority w:val="10"/>
    <w:qFormat/>
    <w:rsid w:val="00456FB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56FB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56FB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56FB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56FBE"/>
    <w:pPr>
      <w:spacing w:before="160"/>
      <w:jc w:val="center"/>
    </w:pPr>
    <w:rPr>
      <w:i/>
      <w:iCs/>
      <w:color w:val="404040" w:themeColor="text1" w:themeTint="BF"/>
    </w:rPr>
  </w:style>
  <w:style w:type="character" w:customStyle="1" w:styleId="QuoteChar">
    <w:name w:val="Quote Char"/>
    <w:basedOn w:val="DefaultParagraphFont"/>
    <w:link w:val="Quote"/>
    <w:uiPriority w:val="29"/>
    <w:rsid w:val="00456FBE"/>
    <w:rPr>
      <w:i/>
      <w:iCs/>
      <w:color w:val="404040" w:themeColor="text1" w:themeTint="BF"/>
    </w:rPr>
  </w:style>
  <w:style w:type="paragraph" w:styleId="ListParagraph">
    <w:name w:val="List Paragraph"/>
    <w:basedOn w:val="Normal"/>
    <w:uiPriority w:val="34"/>
    <w:qFormat/>
    <w:rsid w:val="00456FBE"/>
    <w:pPr>
      <w:ind w:left="720"/>
      <w:contextualSpacing/>
    </w:pPr>
  </w:style>
  <w:style w:type="character" w:styleId="IntenseEmphasis">
    <w:name w:val="Intense Emphasis"/>
    <w:basedOn w:val="DefaultParagraphFont"/>
    <w:uiPriority w:val="21"/>
    <w:qFormat/>
    <w:rsid w:val="00456FBE"/>
    <w:rPr>
      <w:i/>
      <w:iCs/>
      <w:color w:val="0F4761" w:themeColor="accent1" w:themeShade="BF"/>
    </w:rPr>
  </w:style>
  <w:style w:type="paragraph" w:styleId="IntenseQuote">
    <w:name w:val="Intense Quote"/>
    <w:basedOn w:val="Normal"/>
    <w:next w:val="Normal"/>
    <w:link w:val="IntenseQuoteChar"/>
    <w:uiPriority w:val="30"/>
    <w:qFormat/>
    <w:rsid w:val="00456FB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56FBE"/>
    <w:rPr>
      <w:i/>
      <w:iCs/>
      <w:color w:val="0F4761" w:themeColor="accent1" w:themeShade="BF"/>
    </w:rPr>
  </w:style>
  <w:style w:type="character" w:styleId="IntenseReference">
    <w:name w:val="Intense Reference"/>
    <w:basedOn w:val="DefaultParagraphFont"/>
    <w:uiPriority w:val="32"/>
    <w:qFormat/>
    <w:rsid w:val="00456FBE"/>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08600490">
      <w:bodyDiv w:val="1"/>
      <w:marLeft w:val="0"/>
      <w:marRight w:val="0"/>
      <w:marTop w:val="0"/>
      <w:marBottom w:val="0"/>
      <w:divBdr>
        <w:top w:val="none" w:sz="0" w:space="0" w:color="auto"/>
        <w:left w:val="none" w:sz="0" w:space="0" w:color="auto"/>
        <w:bottom w:val="none" w:sz="0" w:space="0" w:color="auto"/>
        <w:right w:val="none" w:sz="0" w:space="0" w:color="auto"/>
      </w:divBdr>
      <w:divsChild>
        <w:div w:id="2046563982">
          <w:marLeft w:val="0"/>
          <w:marRight w:val="0"/>
          <w:marTop w:val="0"/>
          <w:marBottom w:val="0"/>
          <w:divBdr>
            <w:top w:val="none" w:sz="0" w:space="0" w:color="auto"/>
            <w:left w:val="none" w:sz="0" w:space="0" w:color="auto"/>
            <w:bottom w:val="none" w:sz="0" w:space="0" w:color="auto"/>
            <w:right w:val="none" w:sz="0" w:space="0" w:color="auto"/>
          </w:divBdr>
          <w:divsChild>
            <w:div w:id="2133598707">
              <w:marLeft w:val="0"/>
              <w:marRight w:val="0"/>
              <w:marTop w:val="0"/>
              <w:marBottom w:val="0"/>
              <w:divBdr>
                <w:top w:val="none" w:sz="0" w:space="0" w:color="auto"/>
                <w:left w:val="none" w:sz="0" w:space="0" w:color="auto"/>
                <w:bottom w:val="none" w:sz="0" w:space="0" w:color="auto"/>
                <w:right w:val="none" w:sz="0" w:space="0" w:color="auto"/>
              </w:divBdr>
            </w:div>
          </w:divsChild>
        </w:div>
        <w:div w:id="297878321">
          <w:marLeft w:val="0"/>
          <w:marRight w:val="0"/>
          <w:marTop w:val="0"/>
          <w:marBottom w:val="0"/>
          <w:divBdr>
            <w:top w:val="none" w:sz="0" w:space="0" w:color="auto"/>
            <w:left w:val="none" w:sz="0" w:space="0" w:color="auto"/>
            <w:bottom w:val="none" w:sz="0" w:space="0" w:color="auto"/>
            <w:right w:val="none" w:sz="0" w:space="0" w:color="auto"/>
          </w:divBdr>
          <w:divsChild>
            <w:div w:id="1415476386">
              <w:marLeft w:val="0"/>
              <w:marRight w:val="0"/>
              <w:marTop w:val="0"/>
              <w:marBottom w:val="0"/>
              <w:divBdr>
                <w:top w:val="none" w:sz="0" w:space="0" w:color="auto"/>
                <w:left w:val="none" w:sz="0" w:space="0" w:color="auto"/>
                <w:bottom w:val="none" w:sz="0" w:space="0" w:color="auto"/>
                <w:right w:val="none" w:sz="0" w:space="0" w:color="auto"/>
              </w:divBdr>
              <w:divsChild>
                <w:div w:id="373583915">
                  <w:marLeft w:val="0"/>
                  <w:marRight w:val="0"/>
                  <w:marTop w:val="0"/>
                  <w:marBottom w:val="0"/>
                  <w:divBdr>
                    <w:top w:val="none" w:sz="0" w:space="0" w:color="auto"/>
                    <w:left w:val="none" w:sz="0" w:space="0" w:color="auto"/>
                    <w:bottom w:val="none" w:sz="0" w:space="0" w:color="auto"/>
                    <w:right w:val="none" w:sz="0" w:space="0" w:color="auto"/>
                  </w:divBdr>
                  <w:divsChild>
                    <w:div w:id="134807963">
                      <w:marLeft w:val="0"/>
                      <w:marRight w:val="0"/>
                      <w:marTop w:val="0"/>
                      <w:marBottom w:val="0"/>
                      <w:divBdr>
                        <w:top w:val="none" w:sz="0" w:space="0" w:color="auto"/>
                        <w:left w:val="none" w:sz="0" w:space="0" w:color="auto"/>
                        <w:bottom w:val="none" w:sz="0" w:space="0" w:color="auto"/>
                        <w:right w:val="none" w:sz="0" w:space="0" w:color="auto"/>
                      </w:divBdr>
                      <w:divsChild>
                        <w:div w:id="1348674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theatlantic.com/family/archive/2023/01/toddler-gendered-toy-commericals/672822/"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naeyc.org/resources/position-statements/dap/contents" TargetMode="External"/><Relationship Id="rId5" Type="http://schemas.openxmlformats.org/officeDocument/2006/relationships/hyperlink" Target="https://www.gov.uk/government/publications/early-years-foundation-stage-framework--2"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15</TotalTime>
  <Pages>2</Pages>
  <Words>939</Words>
  <Characters>5355</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oneill</dc:creator>
  <cp:keywords/>
  <dc:description/>
  <cp:lastModifiedBy>rachel oneill</cp:lastModifiedBy>
  <cp:revision>1</cp:revision>
  <dcterms:created xsi:type="dcterms:W3CDTF">2024-05-19T13:01:00Z</dcterms:created>
  <dcterms:modified xsi:type="dcterms:W3CDTF">2024-05-19T13:16:00Z</dcterms:modified>
</cp:coreProperties>
</file>