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1A068A" w:rsidRDefault="001A068A">
      <w:pPr>
        <w:spacing w:line="360" w:lineRule="auto"/>
      </w:pPr>
    </w:p>
    <w:p w14:paraId="00000002" w14:textId="77777777" w:rsidR="001A068A" w:rsidRDefault="001A068A">
      <w:pPr>
        <w:spacing w:line="360" w:lineRule="auto"/>
        <w:rPr>
          <w:sz w:val="36"/>
          <w:szCs w:val="36"/>
        </w:rPr>
      </w:pPr>
    </w:p>
    <w:p w14:paraId="00000003" w14:textId="77777777" w:rsidR="001A068A" w:rsidRDefault="001A068A">
      <w:pPr>
        <w:spacing w:line="360" w:lineRule="auto"/>
      </w:pPr>
    </w:p>
    <w:p w14:paraId="00000004" w14:textId="77777777" w:rsidR="001A068A" w:rsidRDefault="001A068A">
      <w:pPr>
        <w:spacing w:line="360" w:lineRule="auto"/>
      </w:pPr>
    </w:p>
    <w:p w14:paraId="00000005" w14:textId="77777777" w:rsidR="001A068A" w:rsidRDefault="001A068A">
      <w:pPr>
        <w:spacing w:line="360" w:lineRule="auto"/>
      </w:pPr>
    </w:p>
    <w:p w14:paraId="00000006" w14:textId="77777777" w:rsidR="001A068A" w:rsidRDefault="001A068A">
      <w:pPr>
        <w:spacing w:line="360" w:lineRule="auto"/>
      </w:pPr>
    </w:p>
    <w:p w14:paraId="00000007" w14:textId="77777777" w:rsidR="001A068A" w:rsidRDefault="001A068A">
      <w:pPr>
        <w:spacing w:line="360" w:lineRule="auto"/>
      </w:pPr>
    </w:p>
    <w:p w14:paraId="00000008" w14:textId="77777777" w:rsidR="001A068A" w:rsidRDefault="001A068A">
      <w:pPr>
        <w:spacing w:line="360" w:lineRule="auto"/>
      </w:pPr>
    </w:p>
    <w:p w14:paraId="00000009" w14:textId="77777777" w:rsidR="001A068A" w:rsidRDefault="001A068A" w:rsidP="00E4581D"/>
    <w:p w14:paraId="0000000A" w14:textId="77777777" w:rsidR="001A068A" w:rsidRDefault="001A068A">
      <w:pPr>
        <w:spacing w:line="360" w:lineRule="auto"/>
      </w:pPr>
    </w:p>
    <w:p w14:paraId="0000000D" w14:textId="77777777" w:rsidR="001A068A" w:rsidRDefault="0020373D" w:rsidP="00F64202">
      <w:pPr>
        <w:spacing w:line="360" w:lineRule="auto"/>
        <w:jc w:val="center"/>
        <w:rPr>
          <w:b/>
          <w:sz w:val="36"/>
          <w:szCs w:val="36"/>
        </w:rPr>
      </w:pPr>
      <w:r>
        <w:rPr>
          <w:b/>
          <w:sz w:val="36"/>
          <w:szCs w:val="36"/>
        </w:rPr>
        <w:t>Complementary Therapies</w:t>
      </w:r>
    </w:p>
    <w:p w14:paraId="0000000E" w14:textId="77777777" w:rsidR="001A068A" w:rsidRDefault="001A068A" w:rsidP="00F64202">
      <w:pPr>
        <w:spacing w:line="360" w:lineRule="auto"/>
        <w:jc w:val="center"/>
        <w:rPr>
          <w:sz w:val="36"/>
          <w:szCs w:val="36"/>
        </w:rPr>
      </w:pPr>
    </w:p>
    <w:p w14:paraId="0000000F" w14:textId="77777777" w:rsidR="001A068A" w:rsidRDefault="0020373D" w:rsidP="00F64202">
      <w:pPr>
        <w:spacing w:line="360" w:lineRule="auto"/>
        <w:jc w:val="center"/>
        <w:rPr>
          <w:b/>
          <w:sz w:val="28"/>
          <w:szCs w:val="28"/>
        </w:rPr>
      </w:pPr>
      <w:r>
        <w:rPr>
          <w:b/>
          <w:sz w:val="28"/>
          <w:szCs w:val="28"/>
        </w:rPr>
        <w:t xml:space="preserve">Student Name: </w:t>
      </w:r>
      <w:proofErr w:type="spellStart"/>
      <w:r>
        <w:rPr>
          <w:b/>
          <w:sz w:val="28"/>
          <w:szCs w:val="28"/>
        </w:rPr>
        <w:t>Tahira</w:t>
      </w:r>
      <w:proofErr w:type="spellEnd"/>
      <w:r>
        <w:rPr>
          <w:b/>
          <w:sz w:val="28"/>
          <w:szCs w:val="28"/>
        </w:rPr>
        <w:t xml:space="preserve"> </w:t>
      </w:r>
      <w:proofErr w:type="spellStart"/>
      <w:r>
        <w:rPr>
          <w:b/>
          <w:sz w:val="28"/>
          <w:szCs w:val="28"/>
        </w:rPr>
        <w:t>Jabeen</w:t>
      </w:r>
      <w:proofErr w:type="spellEnd"/>
    </w:p>
    <w:p w14:paraId="00000010" w14:textId="02D7E47D" w:rsidR="001A068A" w:rsidRDefault="0020373D" w:rsidP="00F64202">
      <w:pPr>
        <w:spacing w:line="360" w:lineRule="auto"/>
        <w:jc w:val="center"/>
        <w:rPr>
          <w:b/>
          <w:sz w:val="28"/>
          <w:szCs w:val="28"/>
        </w:rPr>
      </w:pPr>
      <w:r>
        <w:rPr>
          <w:b/>
          <w:sz w:val="28"/>
          <w:szCs w:val="28"/>
        </w:rPr>
        <w:t>Student Number: 1715952</w:t>
      </w:r>
    </w:p>
    <w:p w14:paraId="00000011" w14:textId="2F653F84" w:rsidR="001A068A" w:rsidRDefault="0020373D" w:rsidP="00F64202">
      <w:pPr>
        <w:spacing w:line="360" w:lineRule="auto"/>
        <w:jc w:val="center"/>
        <w:rPr>
          <w:b/>
          <w:sz w:val="28"/>
          <w:szCs w:val="28"/>
        </w:rPr>
      </w:pPr>
      <w:r>
        <w:rPr>
          <w:b/>
          <w:sz w:val="28"/>
          <w:szCs w:val="28"/>
        </w:rPr>
        <w:t>Module code: BMHP 5001_BIRM</w:t>
      </w:r>
    </w:p>
    <w:p w14:paraId="00000012" w14:textId="073A7FC0" w:rsidR="001A068A" w:rsidRDefault="0020373D" w:rsidP="00F64202">
      <w:pPr>
        <w:spacing w:line="360" w:lineRule="auto"/>
        <w:jc w:val="center"/>
        <w:rPr>
          <w:sz w:val="28"/>
          <w:szCs w:val="28"/>
        </w:rPr>
        <w:sectPr w:rsidR="001A068A">
          <w:headerReference w:type="default" r:id="rId6"/>
          <w:headerReference w:type="first" r:id="rId7"/>
          <w:footerReference w:type="first" r:id="rId8"/>
          <w:pgSz w:w="11907" w:h="16839"/>
          <w:pgMar w:top="1440" w:right="1440" w:bottom="1440" w:left="1440" w:header="720" w:footer="720" w:gutter="0"/>
          <w:pgNumType w:start="1"/>
          <w:cols w:space="720" w:equalWidth="0">
            <w:col w:w="9360"/>
          </w:cols>
        </w:sectPr>
      </w:pPr>
      <w:r>
        <w:rPr>
          <w:b/>
          <w:sz w:val="28"/>
          <w:szCs w:val="28"/>
        </w:rPr>
        <w:t>Lecturer’s Name: Mark Gallagher-Rea</w:t>
      </w:r>
      <w:r w:rsidR="00F64202">
        <w:rPr>
          <w:b/>
          <w:sz w:val="28"/>
          <w:szCs w:val="28"/>
        </w:rPr>
        <w:t>d</w:t>
      </w:r>
    </w:p>
    <w:p w14:paraId="00000013" w14:textId="77777777" w:rsidR="001A068A" w:rsidRDefault="001A068A">
      <w:pPr>
        <w:spacing w:line="360" w:lineRule="auto"/>
        <w:sectPr w:rsidR="001A068A">
          <w:headerReference w:type="first" r:id="rId9"/>
          <w:pgSz w:w="11907" w:h="16839"/>
          <w:pgMar w:top="1440" w:right="1440" w:bottom="1440" w:left="1440" w:header="720" w:footer="720" w:gutter="0"/>
          <w:pgNumType w:start="1"/>
          <w:cols w:space="720" w:equalWidth="0">
            <w:col w:w="9360"/>
          </w:cols>
          <w:titlePg/>
        </w:sectPr>
      </w:pPr>
    </w:p>
    <w:p w14:paraId="00000014" w14:textId="77777777" w:rsidR="001A068A" w:rsidRPr="00A37CE6" w:rsidRDefault="0020373D" w:rsidP="00A115B9">
      <w:pPr>
        <w:spacing w:after="200" w:line="360" w:lineRule="auto"/>
        <w:jc w:val="center"/>
        <w:rPr>
          <w:b/>
          <w:bCs/>
          <w:sz w:val="32"/>
          <w:szCs w:val="32"/>
        </w:rPr>
      </w:pPr>
      <w:r w:rsidRPr="00A37CE6">
        <w:rPr>
          <w:b/>
          <w:bCs/>
          <w:sz w:val="32"/>
          <w:szCs w:val="32"/>
        </w:rPr>
        <w:t>Complementary Therapies</w:t>
      </w:r>
    </w:p>
    <w:p w14:paraId="00000015" w14:textId="77777777" w:rsidR="001A068A" w:rsidRDefault="001A068A">
      <w:pPr>
        <w:pStyle w:val="Heading1"/>
        <w:spacing w:line="360" w:lineRule="auto"/>
        <w:rPr>
          <w:b w:val="0"/>
        </w:rPr>
      </w:pPr>
    </w:p>
    <w:p w14:paraId="00000016" w14:textId="1E865918" w:rsidR="001A068A" w:rsidRDefault="0020373D" w:rsidP="00A115B9">
      <w:pPr>
        <w:spacing w:line="480" w:lineRule="auto"/>
        <w:jc w:val="both"/>
      </w:pPr>
      <w:r>
        <w:t>Complementary therapies are referred as alternative methods for pain reduction and other medical issues.  As more consumers are using complementary therapies along with modern medicine, it has become essential for the government to regulate practitioners in this discipline to protect the public in general (</w:t>
      </w:r>
      <w:proofErr w:type="spellStart"/>
      <w:r>
        <w:t>Knapen</w:t>
      </w:r>
      <w:proofErr w:type="spellEnd"/>
      <w:r>
        <w:t xml:space="preserve"> et.</w:t>
      </w:r>
      <w:r w:rsidR="00E4581D">
        <w:t xml:space="preserve"> al</w:t>
      </w:r>
      <w:r>
        <w:t>,</w:t>
      </w:r>
      <w:r w:rsidR="00E4581D">
        <w:t xml:space="preserve"> 2014</w:t>
      </w:r>
      <w:r>
        <w:t xml:space="preserve">).  Regulation of complementary therapies have been a </w:t>
      </w:r>
      <w:r w:rsidR="00E4581D">
        <w:t>long-discussed</w:t>
      </w:r>
      <w:r>
        <w:t xml:space="preserve"> topic and issue among medical and health care professionals.  Currently complementary therapy practitioners have options for statutory and self-regulatory membership or registration.</w:t>
      </w:r>
    </w:p>
    <w:p w14:paraId="339A4173" w14:textId="77777777" w:rsidR="00A115B9" w:rsidRDefault="00A115B9" w:rsidP="00A115B9">
      <w:pPr>
        <w:ind w:firstLine="720"/>
        <w:jc w:val="both"/>
      </w:pPr>
    </w:p>
    <w:p w14:paraId="00000017" w14:textId="7C646C43" w:rsidR="001A068A" w:rsidRDefault="0020373D" w:rsidP="00A115B9">
      <w:pPr>
        <w:spacing w:line="480" w:lineRule="auto"/>
        <w:ind w:firstLine="720"/>
        <w:jc w:val="both"/>
      </w:pPr>
      <w:r>
        <w:t>In this report, statutory and self-regulatory bodies for complementary therapies have been examined in detail.  The need for legislation and the growing demand of complementary therapists have been discussed along with ethical principles and</w:t>
      </w:r>
      <w:r w:rsidR="00E4581D">
        <w:t xml:space="preserve"> </w:t>
      </w:r>
      <w:r>
        <w:t>guidelines which CAM therapists need to adhere to</w:t>
      </w:r>
      <w:r w:rsidR="00E4581D">
        <w:t xml:space="preserve"> (Stone, 2005)</w:t>
      </w:r>
      <w:r>
        <w:t>.  Further, professional qualification and the benefit of registration from respective councils for recognition of therapists have been discussed.  Lastly, recommendations for the improvement of regulation of complementary therapies have been provided according to the current scenario in the UK.</w:t>
      </w:r>
    </w:p>
    <w:p w14:paraId="6CBBD197" w14:textId="77777777" w:rsidR="00A115B9" w:rsidRDefault="00A115B9" w:rsidP="00A115B9">
      <w:pPr>
        <w:ind w:firstLine="720"/>
        <w:jc w:val="both"/>
      </w:pPr>
    </w:p>
    <w:p w14:paraId="00000018" w14:textId="3C530D03" w:rsidR="001A068A" w:rsidRDefault="0020373D" w:rsidP="00A115B9">
      <w:pPr>
        <w:spacing w:line="480" w:lineRule="auto"/>
        <w:ind w:firstLine="720"/>
        <w:jc w:val="both"/>
      </w:pPr>
      <w:r>
        <w:t xml:space="preserve">Complementary and alternative medicine can be defined as a range of therapeutic procedures and philosophies which are not part of the </w:t>
      </w:r>
      <w:r w:rsidR="00E4581D">
        <w:t>modern-day</w:t>
      </w:r>
      <w:r>
        <w:t xml:space="preserve"> medicine</w:t>
      </w:r>
      <w:r w:rsidR="00E4581D">
        <w:t xml:space="preserve"> (</w:t>
      </w:r>
      <w:proofErr w:type="spellStart"/>
      <w:r w:rsidR="00E4581D">
        <w:t>Bausell</w:t>
      </w:r>
      <w:proofErr w:type="spellEnd"/>
      <w:r w:rsidR="00E4581D">
        <w:t>, 2009)</w:t>
      </w:r>
      <w:r>
        <w:t xml:space="preserve">.  However, complementary therapies have proven to be a source of healing and comprises therapies which come from the old ages.  Complementary therapists must observe a code of conduct, guidelines and a set of principles when providing therapies to avoid any human harm (NHS, 2020).  </w:t>
      </w:r>
    </w:p>
    <w:p w14:paraId="4E0E4E51" w14:textId="77777777" w:rsidR="00A115B9" w:rsidRDefault="00A115B9" w:rsidP="00A115B9">
      <w:pPr>
        <w:ind w:firstLine="720"/>
        <w:jc w:val="both"/>
      </w:pPr>
    </w:p>
    <w:p w14:paraId="00000019" w14:textId="3FCD9D0A" w:rsidR="001A068A" w:rsidRDefault="0020373D" w:rsidP="00A115B9">
      <w:pPr>
        <w:spacing w:line="480" w:lineRule="auto"/>
        <w:ind w:firstLine="720"/>
        <w:jc w:val="both"/>
      </w:pPr>
      <w:r>
        <w:t>Currently in the UK complementary therapists are not required to register themselves with any certain council or body by law, but they can voluntarily choose to self-regulate their profession (R</w:t>
      </w:r>
      <w:r w:rsidR="00E4581D">
        <w:t>esearch Council for Complementary Medicine,</w:t>
      </w:r>
      <w:r>
        <w:t xml:space="preserve"> 2020).  Statutory legislations are regarded as </w:t>
      </w:r>
      <w:r>
        <w:lastRenderedPageBreak/>
        <w:t>certifications and registration of the therapist which are mandatory by the parliament, by law.  Whereas, voluntary self-regulations are made by choice of the complementary therapist.</w:t>
      </w:r>
    </w:p>
    <w:p w14:paraId="0000001A" w14:textId="77777777" w:rsidR="001A068A" w:rsidRDefault="001A068A">
      <w:pPr>
        <w:spacing w:line="360" w:lineRule="auto"/>
        <w:ind w:firstLine="720"/>
      </w:pPr>
    </w:p>
    <w:p w14:paraId="0000001B" w14:textId="77777777" w:rsidR="001A068A" w:rsidRDefault="0020373D" w:rsidP="00A115B9">
      <w:pPr>
        <w:spacing w:line="480" w:lineRule="auto"/>
        <w:ind w:firstLine="720"/>
        <w:jc w:val="both"/>
      </w:pPr>
      <w:r>
        <w:t>As a statutory legislation in the UK, complementary therapists are required to certify themselves with two main councils.  The councils, General Chiropractic Council and General Osteopathic Council in the UK are responsible for the regulation of the Complementary therapists (RCCM, 2020).  These councils regulate therapists and provide basic principles and framework for complementary therapies.  Therapists in the UK are encouraged to register themselves with both councils for better recognition and image among the public.  GCC and GOC both councils support the profession of complementary therapies and ensure that the members meet the quality standards and requirements (GOC, 2020).  These councils also help the public to find registered therapists by providing information and online validation services.</w:t>
      </w:r>
    </w:p>
    <w:p w14:paraId="0000001C" w14:textId="77777777" w:rsidR="001A068A" w:rsidRDefault="001A068A">
      <w:pPr>
        <w:spacing w:line="360" w:lineRule="auto"/>
      </w:pPr>
    </w:p>
    <w:p w14:paraId="0000001D" w14:textId="23050674" w:rsidR="001A068A" w:rsidRDefault="0020373D" w:rsidP="00A115B9">
      <w:pPr>
        <w:spacing w:line="480" w:lineRule="auto"/>
        <w:ind w:firstLine="720"/>
        <w:jc w:val="both"/>
      </w:pPr>
      <w:r>
        <w:t xml:space="preserve">The statutory bodies in the UK support continued professional development and education of complementary therapists.  Different kinds of complementary therapies require different knowledge and </w:t>
      </w:r>
      <w:r w:rsidR="00A115B9">
        <w:t>skills;</w:t>
      </w:r>
      <w:r>
        <w:t xml:space="preserve"> </w:t>
      </w:r>
      <w:r w:rsidR="00A115B9">
        <w:t>therefore,</w:t>
      </w:r>
      <w:r>
        <w:t xml:space="preserve"> the councils ensure that members are provided with a platform from where they can grow professionally and enhance their capabilities (GCC, 2020).  Hence, complementary therapists need to register and follow the guidelines set by these councils to ensure they are practising according to the national occupational standard in the UK.</w:t>
      </w:r>
    </w:p>
    <w:p w14:paraId="0000001E" w14:textId="77777777" w:rsidR="001A068A" w:rsidRDefault="001A068A">
      <w:pPr>
        <w:spacing w:line="360" w:lineRule="auto"/>
      </w:pPr>
    </w:p>
    <w:p w14:paraId="0000001F" w14:textId="77777777" w:rsidR="001A068A" w:rsidRDefault="0020373D" w:rsidP="00A115B9">
      <w:pPr>
        <w:spacing w:line="480" w:lineRule="auto"/>
        <w:ind w:firstLine="720"/>
        <w:jc w:val="both"/>
      </w:pPr>
      <w:r>
        <w:t xml:space="preserve">As a part of self-regulation, complementary therapists can join councils or associations which support their profession.  As the complementary therapy legislations are not common, therapists need to associate themselves with self-regulatory bodies.  Voluntary Complementary therapists from all over the world can register themselves with the World Health Organisation (WHO) and National Institute for Health Care Excellence (NICE) for self-regulation.  The World Health organisation encourages and supports therapists to enhance their professional expertise and </w:t>
      </w:r>
      <w:r>
        <w:lastRenderedPageBreak/>
        <w:t>gain recognition for their profession (WHO, 2020).  Complementary and Natural Healthcare Council (CNHC) also comes under the self-regulatory body which helps therapists to work according to the ethical framework and set principles (CNHC, 2020).</w:t>
      </w:r>
    </w:p>
    <w:p w14:paraId="00000020" w14:textId="77777777" w:rsidR="001A068A" w:rsidRDefault="001A068A" w:rsidP="00A115B9">
      <w:pPr>
        <w:spacing w:line="480" w:lineRule="auto"/>
        <w:jc w:val="both"/>
      </w:pPr>
    </w:p>
    <w:p w14:paraId="00000021" w14:textId="77777777" w:rsidR="001A068A" w:rsidRDefault="0020373D" w:rsidP="00A115B9">
      <w:pPr>
        <w:spacing w:line="480" w:lineRule="auto"/>
        <w:ind w:firstLine="720"/>
        <w:jc w:val="both"/>
      </w:pPr>
      <w:r>
        <w:t>Moreover, the National UK Therapists Register known as STFR also acts as a self-regulatory body for complementary therapists.  STFR has categorised complementary therapies into two parts, one in which there is high risk to the public from poor practice, second where there is minimum to zero risk to the public (SFTR, 2020).  Therefore, therapists who associate with STFR gain access to specialist agencies such as the Prince of Wales Foundation for Integrated Health, NHS, Health and Medical Department UK.</w:t>
      </w:r>
    </w:p>
    <w:p w14:paraId="00000022" w14:textId="77777777" w:rsidR="001A068A" w:rsidRDefault="001A068A" w:rsidP="00A115B9">
      <w:pPr>
        <w:spacing w:line="480" w:lineRule="auto"/>
        <w:jc w:val="both"/>
      </w:pPr>
    </w:p>
    <w:p w14:paraId="00000023" w14:textId="77777777" w:rsidR="001A068A" w:rsidRDefault="0020373D" w:rsidP="00A115B9">
      <w:pPr>
        <w:spacing w:line="480" w:lineRule="auto"/>
        <w:ind w:firstLine="720"/>
        <w:jc w:val="both"/>
      </w:pPr>
      <w:r>
        <w:t xml:space="preserve">As per the ethical considerations, adverse events related to complementary therapies and therapists must be reported to protect the public from risks and prepare for safety measures (MacDonald and </w:t>
      </w:r>
      <w:proofErr w:type="spellStart"/>
      <w:r>
        <w:t>Gavura</w:t>
      </w:r>
      <w:proofErr w:type="spellEnd"/>
      <w:r>
        <w:t>, 2016).  Therefore, complementary therapists must consider ethical frameworks to perform therapies and follow strict guidelines which don’t lead to any kind of human harm, either emotional, physical or financial.  In order to ensure standards and quality of complementary therapies, statutory legislations and voluntary self-regulations must be considered part of this profession.  Some of the basic ethical principles include safety of the client, data confidentiality, and review of prior conventional medical reports, non-maleficence therapies and informed consent (Ernst and Smith, 2018).</w:t>
      </w:r>
    </w:p>
    <w:p w14:paraId="00000024" w14:textId="77777777" w:rsidR="001A068A" w:rsidRDefault="001A068A" w:rsidP="00A115B9">
      <w:pPr>
        <w:spacing w:line="480" w:lineRule="auto"/>
        <w:jc w:val="both"/>
      </w:pPr>
    </w:p>
    <w:p w14:paraId="00000025" w14:textId="4D03A7BD" w:rsidR="001A068A" w:rsidRDefault="00A115B9" w:rsidP="00A115B9">
      <w:pPr>
        <w:spacing w:line="480" w:lineRule="auto"/>
        <w:ind w:firstLine="720"/>
        <w:jc w:val="both"/>
      </w:pPr>
      <w:r>
        <w:t>The s</w:t>
      </w:r>
      <w:r w:rsidR="0020373D">
        <w:t>afety of the client must be top priority and therapists must acknowledge and recognise adverse effects of the therapies.  The client must be informed about the possible adverse effects of the therapy beforehand.  This must build trust between therapists and the client and ensure that the client takes complete responsibility for the outcomes (</w:t>
      </w:r>
      <w:proofErr w:type="spellStart"/>
      <w:r w:rsidR="0020373D">
        <w:t>Panagioti</w:t>
      </w:r>
      <w:proofErr w:type="spellEnd"/>
      <w:r w:rsidR="0020373D">
        <w:t xml:space="preserve">, Geraghty and Johnson, 2018).  </w:t>
      </w:r>
      <w:r w:rsidR="0020373D">
        <w:lastRenderedPageBreak/>
        <w:t>The therapist must only perform practices on which he has full command and is competent enough to do without any harm to the client.  However, not all therapies are of high risk and cause human harm.</w:t>
      </w:r>
    </w:p>
    <w:p w14:paraId="00000026" w14:textId="2EF730C4" w:rsidR="001A068A" w:rsidRDefault="0020373D" w:rsidP="00A37CE6">
      <w:pPr>
        <w:spacing w:line="480" w:lineRule="auto"/>
        <w:ind w:firstLine="720"/>
        <w:jc w:val="both"/>
      </w:pPr>
      <w:r>
        <w:t xml:space="preserve">Client data and confidentiality must be </w:t>
      </w:r>
      <w:r w:rsidR="00A115B9">
        <w:t>maintained,</w:t>
      </w:r>
      <w:r>
        <w:t xml:space="preserve"> and the therapist are not liable to share information about their client to a third party without their consent or clear legal reason.  The General Data Protection Regulation (GDPR) regime applies to most of the businesses and organisations in the UK.  Clients can report at GDPR if they think their data has been shared by a therapist to another party.</w:t>
      </w:r>
    </w:p>
    <w:p w14:paraId="00000027" w14:textId="77777777" w:rsidR="001A068A" w:rsidRDefault="001A068A">
      <w:pPr>
        <w:spacing w:line="360" w:lineRule="auto"/>
      </w:pPr>
    </w:p>
    <w:p w14:paraId="00000028" w14:textId="4CF5FFF9" w:rsidR="001A068A" w:rsidRDefault="0020373D" w:rsidP="00A37CE6">
      <w:pPr>
        <w:spacing w:line="480" w:lineRule="auto"/>
        <w:ind w:firstLine="720"/>
        <w:jc w:val="both"/>
      </w:pPr>
      <w:r>
        <w:t>Complementary therapies are not part of conventional medicine, but they both work together to provide relief to the patients.  Therefore, a therapist is required to study prior medical records of their clients to ensure therapy does</w:t>
      </w:r>
      <w:r w:rsidR="00A115B9">
        <w:t xml:space="preserve"> not</w:t>
      </w:r>
      <w:r>
        <w:t xml:space="preserve"> cause any adverse effect or risk to the client (</w:t>
      </w:r>
      <w:proofErr w:type="spellStart"/>
      <w:r>
        <w:t>Panagioti</w:t>
      </w:r>
      <w:proofErr w:type="spellEnd"/>
      <w:r>
        <w:t>, Geraghty and Johnson, 2018).  Lastly, the client must sign an informed consent form, in which the therapist must mention the positive and negative outcome of the therapy.  Informed consent form will help the client if he wishes to raise any issue related to the services of therapists, vice versa therapists can showcase the signed consent form if the client puts on some case.</w:t>
      </w:r>
    </w:p>
    <w:p w14:paraId="00000029" w14:textId="77777777" w:rsidR="001A068A" w:rsidRDefault="001A068A" w:rsidP="00A37CE6">
      <w:pPr>
        <w:spacing w:line="480" w:lineRule="auto"/>
      </w:pPr>
    </w:p>
    <w:p w14:paraId="0000002B" w14:textId="75435152" w:rsidR="001A068A" w:rsidRDefault="0020373D" w:rsidP="00A37CE6">
      <w:pPr>
        <w:spacing w:line="480" w:lineRule="auto"/>
        <w:ind w:firstLine="720"/>
        <w:jc w:val="both"/>
      </w:pPr>
      <w:r>
        <w:t>The need for legislation in complementary therapies have increased over time as more people are showing interest.  Therefore, statutory legislation for complementary therapists will ensure that the therapist takes responsibility for the service, practice only within the limits of competence, make sure clients are not harmed in any way, confidentiality is maintained, therapies are practiced within the law, and high standards of hygiene and quality are established.  According to (Hunt, 2010). Complementary therapies are offered by private and public health care clinics in the UK. NHS has been playing a significant part in informing the general public about the complementary therapies and helping them find the appropriate therapy according to their medical condition and needs.</w:t>
      </w:r>
    </w:p>
    <w:p w14:paraId="3293AD8D" w14:textId="77777777" w:rsidR="00A115B9" w:rsidRDefault="00A115B9" w:rsidP="00A115B9">
      <w:pPr>
        <w:spacing w:line="480" w:lineRule="auto"/>
        <w:ind w:firstLine="720"/>
        <w:jc w:val="both"/>
      </w:pPr>
    </w:p>
    <w:p w14:paraId="0000002C" w14:textId="1D8C303C" w:rsidR="001A068A" w:rsidRDefault="0020373D" w:rsidP="00A115B9">
      <w:pPr>
        <w:spacing w:line="480" w:lineRule="auto"/>
        <w:ind w:firstLine="720"/>
        <w:jc w:val="both"/>
      </w:pPr>
      <w:r>
        <w:t xml:space="preserve">The benefits associated with the legislation related to contemporary therapies include non-maleficence or protection of the public from human harm through risky therapies.  The law is rigid and applicable irrespective of the </w:t>
      </w:r>
      <w:r w:rsidR="00A115B9">
        <w:t>person;</w:t>
      </w:r>
      <w:r>
        <w:t xml:space="preserve"> therefore</w:t>
      </w:r>
      <w:r w:rsidR="00A115B9">
        <w:t xml:space="preserve">, </w:t>
      </w:r>
      <w:r>
        <w:t>all therapists will abide by the legalisation.  It will strengthen the control over therapists by the government and they will have to act in accordance with a set code of conduct. Limitations also arise due to formation of legislation (Lake, et.</w:t>
      </w:r>
      <w:r w:rsidR="00A115B9">
        <w:t xml:space="preserve"> al</w:t>
      </w:r>
      <w:r>
        <w:t>, 2019).  The limitation for therapists will arise as not all therapists have professional qualification for their work but have the required experience, expertise and competence to perform therapies.</w:t>
      </w:r>
    </w:p>
    <w:p w14:paraId="0000002D" w14:textId="77777777" w:rsidR="001A068A" w:rsidRDefault="001A068A">
      <w:pPr>
        <w:spacing w:line="360" w:lineRule="auto"/>
      </w:pPr>
    </w:p>
    <w:p w14:paraId="0000002E" w14:textId="4BE43616" w:rsidR="001A068A" w:rsidRDefault="0020373D" w:rsidP="00A115B9">
      <w:pPr>
        <w:spacing w:line="480" w:lineRule="auto"/>
        <w:ind w:firstLine="720"/>
        <w:jc w:val="both"/>
      </w:pPr>
      <w:r>
        <w:t>There are different kinds of complementary therapies including acupuncture, aromatherapy, homeopathy, herbal medicine, naturopathy, reiki, yoga and alexander technique.  As we have discussed that there is no mandatory legislation for the complementary therapist in the UK, but the complaints of the public and self-regulation of the therapist can be done through different councils (Aisha and Ellen, 2015).  If we examine the mind and body therapies, they include yoga, tai chi, meditation, music therapy and massage.  Mind and body therapies are done to create positive change in mind (</w:t>
      </w:r>
      <w:proofErr w:type="spellStart"/>
      <w:r>
        <w:t>Minen</w:t>
      </w:r>
      <w:proofErr w:type="spellEnd"/>
      <w:r>
        <w:t xml:space="preserve">, </w:t>
      </w:r>
      <w:proofErr w:type="spellStart"/>
      <w:r>
        <w:t>Jinich</w:t>
      </w:r>
      <w:proofErr w:type="spellEnd"/>
      <w:r>
        <w:t xml:space="preserve"> and </w:t>
      </w:r>
      <w:proofErr w:type="spellStart"/>
      <w:r>
        <w:t>Ellett</w:t>
      </w:r>
      <w:proofErr w:type="spellEnd"/>
      <w:r>
        <w:t xml:space="preserve">, 2018).  There is no specific legislation or regulation for mind and body therapists.  Acupuncture is another most common complementary therapy which focuses on stimulating certain healing points around the body, called </w:t>
      </w:r>
      <w:proofErr w:type="spellStart"/>
      <w:r>
        <w:t>acu</w:t>
      </w:r>
      <w:proofErr w:type="spellEnd"/>
      <w:r>
        <w:t>-points (</w:t>
      </w:r>
      <w:proofErr w:type="spellStart"/>
      <w:r>
        <w:t>Dascanio</w:t>
      </w:r>
      <w:proofErr w:type="spellEnd"/>
      <w:r>
        <w:t>, 2015). CNHC does</w:t>
      </w:r>
      <w:r w:rsidR="00A115B9">
        <w:t xml:space="preserve"> not</w:t>
      </w:r>
      <w:r>
        <w:t xml:space="preserve"> offer statutory regulation for acupuncturists but as a therapist they can voluntarily self-regulate their profession with CNHC</w:t>
      </w:r>
    </w:p>
    <w:p w14:paraId="0000002F" w14:textId="77777777" w:rsidR="001A068A" w:rsidRDefault="0020373D">
      <w:pPr>
        <w:spacing w:line="360" w:lineRule="auto"/>
      </w:pPr>
      <w:r>
        <w:t>.</w:t>
      </w:r>
    </w:p>
    <w:p w14:paraId="00000030" w14:textId="77777777" w:rsidR="001A068A" w:rsidRDefault="0020373D" w:rsidP="00A115B9">
      <w:pPr>
        <w:spacing w:line="480" w:lineRule="auto"/>
        <w:ind w:firstLine="720"/>
        <w:jc w:val="both"/>
      </w:pPr>
      <w:r>
        <w:t xml:space="preserve">Other common complementary therapies include osteopathic and chiropractic therapies which are regulated by General Osteopathic Council and General Chiropractic Council.  Therapists who perform osteopathic and chiropractic therapies can register themselves here for better career prospects and recognition.  These councils also offer online validation of therapists for the general </w:t>
      </w:r>
      <w:r>
        <w:lastRenderedPageBreak/>
        <w:t>public.  Besides these, biological based therapies are also a common form of therapist which include botanical, vitamins, minerals and functional foods (Hofmann and Hayes, 2019).  Medicines and Healthcare Product Regulatory Agency UK offer voluntary regulation of therapists under this domain and help the general public file complaints and issues related to this form of therapy.</w:t>
      </w:r>
    </w:p>
    <w:p w14:paraId="00000031" w14:textId="77777777" w:rsidR="001A068A" w:rsidRDefault="001A068A">
      <w:pPr>
        <w:spacing w:line="360" w:lineRule="auto"/>
      </w:pPr>
    </w:p>
    <w:p w14:paraId="00000032" w14:textId="565828CE" w:rsidR="001A068A" w:rsidRDefault="0020373D" w:rsidP="00A115B9">
      <w:pPr>
        <w:spacing w:line="480" w:lineRule="auto"/>
        <w:ind w:firstLine="720"/>
        <w:jc w:val="both"/>
      </w:pPr>
      <w:r>
        <w:t>At present, complementary therapists do</w:t>
      </w:r>
      <w:r w:rsidR="00A115B9">
        <w:t xml:space="preserve"> not</w:t>
      </w:r>
      <w:r>
        <w:t xml:space="preserve"> need to follow any statutory legislation regarding their profession.  Only two councils have been set up by the parliament which recognises osteopathic and chiropractic complementary therapies.  Therapists can voluntarily choose to become part of these councils for career progression, national recognition and code of conduct.  In the UK, complementary therapists can voluntarily choose to associate themselves with national and international councils which support complementary and alternative medicine.</w:t>
      </w:r>
    </w:p>
    <w:p w14:paraId="00000033" w14:textId="77777777" w:rsidR="001A068A" w:rsidRDefault="001A068A" w:rsidP="00A115B9">
      <w:pPr>
        <w:spacing w:line="480" w:lineRule="auto"/>
        <w:jc w:val="both"/>
      </w:pPr>
    </w:p>
    <w:p w14:paraId="00000034" w14:textId="310F3366" w:rsidR="001A068A" w:rsidRDefault="0020373D" w:rsidP="00A115B9">
      <w:pPr>
        <w:spacing w:line="480" w:lineRule="auto"/>
        <w:ind w:firstLine="720"/>
        <w:jc w:val="both"/>
      </w:pPr>
      <w:r>
        <w:t>In the United States, some of the complementary therapies are regulated by the law.  For instance, acupuncture therapists need to attain license to practice in the US.  However, in the UK, no such regulation exists.  Laws and regulation related to complementary therapies vary according to states in the US, the Food and Drug Administration department (FDA) regulates homeopathic therapy and medicine but does not evaluate its effectiveness (Rhee, 2017).  Moreover, in the US, mind and body therapists need to obtain certification after completion of training and passing an exam.  The National Certification Board for Therapeutic Massage and Bodywork and the American Massage Therapy Association is responsible for the regulation of therapists in this particular kind of therapy.  In the US, National Institutes of Health has established the National Centre for Complementary and Integrative Health for the protection of the general public and regulation of the therapists (Rhee, 2017).</w:t>
      </w:r>
    </w:p>
    <w:p w14:paraId="00000035" w14:textId="77777777" w:rsidR="001A068A" w:rsidRDefault="001A068A">
      <w:pPr>
        <w:spacing w:line="360" w:lineRule="auto"/>
      </w:pPr>
    </w:p>
    <w:p w14:paraId="00000036" w14:textId="77777777" w:rsidR="001A068A" w:rsidRDefault="0020373D" w:rsidP="00A115B9">
      <w:pPr>
        <w:spacing w:line="480" w:lineRule="auto"/>
        <w:ind w:firstLine="720"/>
        <w:jc w:val="both"/>
      </w:pPr>
      <w:r>
        <w:lastRenderedPageBreak/>
        <w:t>The legislations and self-regulatory bodies work in benefit for the general public and therapists.  As a member of any complementary and alternative medicine organisation, therapists are entitled to get a number of benefits.  One of the benefits of being a registered CAM therapist is recognition of the profession.  This also helps in career growth and progression.  Therapists who are registered are listed online and the general public has access to validate therapists by searching them on respective council/organisation websites.  Secondly, as a registered member, CAM therapists can gain access to knowledge avenues and develop their career with continuing professional development training and certification courses.  Professional membership and association are important, as they ensure therapists are highly trained, competent and fit to practice.</w:t>
      </w:r>
    </w:p>
    <w:p w14:paraId="6A99986A" w14:textId="77777777" w:rsidR="00A115B9" w:rsidRDefault="00A115B9">
      <w:pPr>
        <w:spacing w:line="360" w:lineRule="auto"/>
      </w:pPr>
    </w:p>
    <w:p w14:paraId="00000037" w14:textId="3C815B1F" w:rsidR="001A068A" w:rsidRDefault="0020373D" w:rsidP="00A115B9">
      <w:pPr>
        <w:spacing w:line="480" w:lineRule="auto"/>
        <w:ind w:firstLine="720"/>
        <w:jc w:val="both"/>
      </w:pPr>
      <w:r>
        <w:t>As a registered member of any statutory or voluntary body, therapists can provide evidence to the general public about the quality and care of their clients, assuring them that they meet the national and professional requirements in their discipline.  Some of the key benefits of being a member of statutory or voluntary bodies are illustrated below.  Thirdly, once a CAM therapist associates their profession with a certain council, their clients become more satisfied about the therapies and know that they can register complaints against the therapist if any harm occurs. As a member of respective councils, therapists will also gain access to networking, helping them develop their professional circle. This not only helps them with their work, but also helps them grow professionally by discussing issues with other therapists (</w:t>
      </w:r>
      <w:proofErr w:type="spellStart"/>
      <w:r>
        <w:t>Jou</w:t>
      </w:r>
      <w:proofErr w:type="spellEnd"/>
      <w:r>
        <w:t xml:space="preserve"> and Johnson, 2016).  Lastly, it helps therapists demonstrate their commitment to practice and protecting the public.</w:t>
      </w:r>
    </w:p>
    <w:p w14:paraId="00000038" w14:textId="77777777" w:rsidR="001A068A" w:rsidRDefault="001A068A">
      <w:pPr>
        <w:spacing w:line="360" w:lineRule="auto"/>
      </w:pPr>
    </w:p>
    <w:p w14:paraId="00000039" w14:textId="77777777" w:rsidR="001A068A" w:rsidRDefault="0020373D" w:rsidP="00A115B9">
      <w:pPr>
        <w:spacing w:line="480" w:lineRule="auto"/>
        <w:ind w:firstLine="720"/>
        <w:jc w:val="both"/>
      </w:pPr>
      <w:r>
        <w:t>Complementary therapists who wish to become members of statutory or self-regulatory bodies can register themselves online.  Some of the councils ask the registered therapists to pass a certain exam related to their profession, and after that they give them membership which can be used as recognition of their professional status.  Any therapist who becomes part of the statutory or self-regulated council needs to follow a certain set of principles and code of conduct.</w:t>
      </w:r>
    </w:p>
    <w:p w14:paraId="0000003A" w14:textId="77777777" w:rsidR="001A068A" w:rsidRDefault="001A068A">
      <w:pPr>
        <w:spacing w:line="360" w:lineRule="auto"/>
      </w:pPr>
    </w:p>
    <w:p w14:paraId="520ECF44" w14:textId="77777777" w:rsidR="00A115B9" w:rsidRDefault="0020373D" w:rsidP="00A37CE6">
      <w:pPr>
        <w:spacing w:line="480" w:lineRule="auto"/>
        <w:jc w:val="both"/>
      </w:pPr>
      <w:r>
        <w:t xml:space="preserve">Key recommendations which can be provided after evaluating the current situation in the UK, is that general physicians must be educated and informed about the various complementary therapies in order to help the patients.  The general public has access to general physicians all over the UK, therefore general physicians can play an important role helping patients choose the right therapy and therapists for their concerned issue.  </w:t>
      </w:r>
    </w:p>
    <w:p w14:paraId="0000003B" w14:textId="4244521C" w:rsidR="001A068A" w:rsidRDefault="0020373D" w:rsidP="00A37CE6">
      <w:pPr>
        <w:spacing w:line="480" w:lineRule="auto"/>
        <w:ind w:firstLine="720"/>
        <w:jc w:val="both"/>
      </w:pPr>
      <w:r>
        <w:t>Secondly, the government must make significant efforts to establish a recognition body for therapists.  This will enable them to perform under a certain set of principles and follow code of conduct which protects the general public from any human harm.</w:t>
      </w:r>
    </w:p>
    <w:p w14:paraId="0000003D" w14:textId="77777777" w:rsidR="001A068A" w:rsidRDefault="0020373D" w:rsidP="00A115B9">
      <w:pPr>
        <w:spacing w:line="480" w:lineRule="auto"/>
        <w:ind w:firstLine="720"/>
        <w:jc w:val="both"/>
      </w:pPr>
      <w:r>
        <w:t>Thirdly, an online portal can be created for complementary therapists in the UK.  This portal can act as a platform for therapists from different categories to come together and discuss issues or receive any guidance they want. This portal can be also helpful for the government, as they can use it as a database of CAM therapists and easily share information related to any legislation and regulations.  Lastly, I would recommend that the government must encourage the CAM therapist to register for professional development courses, this will help the non-qualified yet experienced therapists to obtain certification or education related to their profession.</w:t>
      </w:r>
    </w:p>
    <w:p w14:paraId="0000003E" w14:textId="77777777" w:rsidR="001A068A" w:rsidRDefault="001A068A">
      <w:pPr>
        <w:spacing w:line="360" w:lineRule="auto"/>
      </w:pPr>
    </w:p>
    <w:p w14:paraId="0000003F" w14:textId="38DECBCF" w:rsidR="001A068A" w:rsidRDefault="0020373D" w:rsidP="00A115B9">
      <w:pPr>
        <w:spacing w:line="480" w:lineRule="auto"/>
        <w:jc w:val="both"/>
      </w:pPr>
      <w:bookmarkStart w:id="0" w:name="_gjdgxs" w:colFirst="0" w:colLast="0"/>
      <w:bookmarkEnd w:id="0"/>
      <w:r>
        <w:t>To conclude, it can be said that a considerable number of people are turning around to use complementary and alternative medicine along with conventional medicine.  According to a survey led by the University of Bristol’s Centre for Academic Primary Care, the use of therapist led complementary therapies increased from 5 per cent in 2005 to 16 per cent in 2015 (</w:t>
      </w:r>
      <w:proofErr w:type="spellStart"/>
      <w:r>
        <w:t>Jou</w:t>
      </w:r>
      <w:proofErr w:type="spellEnd"/>
      <w:r>
        <w:t xml:space="preserve"> and Johnson, 2016).  This survey clearly indicates and validates the above discussion that the need for legislation for CAM therapists is important.  With the growth of information communication and technology, people have gained access to wide information, which has helped the complementary therapy field to grow more.  As more information is made available online, more people are seeking help from complementary therapists.</w:t>
      </w:r>
    </w:p>
    <w:p w14:paraId="00000041" w14:textId="77777777" w:rsidR="001A068A" w:rsidRPr="00A37CE6" w:rsidRDefault="0020373D" w:rsidP="00A115B9">
      <w:pPr>
        <w:spacing w:line="480" w:lineRule="auto"/>
        <w:ind w:firstLine="720"/>
        <w:jc w:val="both"/>
      </w:pPr>
      <w:bookmarkStart w:id="1" w:name="_63ts3fu3ip40" w:colFirst="0" w:colLast="0"/>
      <w:bookmarkEnd w:id="1"/>
      <w:r>
        <w:lastRenderedPageBreak/>
        <w:t>Currently, in the UK, there is no specific legislation for all complementary therapists, and only osteopathic and chiropractic therapies are recognised.  Moreover, the majority of the therapies in the UK are self-referred, self-financed and only some are recommended by the general physician but reviewing the medical reports and health status.  Stringent legislation and academic qualifications must be made mandatory to protect the general public, as the demand for CAM t</w:t>
      </w:r>
      <w:r w:rsidRPr="00A37CE6">
        <w:t>herapies grows.</w:t>
      </w:r>
      <w:r w:rsidRPr="00A37CE6">
        <w:br w:type="page"/>
      </w:r>
    </w:p>
    <w:p w14:paraId="00000042" w14:textId="77777777" w:rsidR="001A068A" w:rsidRPr="00A37CE6" w:rsidRDefault="0020373D">
      <w:pPr>
        <w:pStyle w:val="Heading1"/>
        <w:spacing w:line="360" w:lineRule="auto"/>
        <w:jc w:val="center"/>
        <w:rPr>
          <w:rFonts w:ascii="Times New Roman" w:hAnsi="Times New Roman" w:cs="Times New Roman"/>
          <w:i w:val="0"/>
          <w:sz w:val="28"/>
          <w:szCs w:val="28"/>
        </w:rPr>
      </w:pPr>
      <w:bookmarkStart w:id="2" w:name="_30j0zll" w:colFirst="0" w:colLast="0"/>
      <w:bookmarkEnd w:id="2"/>
      <w:r w:rsidRPr="00A37CE6">
        <w:rPr>
          <w:rFonts w:ascii="Times New Roman" w:hAnsi="Times New Roman" w:cs="Times New Roman"/>
          <w:i w:val="0"/>
          <w:sz w:val="28"/>
          <w:szCs w:val="28"/>
        </w:rPr>
        <w:lastRenderedPageBreak/>
        <w:t>References</w:t>
      </w:r>
    </w:p>
    <w:p w14:paraId="00000043" w14:textId="77777777" w:rsidR="001A068A" w:rsidRPr="00A37CE6" w:rsidRDefault="001A068A">
      <w:pPr>
        <w:tabs>
          <w:tab w:val="left" w:pos="3744"/>
        </w:tabs>
      </w:pPr>
    </w:p>
    <w:p w14:paraId="34D65D9C" w14:textId="77777777" w:rsidR="00A37CE6" w:rsidRPr="00A37CE6" w:rsidRDefault="00A37CE6" w:rsidP="000B67BF">
      <w:pPr>
        <w:spacing w:line="480" w:lineRule="auto"/>
        <w:jc w:val="both"/>
      </w:pPr>
      <w:proofErr w:type="spellStart"/>
      <w:r w:rsidRPr="00E4581D">
        <w:rPr>
          <w:color w:val="222222"/>
          <w:shd w:val="clear" w:color="auto" w:fill="FFFFFF"/>
        </w:rPr>
        <w:t>Bausell</w:t>
      </w:r>
      <w:proofErr w:type="spellEnd"/>
      <w:r w:rsidRPr="00E4581D">
        <w:rPr>
          <w:color w:val="222222"/>
          <w:shd w:val="clear" w:color="auto" w:fill="FFFFFF"/>
        </w:rPr>
        <w:t>, R.B., 2009. </w:t>
      </w:r>
      <w:r w:rsidRPr="00E4581D">
        <w:rPr>
          <w:i/>
          <w:iCs/>
          <w:color w:val="222222"/>
          <w:shd w:val="clear" w:color="auto" w:fill="FFFFFF"/>
        </w:rPr>
        <w:t>Snake oil science: the truth about complementary and alternative medicine</w:t>
      </w:r>
      <w:r w:rsidRPr="00E4581D">
        <w:rPr>
          <w:color w:val="222222"/>
          <w:shd w:val="clear" w:color="auto" w:fill="FFFFFF"/>
        </w:rPr>
        <w:t>. Oxford University Press.</w:t>
      </w:r>
    </w:p>
    <w:p w14:paraId="51596060" w14:textId="77777777" w:rsidR="00A37CE6" w:rsidRDefault="00A37CE6" w:rsidP="000B67BF">
      <w:pPr>
        <w:spacing w:line="480" w:lineRule="auto"/>
        <w:jc w:val="both"/>
        <w:rPr>
          <w:color w:val="222222"/>
          <w:shd w:val="clear" w:color="auto" w:fill="FFFFFF"/>
        </w:rPr>
      </w:pPr>
    </w:p>
    <w:p w14:paraId="1ED1E877" w14:textId="0BE7A95F" w:rsidR="00A37CE6" w:rsidRPr="00A37CE6" w:rsidRDefault="00A37CE6" w:rsidP="000B67BF">
      <w:pPr>
        <w:spacing w:line="480" w:lineRule="auto"/>
        <w:jc w:val="both"/>
        <w:rPr>
          <w:color w:val="222222"/>
          <w:shd w:val="clear" w:color="auto" w:fill="FFFFFF"/>
        </w:rPr>
      </w:pPr>
      <w:r w:rsidRPr="00A115B9">
        <w:rPr>
          <w:color w:val="222222"/>
          <w:shd w:val="clear" w:color="auto" w:fill="FFFFFF"/>
        </w:rPr>
        <w:t>Ben-</w:t>
      </w:r>
      <w:proofErr w:type="spellStart"/>
      <w:r w:rsidRPr="00A115B9">
        <w:rPr>
          <w:color w:val="222222"/>
          <w:shd w:val="clear" w:color="auto" w:fill="FFFFFF"/>
        </w:rPr>
        <w:t>Arye</w:t>
      </w:r>
      <w:proofErr w:type="spellEnd"/>
      <w:r w:rsidRPr="00A115B9">
        <w:rPr>
          <w:color w:val="222222"/>
          <w:shd w:val="clear" w:color="auto" w:fill="FFFFFF"/>
        </w:rPr>
        <w:t>, E., Frenkel, M., Klein, A. and Scharf, M., 2008. Attitudes toward integration of complementary and alternative medicine in primary care: perspectives of patients, physicians and complementary practitioners. </w:t>
      </w:r>
      <w:r w:rsidRPr="00A115B9">
        <w:rPr>
          <w:i/>
          <w:iCs/>
          <w:color w:val="222222"/>
          <w:shd w:val="clear" w:color="auto" w:fill="FFFFFF"/>
        </w:rPr>
        <w:t xml:space="preserve">Patient education and </w:t>
      </w:r>
      <w:r w:rsidRPr="00A37CE6">
        <w:rPr>
          <w:i/>
          <w:iCs/>
          <w:color w:val="222222"/>
          <w:shd w:val="clear" w:color="auto" w:fill="FFFFFF"/>
        </w:rPr>
        <w:t>counselling</w:t>
      </w:r>
      <w:r w:rsidRPr="00A115B9">
        <w:rPr>
          <w:color w:val="222222"/>
          <w:shd w:val="clear" w:color="auto" w:fill="FFFFFF"/>
        </w:rPr>
        <w:t>, </w:t>
      </w:r>
      <w:r w:rsidRPr="00A115B9">
        <w:rPr>
          <w:i/>
          <w:iCs/>
          <w:color w:val="222222"/>
          <w:shd w:val="clear" w:color="auto" w:fill="FFFFFF"/>
        </w:rPr>
        <w:t>70</w:t>
      </w:r>
      <w:r w:rsidRPr="00A115B9">
        <w:rPr>
          <w:color w:val="222222"/>
          <w:shd w:val="clear" w:color="auto" w:fill="FFFFFF"/>
        </w:rPr>
        <w:t>(3), pp.395-402.</w:t>
      </w:r>
    </w:p>
    <w:p w14:paraId="7C48EFE5" w14:textId="77777777" w:rsidR="00A37CE6" w:rsidRDefault="00A37CE6" w:rsidP="000B67BF">
      <w:pPr>
        <w:spacing w:line="480" w:lineRule="auto"/>
        <w:jc w:val="both"/>
        <w:rPr>
          <w:color w:val="222222"/>
          <w:shd w:val="clear" w:color="auto" w:fill="FFFFFF"/>
        </w:rPr>
      </w:pPr>
    </w:p>
    <w:p w14:paraId="75CFD8F2" w14:textId="6CD32BEC" w:rsidR="00A37CE6" w:rsidRPr="00A37CE6" w:rsidRDefault="00A37CE6" w:rsidP="000B67BF">
      <w:pPr>
        <w:spacing w:line="480" w:lineRule="auto"/>
        <w:jc w:val="both"/>
        <w:rPr>
          <w:color w:val="222222"/>
          <w:shd w:val="clear" w:color="auto" w:fill="FFFFFF"/>
        </w:rPr>
      </w:pPr>
      <w:r w:rsidRPr="00A115B9">
        <w:rPr>
          <w:color w:val="222222"/>
          <w:shd w:val="clear" w:color="auto" w:fill="FFFFFF"/>
        </w:rPr>
        <w:t xml:space="preserve">Bishop, F.L., Barlow, F., Coghlan, B., Lee, P. and </w:t>
      </w:r>
      <w:proofErr w:type="spellStart"/>
      <w:r w:rsidRPr="00A115B9">
        <w:rPr>
          <w:color w:val="222222"/>
          <w:shd w:val="clear" w:color="auto" w:fill="FFFFFF"/>
        </w:rPr>
        <w:t>Lewith</w:t>
      </w:r>
      <w:proofErr w:type="spellEnd"/>
      <w:r w:rsidRPr="00A115B9">
        <w:rPr>
          <w:color w:val="222222"/>
          <w:shd w:val="clear" w:color="auto" w:fill="FFFFFF"/>
        </w:rPr>
        <w:t>, G.T., 2011. Patients as healthcare consumers in the public and private sectors: a qualitative study of acupuncture in the UK. </w:t>
      </w:r>
      <w:r w:rsidRPr="00A115B9">
        <w:rPr>
          <w:i/>
          <w:iCs/>
          <w:color w:val="222222"/>
          <w:shd w:val="clear" w:color="auto" w:fill="FFFFFF"/>
        </w:rPr>
        <w:t>BMC health services research</w:t>
      </w:r>
      <w:r w:rsidRPr="00A115B9">
        <w:rPr>
          <w:color w:val="222222"/>
          <w:shd w:val="clear" w:color="auto" w:fill="FFFFFF"/>
        </w:rPr>
        <w:t>, </w:t>
      </w:r>
      <w:r w:rsidRPr="00A115B9">
        <w:rPr>
          <w:i/>
          <w:iCs/>
          <w:color w:val="222222"/>
          <w:shd w:val="clear" w:color="auto" w:fill="FFFFFF"/>
        </w:rPr>
        <w:t>11</w:t>
      </w:r>
      <w:r w:rsidRPr="00A115B9">
        <w:rPr>
          <w:color w:val="222222"/>
          <w:shd w:val="clear" w:color="auto" w:fill="FFFFFF"/>
        </w:rPr>
        <w:t>(1), p.129.</w:t>
      </w:r>
    </w:p>
    <w:p w14:paraId="41173C48" w14:textId="77777777" w:rsidR="00A37CE6" w:rsidRDefault="00A37CE6" w:rsidP="000B67BF">
      <w:pPr>
        <w:spacing w:line="480" w:lineRule="auto"/>
        <w:jc w:val="both"/>
        <w:rPr>
          <w:color w:val="222222"/>
          <w:shd w:val="clear" w:color="auto" w:fill="FFFFFF"/>
        </w:rPr>
      </w:pPr>
    </w:p>
    <w:p w14:paraId="41C2B333" w14:textId="15282B71" w:rsidR="00A37CE6" w:rsidRPr="00A115B9" w:rsidRDefault="00A37CE6" w:rsidP="000B67BF">
      <w:pPr>
        <w:spacing w:line="480" w:lineRule="auto"/>
        <w:jc w:val="both"/>
      </w:pPr>
      <w:r w:rsidRPr="00A115B9">
        <w:rPr>
          <w:color w:val="222222"/>
          <w:shd w:val="clear" w:color="auto" w:fill="FFFFFF"/>
        </w:rPr>
        <w:t>Choong, K.A. and Duckworth, J.E., 2015. The Regulation of Alternative and Complementary Medicine. </w:t>
      </w:r>
      <w:r w:rsidRPr="00A115B9">
        <w:rPr>
          <w:i/>
          <w:iCs/>
          <w:color w:val="222222"/>
          <w:shd w:val="clear" w:color="auto" w:fill="FFFFFF"/>
        </w:rPr>
        <w:t>Westlaw Insight</w:t>
      </w:r>
      <w:r w:rsidRPr="00A115B9">
        <w:rPr>
          <w:color w:val="222222"/>
          <w:shd w:val="clear" w:color="auto" w:fill="FFFFFF"/>
        </w:rPr>
        <w:t>.</w:t>
      </w:r>
    </w:p>
    <w:p w14:paraId="7BEFB685" w14:textId="77777777" w:rsidR="00A37CE6" w:rsidRDefault="00A37CE6" w:rsidP="000B67BF">
      <w:pPr>
        <w:spacing w:line="480" w:lineRule="auto"/>
        <w:jc w:val="both"/>
      </w:pPr>
    </w:p>
    <w:p w14:paraId="65618BF5" w14:textId="337072C5" w:rsidR="00A37CE6" w:rsidRPr="00A37CE6" w:rsidRDefault="00A37CE6" w:rsidP="000B67BF">
      <w:pPr>
        <w:spacing w:line="480" w:lineRule="auto"/>
        <w:jc w:val="both"/>
      </w:pPr>
      <w:r w:rsidRPr="00A37CE6">
        <w:t xml:space="preserve">CNHC, (2020) Am I Eligible, Available at: </w:t>
      </w:r>
      <w:hyperlink r:id="rId10" w:history="1">
        <w:r w:rsidRPr="00A37CE6">
          <w:rPr>
            <w:rStyle w:val="Hyperlink"/>
          </w:rPr>
          <w:t>https://www.cnhc.org.uk/am-i-eligible</w:t>
        </w:r>
      </w:hyperlink>
    </w:p>
    <w:p w14:paraId="6C133B3B" w14:textId="77777777" w:rsidR="00A37CE6" w:rsidRDefault="00A37CE6" w:rsidP="000B67BF">
      <w:pPr>
        <w:spacing w:line="480" w:lineRule="auto"/>
        <w:jc w:val="both"/>
        <w:rPr>
          <w:color w:val="222222"/>
          <w:shd w:val="clear" w:color="auto" w:fill="FFFFFF"/>
        </w:rPr>
      </w:pPr>
    </w:p>
    <w:p w14:paraId="6A432D70" w14:textId="363A0D0B" w:rsidR="00A37CE6" w:rsidRPr="00A37CE6" w:rsidRDefault="00A37CE6" w:rsidP="000B67BF">
      <w:pPr>
        <w:spacing w:line="480" w:lineRule="auto"/>
        <w:jc w:val="both"/>
        <w:rPr>
          <w:color w:val="222222"/>
          <w:shd w:val="clear" w:color="auto" w:fill="FFFFFF"/>
        </w:rPr>
      </w:pPr>
      <w:proofErr w:type="spellStart"/>
      <w:r w:rsidRPr="007B531F">
        <w:rPr>
          <w:color w:val="222222"/>
          <w:shd w:val="clear" w:color="auto" w:fill="FFFFFF"/>
        </w:rPr>
        <w:t>Dascanio</w:t>
      </w:r>
      <w:proofErr w:type="spellEnd"/>
      <w:r w:rsidRPr="007B531F">
        <w:rPr>
          <w:color w:val="222222"/>
          <w:shd w:val="clear" w:color="auto" w:fill="FFFFFF"/>
        </w:rPr>
        <w:t>, V.C., 2015. Acupuncture in physiotherapy: a contemporary UK perspective.</w:t>
      </w:r>
    </w:p>
    <w:p w14:paraId="2E33100F" w14:textId="77777777" w:rsidR="00A37CE6" w:rsidRPr="00A37CE6" w:rsidRDefault="00A37CE6" w:rsidP="000B67BF">
      <w:pPr>
        <w:spacing w:line="480" w:lineRule="auto"/>
        <w:jc w:val="both"/>
        <w:rPr>
          <w:color w:val="222222"/>
          <w:shd w:val="clear" w:color="auto" w:fill="FFFFFF"/>
        </w:rPr>
      </w:pPr>
      <w:r w:rsidRPr="00A37CE6">
        <w:rPr>
          <w:color w:val="222222"/>
          <w:shd w:val="clear" w:color="auto" w:fill="FFFFFF"/>
        </w:rPr>
        <w:t>Ernst, E. and Smith, K., 2018. More harm than good? the moral maze of complementary and alternative medicine. Springer.</w:t>
      </w:r>
    </w:p>
    <w:p w14:paraId="4059678C" w14:textId="77777777" w:rsidR="00A37CE6" w:rsidRDefault="00A37CE6" w:rsidP="000B67BF">
      <w:pPr>
        <w:spacing w:line="480" w:lineRule="auto"/>
        <w:jc w:val="both"/>
      </w:pPr>
    </w:p>
    <w:p w14:paraId="77FBD847" w14:textId="38D43747" w:rsidR="00A37CE6" w:rsidRPr="00A37CE6" w:rsidRDefault="00A37CE6" w:rsidP="000B67BF">
      <w:pPr>
        <w:spacing w:line="480" w:lineRule="auto"/>
        <w:jc w:val="both"/>
      </w:pPr>
      <w:r w:rsidRPr="00A37CE6">
        <w:t xml:space="preserve">GCC (2020) About Us, Available at: </w:t>
      </w:r>
      <w:hyperlink r:id="rId11" w:history="1">
        <w:r w:rsidRPr="00A37CE6">
          <w:rPr>
            <w:rStyle w:val="Hyperlink"/>
          </w:rPr>
          <w:t>https://www.gcc-uk.org/about-us</w:t>
        </w:r>
      </w:hyperlink>
    </w:p>
    <w:p w14:paraId="5E4B8EFF" w14:textId="77777777" w:rsidR="00A37CE6" w:rsidRDefault="00A37CE6" w:rsidP="000B67BF">
      <w:pPr>
        <w:spacing w:line="480" w:lineRule="auto"/>
        <w:jc w:val="both"/>
      </w:pPr>
    </w:p>
    <w:p w14:paraId="13A50AEA" w14:textId="40E64E03" w:rsidR="00A37CE6" w:rsidRPr="00A37CE6" w:rsidRDefault="00A37CE6" w:rsidP="000B67BF">
      <w:pPr>
        <w:spacing w:line="480" w:lineRule="auto"/>
        <w:jc w:val="both"/>
      </w:pPr>
      <w:r w:rsidRPr="00A37CE6">
        <w:t xml:space="preserve">GOC (2020) About Us, Available at: </w:t>
      </w:r>
      <w:hyperlink r:id="rId12" w:history="1">
        <w:r w:rsidRPr="00A37CE6">
          <w:rPr>
            <w:rStyle w:val="Hyperlink"/>
          </w:rPr>
          <w:t>https://www.osteopathy.org.uk/about-us/</w:t>
        </w:r>
      </w:hyperlink>
    </w:p>
    <w:p w14:paraId="3DA074DF" w14:textId="77777777" w:rsidR="00A37CE6" w:rsidRPr="00A37CE6" w:rsidRDefault="00A37CE6" w:rsidP="000B67BF">
      <w:pPr>
        <w:spacing w:line="480" w:lineRule="auto"/>
        <w:jc w:val="both"/>
        <w:rPr>
          <w:color w:val="222222"/>
          <w:shd w:val="clear" w:color="auto" w:fill="FFFFFF"/>
        </w:rPr>
      </w:pPr>
      <w:r w:rsidRPr="007B531F">
        <w:rPr>
          <w:color w:val="222222"/>
          <w:shd w:val="clear" w:color="auto" w:fill="FFFFFF"/>
        </w:rPr>
        <w:lastRenderedPageBreak/>
        <w:t>Hofmann, S.G. and Hayes, S.C., 2019. The future of intervention science: Process-based therapy. </w:t>
      </w:r>
      <w:r w:rsidRPr="007B531F">
        <w:rPr>
          <w:i/>
          <w:iCs/>
          <w:color w:val="222222"/>
          <w:shd w:val="clear" w:color="auto" w:fill="FFFFFF"/>
        </w:rPr>
        <w:t>Clinical Psychological Science</w:t>
      </w:r>
      <w:r w:rsidRPr="007B531F">
        <w:rPr>
          <w:color w:val="222222"/>
          <w:shd w:val="clear" w:color="auto" w:fill="FFFFFF"/>
        </w:rPr>
        <w:t>, </w:t>
      </w:r>
      <w:r w:rsidRPr="007B531F">
        <w:rPr>
          <w:i/>
          <w:iCs/>
          <w:color w:val="222222"/>
          <w:shd w:val="clear" w:color="auto" w:fill="FFFFFF"/>
        </w:rPr>
        <w:t>7</w:t>
      </w:r>
      <w:r w:rsidRPr="007B531F">
        <w:rPr>
          <w:color w:val="222222"/>
          <w:shd w:val="clear" w:color="auto" w:fill="FFFFFF"/>
        </w:rPr>
        <w:t>(1), pp.37-50.</w:t>
      </w:r>
    </w:p>
    <w:p w14:paraId="56E928D3" w14:textId="77777777" w:rsidR="00A37CE6" w:rsidRDefault="00A37CE6" w:rsidP="000B67BF">
      <w:pPr>
        <w:spacing w:line="480" w:lineRule="auto"/>
        <w:jc w:val="both"/>
        <w:rPr>
          <w:color w:val="222222"/>
          <w:shd w:val="clear" w:color="auto" w:fill="FFFFFF"/>
        </w:rPr>
      </w:pPr>
    </w:p>
    <w:p w14:paraId="4FB05BE3" w14:textId="13B9B889" w:rsidR="00A37CE6" w:rsidRPr="00A37CE6" w:rsidRDefault="00A37CE6" w:rsidP="000B67BF">
      <w:pPr>
        <w:spacing w:line="480" w:lineRule="auto"/>
        <w:jc w:val="both"/>
        <w:rPr>
          <w:color w:val="222222"/>
          <w:shd w:val="clear" w:color="auto" w:fill="FFFFFF"/>
        </w:rPr>
      </w:pPr>
      <w:r w:rsidRPr="00A37CE6">
        <w:rPr>
          <w:color w:val="222222"/>
          <w:shd w:val="clear" w:color="auto" w:fill="FFFFFF"/>
        </w:rPr>
        <w:t xml:space="preserve">Hunt, K., 2009. The regulation of CAM practice in the UK: can it achieve </w:t>
      </w:r>
      <w:proofErr w:type="gramStart"/>
      <w:r w:rsidRPr="00A37CE6">
        <w:rPr>
          <w:color w:val="222222"/>
          <w:shd w:val="clear" w:color="auto" w:fill="FFFFFF"/>
        </w:rPr>
        <w:t>its</w:t>
      </w:r>
      <w:proofErr w:type="gramEnd"/>
      <w:r w:rsidRPr="00A37CE6">
        <w:rPr>
          <w:color w:val="222222"/>
          <w:shd w:val="clear" w:color="auto" w:fill="FFFFFF"/>
        </w:rPr>
        <w:t xml:space="preserve"> aim in safeguarding the public?</w:t>
      </w:r>
      <w:r w:rsidRPr="00A37CE6">
        <w:rPr>
          <w:color w:val="222222"/>
          <w:shd w:val="clear" w:color="auto" w:fill="FFFFFF"/>
        </w:rPr>
        <w:t xml:space="preserve"> </w:t>
      </w:r>
      <w:proofErr w:type="gramStart"/>
      <w:r w:rsidRPr="00A37CE6">
        <w:rPr>
          <w:i/>
          <w:iCs/>
          <w:color w:val="222222"/>
          <w:shd w:val="clear" w:color="auto" w:fill="FFFFFF"/>
        </w:rPr>
        <w:t>Focus</w:t>
      </w:r>
      <w:proofErr w:type="gramEnd"/>
      <w:r w:rsidRPr="00A37CE6">
        <w:rPr>
          <w:i/>
          <w:iCs/>
          <w:color w:val="222222"/>
          <w:shd w:val="clear" w:color="auto" w:fill="FFFFFF"/>
        </w:rPr>
        <w:t xml:space="preserve"> on Alternative and Complementary Therapies</w:t>
      </w:r>
      <w:r w:rsidRPr="00A37CE6">
        <w:rPr>
          <w:color w:val="222222"/>
          <w:shd w:val="clear" w:color="auto" w:fill="FFFFFF"/>
        </w:rPr>
        <w:t>, </w:t>
      </w:r>
      <w:r w:rsidRPr="00A37CE6">
        <w:rPr>
          <w:i/>
          <w:iCs/>
          <w:color w:val="222222"/>
          <w:shd w:val="clear" w:color="auto" w:fill="FFFFFF"/>
        </w:rPr>
        <w:t>14</w:t>
      </w:r>
      <w:r w:rsidRPr="00A37CE6">
        <w:rPr>
          <w:color w:val="222222"/>
          <w:shd w:val="clear" w:color="auto" w:fill="FFFFFF"/>
        </w:rPr>
        <w:t>(3), pp.167-170.</w:t>
      </w:r>
    </w:p>
    <w:p w14:paraId="4C424CD9" w14:textId="77777777" w:rsidR="00A37CE6" w:rsidRDefault="00A37CE6" w:rsidP="000B67BF">
      <w:pPr>
        <w:spacing w:line="480" w:lineRule="auto"/>
        <w:jc w:val="both"/>
        <w:rPr>
          <w:color w:val="222222"/>
          <w:shd w:val="clear" w:color="auto" w:fill="FFFFFF"/>
        </w:rPr>
      </w:pPr>
    </w:p>
    <w:p w14:paraId="3BC1FB3E" w14:textId="49D00450" w:rsidR="00A37CE6" w:rsidRPr="00A37CE6" w:rsidRDefault="00A37CE6" w:rsidP="000B67BF">
      <w:pPr>
        <w:spacing w:line="480" w:lineRule="auto"/>
        <w:jc w:val="both"/>
        <w:rPr>
          <w:color w:val="222222"/>
          <w:shd w:val="clear" w:color="auto" w:fill="FFFFFF"/>
        </w:rPr>
      </w:pPr>
      <w:r w:rsidRPr="00A37CE6">
        <w:rPr>
          <w:color w:val="222222"/>
          <w:shd w:val="clear" w:color="auto" w:fill="FFFFFF"/>
        </w:rPr>
        <w:t xml:space="preserve">Jong, M.C., van de </w:t>
      </w:r>
      <w:proofErr w:type="spellStart"/>
      <w:r w:rsidRPr="00A37CE6">
        <w:rPr>
          <w:color w:val="222222"/>
          <w:shd w:val="clear" w:color="auto" w:fill="FFFFFF"/>
        </w:rPr>
        <w:t>Vijver</w:t>
      </w:r>
      <w:proofErr w:type="spellEnd"/>
      <w:r w:rsidRPr="00A37CE6">
        <w:rPr>
          <w:color w:val="222222"/>
          <w:shd w:val="clear" w:color="auto" w:fill="FFFFFF"/>
        </w:rPr>
        <w:t xml:space="preserve">, L., Busch, M., </w:t>
      </w:r>
      <w:proofErr w:type="spellStart"/>
      <w:r w:rsidRPr="00A37CE6">
        <w:rPr>
          <w:color w:val="222222"/>
          <w:shd w:val="clear" w:color="auto" w:fill="FFFFFF"/>
        </w:rPr>
        <w:t>Fritsma</w:t>
      </w:r>
      <w:proofErr w:type="spellEnd"/>
      <w:r w:rsidRPr="00A37CE6">
        <w:rPr>
          <w:color w:val="222222"/>
          <w:shd w:val="clear" w:color="auto" w:fill="FFFFFF"/>
        </w:rPr>
        <w:t xml:space="preserve">, J. and </w:t>
      </w:r>
      <w:proofErr w:type="spellStart"/>
      <w:r w:rsidRPr="00A37CE6">
        <w:rPr>
          <w:color w:val="222222"/>
          <w:shd w:val="clear" w:color="auto" w:fill="FFFFFF"/>
        </w:rPr>
        <w:t>Seldenrijk</w:t>
      </w:r>
      <w:proofErr w:type="spellEnd"/>
      <w:r w:rsidRPr="00A37CE6">
        <w:rPr>
          <w:color w:val="222222"/>
          <w:shd w:val="clear" w:color="auto" w:fill="FFFFFF"/>
        </w:rPr>
        <w:t xml:space="preserve">, R., 2012. Integration of complementary and alternative medicine in primary care: what do patients </w:t>
      </w:r>
      <w:proofErr w:type="gramStart"/>
      <w:r w:rsidRPr="00A37CE6">
        <w:rPr>
          <w:color w:val="222222"/>
          <w:shd w:val="clear" w:color="auto" w:fill="FFFFFF"/>
        </w:rPr>
        <w:t>want?.</w:t>
      </w:r>
      <w:proofErr w:type="gramEnd"/>
      <w:r w:rsidRPr="00A37CE6">
        <w:rPr>
          <w:color w:val="222222"/>
          <w:shd w:val="clear" w:color="auto" w:fill="FFFFFF"/>
        </w:rPr>
        <w:t> </w:t>
      </w:r>
      <w:r w:rsidRPr="00A37CE6">
        <w:rPr>
          <w:i/>
          <w:iCs/>
          <w:color w:val="222222"/>
          <w:shd w:val="clear" w:color="auto" w:fill="FFFFFF"/>
        </w:rPr>
        <w:t xml:space="preserve">Patient education and </w:t>
      </w:r>
      <w:proofErr w:type="spellStart"/>
      <w:r w:rsidRPr="00A37CE6">
        <w:rPr>
          <w:i/>
          <w:iCs/>
          <w:color w:val="222222"/>
          <w:shd w:val="clear" w:color="auto" w:fill="FFFFFF"/>
        </w:rPr>
        <w:t>counseling</w:t>
      </w:r>
      <w:proofErr w:type="spellEnd"/>
      <w:r w:rsidRPr="00A37CE6">
        <w:rPr>
          <w:color w:val="222222"/>
          <w:shd w:val="clear" w:color="auto" w:fill="FFFFFF"/>
        </w:rPr>
        <w:t>, </w:t>
      </w:r>
      <w:r w:rsidRPr="00A37CE6">
        <w:rPr>
          <w:i/>
          <w:iCs/>
          <w:color w:val="222222"/>
          <w:shd w:val="clear" w:color="auto" w:fill="FFFFFF"/>
        </w:rPr>
        <w:t>89</w:t>
      </w:r>
      <w:r w:rsidRPr="00A37CE6">
        <w:rPr>
          <w:color w:val="222222"/>
          <w:shd w:val="clear" w:color="auto" w:fill="FFFFFF"/>
        </w:rPr>
        <w:t>(3), pp.417-422.</w:t>
      </w:r>
    </w:p>
    <w:p w14:paraId="3FADA867" w14:textId="77777777" w:rsidR="00A37CE6" w:rsidRDefault="00A37CE6" w:rsidP="000B67BF">
      <w:pPr>
        <w:spacing w:line="480" w:lineRule="auto"/>
        <w:jc w:val="both"/>
        <w:rPr>
          <w:color w:val="222222"/>
          <w:shd w:val="clear" w:color="auto" w:fill="FFFFFF"/>
        </w:rPr>
      </w:pPr>
    </w:p>
    <w:p w14:paraId="1BD042F5" w14:textId="268B0E3B" w:rsidR="00A37CE6" w:rsidRPr="00A37CE6" w:rsidRDefault="00A37CE6" w:rsidP="000B67BF">
      <w:pPr>
        <w:spacing w:line="480" w:lineRule="auto"/>
        <w:jc w:val="both"/>
        <w:rPr>
          <w:color w:val="222222"/>
          <w:shd w:val="clear" w:color="auto" w:fill="FFFFFF"/>
        </w:rPr>
      </w:pPr>
      <w:proofErr w:type="spellStart"/>
      <w:r w:rsidRPr="00A37CE6">
        <w:rPr>
          <w:color w:val="222222"/>
          <w:shd w:val="clear" w:color="auto" w:fill="FFFFFF"/>
        </w:rPr>
        <w:t>Jou</w:t>
      </w:r>
      <w:proofErr w:type="spellEnd"/>
      <w:r w:rsidRPr="00A37CE6">
        <w:rPr>
          <w:color w:val="222222"/>
          <w:shd w:val="clear" w:color="auto" w:fill="FFFFFF"/>
        </w:rPr>
        <w:t>, J. and Johnson, P.J., 2016. Nondisclosure of complementary and alternative medicine use to primary care physicians: findings from the 2012 National Health Interview Survey. </w:t>
      </w:r>
      <w:r w:rsidRPr="00A37CE6">
        <w:rPr>
          <w:i/>
          <w:iCs/>
          <w:color w:val="222222"/>
          <w:shd w:val="clear" w:color="auto" w:fill="FFFFFF"/>
        </w:rPr>
        <w:t>JAMA internal medicine</w:t>
      </w:r>
      <w:r w:rsidRPr="00A37CE6">
        <w:rPr>
          <w:color w:val="222222"/>
          <w:shd w:val="clear" w:color="auto" w:fill="FFFFFF"/>
        </w:rPr>
        <w:t>, </w:t>
      </w:r>
      <w:r w:rsidRPr="00A37CE6">
        <w:rPr>
          <w:i/>
          <w:iCs/>
          <w:color w:val="222222"/>
          <w:shd w:val="clear" w:color="auto" w:fill="FFFFFF"/>
        </w:rPr>
        <w:t>176</w:t>
      </w:r>
      <w:r w:rsidRPr="00A37CE6">
        <w:rPr>
          <w:color w:val="222222"/>
          <w:shd w:val="clear" w:color="auto" w:fill="FFFFFF"/>
        </w:rPr>
        <w:t>(4), pp.545-546.</w:t>
      </w:r>
    </w:p>
    <w:p w14:paraId="334C45E2" w14:textId="77777777" w:rsidR="00A37CE6" w:rsidRDefault="00A37CE6" w:rsidP="000B67BF">
      <w:pPr>
        <w:spacing w:line="480" w:lineRule="auto"/>
        <w:jc w:val="both"/>
        <w:rPr>
          <w:color w:val="222222"/>
          <w:shd w:val="clear" w:color="auto" w:fill="FFFFFF"/>
        </w:rPr>
      </w:pPr>
    </w:p>
    <w:p w14:paraId="1FA564C8" w14:textId="04224F63" w:rsidR="00A37CE6" w:rsidRPr="00A37CE6" w:rsidRDefault="00A37CE6" w:rsidP="000B67BF">
      <w:pPr>
        <w:spacing w:line="480" w:lineRule="auto"/>
        <w:jc w:val="both"/>
        <w:rPr>
          <w:color w:val="222222"/>
          <w:shd w:val="clear" w:color="auto" w:fill="FFFFFF"/>
        </w:rPr>
      </w:pPr>
      <w:proofErr w:type="spellStart"/>
      <w:r w:rsidRPr="00A37CE6">
        <w:rPr>
          <w:color w:val="222222"/>
          <w:shd w:val="clear" w:color="auto" w:fill="FFFFFF"/>
        </w:rPr>
        <w:t>Knapen</w:t>
      </w:r>
      <w:proofErr w:type="spellEnd"/>
      <w:r w:rsidRPr="00A37CE6">
        <w:rPr>
          <w:color w:val="222222"/>
          <w:shd w:val="clear" w:color="auto" w:fill="FFFFFF"/>
        </w:rPr>
        <w:t xml:space="preserve">, J., </w:t>
      </w:r>
      <w:proofErr w:type="spellStart"/>
      <w:r w:rsidRPr="00A37CE6">
        <w:rPr>
          <w:color w:val="222222"/>
          <w:shd w:val="clear" w:color="auto" w:fill="FFFFFF"/>
        </w:rPr>
        <w:t>Vancampfort</w:t>
      </w:r>
      <w:proofErr w:type="spellEnd"/>
      <w:r w:rsidRPr="00A37CE6">
        <w:rPr>
          <w:color w:val="222222"/>
          <w:shd w:val="clear" w:color="auto" w:fill="FFFFFF"/>
        </w:rPr>
        <w:t xml:space="preserve">, D., </w:t>
      </w:r>
      <w:proofErr w:type="spellStart"/>
      <w:r w:rsidRPr="00A37CE6">
        <w:rPr>
          <w:color w:val="222222"/>
          <w:shd w:val="clear" w:color="auto" w:fill="FFFFFF"/>
        </w:rPr>
        <w:t>Moriën</w:t>
      </w:r>
      <w:proofErr w:type="spellEnd"/>
      <w:r w:rsidRPr="00A37CE6">
        <w:rPr>
          <w:color w:val="222222"/>
          <w:shd w:val="clear" w:color="auto" w:fill="FFFFFF"/>
        </w:rPr>
        <w:t xml:space="preserve">, Y. and </w:t>
      </w:r>
      <w:proofErr w:type="spellStart"/>
      <w:r w:rsidRPr="00A37CE6">
        <w:rPr>
          <w:color w:val="222222"/>
          <w:shd w:val="clear" w:color="auto" w:fill="FFFFFF"/>
        </w:rPr>
        <w:t>Marchal</w:t>
      </w:r>
      <w:proofErr w:type="spellEnd"/>
      <w:r w:rsidRPr="00A37CE6">
        <w:rPr>
          <w:color w:val="222222"/>
          <w:shd w:val="clear" w:color="auto" w:fill="FFFFFF"/>
        </w:rPr>
        <w:t>, Y., 2015. Exercise therapy improves both mental and physical health in patients with major depression. </w:t>
      </w:r>
      <w:r w:rsidRPr="00A37CE6">
        <w:rPr>
          <w:i/>
          <w:iCs/>
          <w:color w:val="222222"/>
          <w:shd w:val="clear" w:color="auto" w:fill="FFFFFF"/>
        </w:rPr>
        <w:t>Disability and rehabilitation</w:t>
      </w:r>
      <w:r w:rsidRPr="00A37CE6">
        <w:rPr>
          <w:color w:val="222222"/>
          <w:shd w:val="clear" w:color="auto" w:fill="FFFFFF"/>
        </w:rPr>
        <w:t>, </w:t>
      </w:r>
      <w:r w:rsidRPr="00A37CE6">
        <w:rPr>
          <w:i/>
          <w:iCs/>
          <w:color w:val="222222"/>
          <w:shd w:val="clear" w:color="auto" w:fill="FFFFFF"/>
        </w:rPr>
        <w:t>37</w:t>
      </w:r>
      <w:r w:rsidRPr="00A37CE6">
        <w:rPr>
          <w:color w:val="222222"/>
          <w:shd w:val="clear" w:color="auto" w:fill="FFFFFF"/>
        </w:rPr>
        <w:t>(16), pp.1490-1495.</w:t>
      </w:r>
    </w:p>
    <w:p w14:paraId="79468CD1" w14:textId="77777777" w:rsidR="00A37CE6" w:rsidRDefault="00A37CE6" w:rsidP="000B67BF">
      <w:pPr>
        <w:spacing w:line="480" w:lineRule="auto"/>
        <w:jc w:val="both"/>
        <w:rPr>
          <w:color w:val="222222"/>
          <w:shd w:val="clear" w:color="auto" w:fill="FFFFFF"/>
        </w:rPr>
      </w:pPr>
    </w:p>
    <w:p w14:paraId="271813D7" w14:textId="1021BC6E" w:rsidR="00A37CE6" w:rsidRPr="00A37CE6" w:rsidRDefault="00A37CE6" w:rsidP="000B67BF">
      <w:pPr>
        <w:spacing w:line="480" w:lineRule="auto"/>
        <w:jc w:val="both"/>
        <w:rPr>
          <w:color w:val="222222"/>
          <w:shd w:val="clear" w:color="auto" w:fill="FFFFFF"/>
        </w:rPr>
      </w:pPr>
      <w:r w:rsidRPr="00A37CE6">
        <w:rPr>
          <w:color w:val="222222"/>
          <w:shd w:val="clear" w:color="auto" w:fill="FFFFFF"/>
        </w:rPr>
        <w:t xml:space="preserve">Lake, S., Kerr, T., </w:t>
      </w:r>
      <w:proofErr w:type="spellStart"/>
      <w:r w:rsidRPr="00A37CE6">
        <w:rPr>
          <w:color w:val="222222"/>
          <w:shd w:val="clear" w:color="auto" w:fill="FFFFFF"/>
        </w:rPr>
        <w:t>Werb</w:t>
      </w:r>
      <w:proofErr w:type="spellEnd"/>
      <w:r w:rsidRPr="00A37CE6">
        <w:rPr>
          <w:color w:val="222222"/>
          <w:shd w:val="clear" w:color="auto" w:fill="FFFFFF"/>
        </w:rPr>
        <w:t>, D., Haines‐</w:t>
      </w:r>
      <w:proofErr w:type="spellStart"/>
      <w:r w:rsidRPr="00A37CE6">
        <w:rPr>
          <w:color w:val="222222"/>
          <w:shd w:val="clear" w:color="auto" w:fill="FFFFFF"/>
        </w:rPr>
        <w:t>Saah</w:t>
      </w:r>
      <w:proofErr w:type="spellEnd"/>
      <w:r w:rsidRPr="00A37CE6">
        <w:rPr>
          <w:color w:val="222222"/>
          <w:shd w:val="clear" w:color="auto" w:fill="FFFFFF"/>
        </w:rPr>
        <w:t>, R., Fischer, B., Thomas, G., Walsh, Z., Ware, M.A., Wood, E. and Milloy, M.J., 2019. Guidelines for public health and safety metrics to evaluate the potential harms and benefits of cannabis regulation in Canada. </w:t>
      </w:r>
      <w:r w:rsidRPr="00A37CE6">
        <w:rPr>
          <w:i/>
          <w:iCs/>
          <w:color w:val="222222"/>
          <w:shd w:val="clear" w:color="auto" w:fill="FFFFFF"/>
        </w:rPr>
        <w:t>Drug and alcohol review</w:t>
      </w:r>
      <w:r w:rsidRPr="00A37CE6">
        <w:rPr>
          <w:color w:val="222222"/>
          <w:shd w:val="clear" w:color="auto" w:fill="FFFFFF"/>
        </w:rPr>
        <w:t>, </w:t>
      </w:r>
      <w:r w:rsidRPr="00A37CE6">
        <w:rPr>
          <w:i/>
          <w:iCs/>
          <w:color w:val="222222"/>
          <w:shd w:val="clear" w:color="auto" w:fill="FFFFFF"/>
        </w:rPr>
        <w:t>38</w:t>
      </w:r>
      <w:r w:rsidRPr="00A37CE6">
        <w:rPr>
          <w:color w:val="222222"/>
          <w:shd w:val="clear" w:color="auto" w:fill="FFFFFF"/>
        </w:rPr>
        <w:t>(6), pp.606-621.</w:t>
      </w:r>
    </w:p>
    <w:p w14:paraId="4FAD1E98" w14:textId="77777777" w:rsidR="00A37CE6" w:rsidRDefault="00A37CE6" w:rsidP="000B67BF">
      <w:pPr>
        <w:spacing w:line="480" w:lineRule="auto"/>
        <w:jc w:val="both"/>
        <w:rPr>
          <w:color w:val="222222"/>
          <w:shd w:val="clear" w:color="auto" w:fill="FFFFFF"/>
        </w:rPr>
      </w:pPr>
    </w:p>
    <w:p w14:paraId="61BDE802" w14:textId="22952B5C" w:rsidR="00A37CE6" w:rsidRPr="00A37CE6" w:rsidRDefault="00A37CE6" w:rsidP="000B67BF">
      <w:pPr>
        <w:spacing w:line="480" w:lineRule="auto"/>
        <w:jc w:val="both"/>
        <w:rPr>
          <w:color w:val="222222"/>
          <w:shd w:val="clear" w:color="auto" w:fill="FFFFFF"/>
        </w:rPr>
      </w:pPr>
      <w:r w:rsidRPr="00A37CE6">
        <w:rPr>
          <w:color w:val="222222"/>
          <w:shd w:val="clear" w:color="auto" w:fill="FFFFFF"/>
        </w:rPr>
        <w:t xml:space="preserve">Macdonald, C. and </w:t>
      </w:r>
      <w:proofErr w:type="spellStart"/>
      <w:r w:rsidRPr="00A37CE6">
        <w:rPr>
          <w:color w:val="222222"/>
          <w:shd w:val="clear" w:color="auto" w:fill="FFFFFF"/>
        </w:rPr>
        <w:t>Gavura</w:t>
      </w:r>
      <w:proofErr w:type="spellEnd"/>
      <w:r w:rsidRPr="00A37CE6">
        <w:rPr>
          <w:color w:val="222222"/>
          <w:shd w:val="clear" w:color="auto" w:fill="FFFFFF"/>
        </w:rPr>
        <w:t>, S., 2016. Alternative medicine and the ethics of commerce. </w:t>
      </w:r>
      <w:r w:rsidRPr="00A37CE6">
        <w:rPr>
          <w:i/>
          <w:iCs/>
          <w:color w:val="222222"/>
          <w:shd w:val="clear" w:color="auto" w:fill="FFFFFF"/>
        </w:rPr>
        <w:t>Bioethics</w:t>
      </w:r>
      <w:r w:rsidRPr="00A37CE6">
        <w:rPr>
          <w:color w:val="222222"/>
          <w:shd w:val="clear" w:color="auto" w:fill="FFFFFF"/>
        </w:rPr>
        <w:t>, </w:t>
      </w:r>
      <w:r w:rsidRPr="00A37CE6">
        <w:rPr>
          <w:i/>
          <w:iCs/>
          <w:color w:val="222222"/>
          <w:shd w:val="clear" w:color="auto" w:fill="FFFFFF"/>
        </w:rPr>
        <w:t>30</w:t>
      </w:r>
      <w:r w:rsidRPr="00A37CE6">
        <w:rPr>
          <w:color w:val="222222"/>
          <w:shd w:val="clear" w:color="auto" w:fill="FFFFFF"/>
        </w:rPr>
        <w:t>(2), pp.77-84.</w:t>
      </w:r>
    </w:p>
    <w:p w14:paraId="4D7A8AD0" w14:textId="77777777" w:rsidR="00A37CE6" w:rsidRPr="00A37CE6" w:rsidRDefault="00A37CE6" w:rsidP="000B67BF">
      <w:pPr>
        <w:spacing w:line="480" w:lineRule="auto"/>
        <w:jc w:val="both"/>
      </w:pPr>
      <w:proofErr w:type="spellStart"/>
      <w:r w:rsidRPr="00A37CE6">
        <w:rPr>
          <w:color w:val="222222"/>
          <w:shd w:val="clear" w:color="auto" w:fill="FFFFFF"/>
        </w:rPr>
        <w:lastRenderedPageBreak/>
        <w:t>Minen</w:t>
      </w:r>
      <w:proofErr w:type="spellEnd"/>
      <w:r w:rsidRPr="00A37CE6">
        <w:rPr>
          <w:color w:val="222222"/>
          <w:shd w:val="clear" w:color="auto" w:fill="FFFFFF"/>
        </w:rPr>
        <w:t xml:space="preserve">, M., </w:t>
      </w:r>
      <w:proofErr w:type="spellStart"/>
      <w:r w:rsidRPr="00A37CE6">
        <w:rPr>
          <w:color w:val="222222"/>
          <w:shd w:val="clear" w:color="auto" w:fill="FFFFFF"/>
        </w:rPr>
        <w:t>Jinich</w:t>
      </w:r>
      <w:proofErr w:type="spellEnd"/>
      <w:r w:rsidRPr="00A37CE6">
        <w:rPr>
          <w:color w:val="222222"/>
          <w:shd w:val="clear" w:color="auto" w:fill="FFFFFF"/>
        </w:rPr>
        <w:t xml:space="preserve">, S. and </w:t>
      </w:r>
      <w:proofErr w:type="spellStart"/>
      <w:r w:rsidRPr="00A37CE6">
        <w:rPr>
          <w:color w:val="222222"/>
          <w:shd w:val="clear" w:color="auto" w:fill="FFFFFF"/>
        </w:rPr>
        <w:t>Vallespir</w:t>
      </w:r>
      <w:proofErr w:type="spellEnd"/>
      <w:r w:rsidRPr="00A37CE6">
        <w:rPr>
          <w:color w:val="222222"/>
          <w:shd w:val="clear" w:color="auto" w:fill="FFFFFF"/>
        </w:rPr>
        <w:t xml:space="preserve"> </w:t>
      </w:r>
      <w:proofErr w:type="spellStart"/>
      <w:r w:rsidRPr="00A37CE6">
        <w:rPr>
          <w:color w:val="222222"/>
          <w:shd w:val="clear" w:color="auto" w:fill="FFFFFF"/>
        </w:rPr>
        <w:t>Ellett</w:t>
      </w:r>
      <w:proofErr w:type="spellEnd"/>
      <w:r w:rsidRPr="00A37CE6">
        <w:rPr>
          <w:color w:val="222222"/>
          <w:shd w:val="clear" w:color="auto" w:fill="FFFFFF"/>
        </w:rPr>
        <w:t xml:space="preserve">, G., 2019. </w:t>
      </w:r>
      <w:proofErr w:type="spellStart"/>
      <w:r w:rsidRPr="00A37CE6">
        <w:rPr>
          <w:color w:val="222222"/>
          <w:shd w:val="clear" w:color="auto" w:fill="FFFFFF"/>
        </w:rPr>
        <w:t>Behavioral</w:t>
      </w:r>
      <w:proofErr w:type="spellEnd"/>
      <w:r w:rsidRPr="00A37CE6">
        <w:rPr>
          <w:color w:val="222222"/>
          <w:shd w:val="clear" w:color="auto" w:fill="FFFFFF"/>
        </w:rPr>
        <w:t xml:space="preserve"> Therapies and Mind‐Body Interventions for Posttraumatic Headache and Post‐Concussive Symptoms: A Systematic Review. </w:t>
      </w:r>
      <w:r w:rsidRPr="00A37CE6">
        <w:rPr>
          <w:i/>
          <w:iCs/>
          <w:color w:val="222222"/>
          <w:shd w:val="clear" w:color="auto" w:fill="FFFFFF"/>
        </w:rPr>
        <w:t>Headache: The Journal of Head and Face Pain</w:t>
      </w:r>
      <w:r w:rsidRPr="00A37CE6">
        <w:rPr>
          <w:color w:val="222222"/>
          <w:shd w:val="clear" w:color="auto" w:fill="FFFFFF"/>
        </w:rPr>
        <w:t>, </w:t>
      </w:r>
      <w:r w:rsidRPr="00A37CE6">
        <w:rPr>
          <w:i/>
          <w:iCs/>
          <w:color w:val="222222"/>
          <w:shd w:val="clear" w:color="auto" w:fill="FFFFFF"/>
        </w:rPr>
        <w:t>59</w:t>
      </w:r>
      <w:r w:rsidRPr="00A37CE6">
        <w:rPr>
          <w:color w:val="222222"/>
          <w:shd w:val="clear" w:color="auto" w:fill="FFFFFF"/>
        </w:rPr>
        <w:t>(2), pp.151-163.</w:t>
      </w:r>
    </w:p>
    <w:p w14:paraId="02D92687" w14:textId="77777777" w:rsidR="00A37CE6" w:rsidRDefault="00A37CE6" w:rsidP="000B67BF">
      <w:pPr>
        <w:spacing w:line="480" w:lineRule="auto"/>
        <w:jc w:val="both"/>
      </w:pPr>
    </w:p>
    <w:p w14:paraId="712C3197" w14:textId="3F7B9392" w:rsidR="00A37CE6" w:rsidRPr="00A37CE6" w:rsidRDefault="00A37CE6" w:rsidP="000B67BF">
      <w:pPr>
        <w:spacing w:line="480" w:lineRule="auto"/>
        <w:jc w:val="both"/>
      </w:pPr>
      <w:r w:rsidRPr="00A37CE6">
        <w:t xml:space="preserve">NHS, (2020) Complementary and Alternative Medicine, Available at: </w:t>
      </w:r>
      <w:hyperlink r:id="rId13" w:anchor=":~:text=Finding%20other%20CAM%20practitioners,limited%20formal%20qualifications%20or%20experience" w:history="1">
        <w:r w:rsidRPr="00A37CE6">
          <w:rPr>
            <w:rStyle w:val="Hyperlink"/>
          </w:rPr>
          <w:t>https://www.nhs.uk/conditions/complementary-and-alternative-medicine/#:~:text=Finding%20other%20CAM%20practitioners,limited%20formal%20qualifications%20or%20experience</w:t>
        </w:r>
      </w:hyperlink>
    </w:p>
    <w:p w14:paraId="413FE8C2" w14:textId="77777777" w:rsidR="00A37CE6" w:rsidRDefault="00A37CE6" w:rsidP="000B67BF">
      <w:pPr>
        <w:spacing w:line="480" w:lineRule="auto"/>
        <w:jc w:val="both"/>
      </w:pPr>
    </w:p>
    <w:p w14:paraId="47775A80" w14:textId="5FA7BE64" w:rsidR="00A37CE6" w:rsidRPr="00A37CE6" w:rsidRDefault="00A37CE6" w:rsidP="000B67BF">
      <w:pPr>
        <w:spacing w:line="480" w:lineRule="auto"/>
        <w:jc w:val="both"/>
      </w:pPr>
      <w:r w:rsidRPr="00A37CE6">
        <w:t xml:space="preserve">NICE (2020) Standards and Indicators, Available at: </w:t>
      </w:r>
      <w:hyperlink r:id="rId14" w:history="1">
        <w:r w:rsidRPr="00A37CE6">
          <w:rPr>
            <w:rStyle w:val="Hyperlink"/>
          </w:rPr>
          <w:t>https://www.nice.org.uk/standards-and-indicators</w:t>
        </w:r>
      </w:hyperlink>
    </w:p>
    <w:p w14:paraId="33411F91" w14:textId="77777777" w:rsidR="00A37CE6" w:rsidRDefault="00A37CE6" w:rsidP="000B67BF">
      <w:pPr>
        <w:spacing w:line="480" w:lineRule="auto"/>
        <w:jc w:val="both"/>
        <w:rPr>
          <w:color w:val="222222"/>
          <w:shd w:val="clear" w:color="auto" w:fill="FFFFFF"/>
        </w:rPr>
      </w:pPr>
    </w:p>
    <w:p w14:paraId="48D7C906" w14:textId="4BD13092" w:rsidR="00A37CE6" w:rsidRPr="00A37CE6" w:rsidRDefault="00A37CE6" w:rsidP="000B67BF">
      <w:pPr>
        <w:spacing w:line="480" w:lineRule="auto"/>
        <w:jc w:val="both"/>
      </w:pPr>
      <w:proofErr w:type="spellStart"/>
      <w:r w:rsidRPr="00A37CE6">
        <w:rPr>
          <w:color w:val="222222"/>
          <w:shd w:val="clear" w:color="auto" w:fill="FFFFFF"/>
        </w:rPr>
        <w:t>Panagioti</w:t>
      </w:r>
      <w:proofErr w:type="spellEnd"/>
      <w:r w:rsidRPr="00A37CE6">
        <w:rPr>
          <w:color w:val="222222"/>
          <w:shd w:val="clear" w:color="auto" w:fill="FFFFFF"/>
        </w:rPr>
        <w:t xml:space="preserve">, M., Geraghty, K., Johnson, J., Zhou, A., </w:t>
      </w:r>
      <w:proofErr w:type="spellStart"/>
      <w:r w:rsidRPr="00A37CE6">
        <w:rPr>
          <w:color w:val="222222"/>
          <w:shd w:val="clear" w:color="auto" w:fill="FFFFFF"/>
        </w:rPr>
        <w:t>Panagopoulou</w:t>
      </w:r>
      <w:proofErr w:type="spellEnd"/>
      <w:r w:rsidRPr="00A37CE6">
        <w:rPr>
          <w:color w:val="222222"/>
          <w:shd w:val="clear" w:color="auto" w:fill="FFFFFF"/>
        </w:rPr>
        <w:t xml:space="preserve">, E., Chew-Graham, C., Peters, D., Hodkinson, A., Riley, R. and </w:t>
      </w:r>
      <w:proofErr w:type="spellStart"/>
      <w:r w:rsidRPr="00A37CE6">
        <w:rPr>
          <w:color w:val="222222"/>
          <w:shd w:val="clear" w:color="auto" w:fill="FFFFFF"/>
        </w:rPr>
        <w:t>Esmail</w:t>
      </w:r>
      <w:proofErr w:type="spellEnd"/>
      <w:r w:rsidRPr="00A37CE6">
        <w:rPr>
          <w:color w:val="222222"/>
          <w:shd w:val="clear" w:color="auto" w:fill="FFFFFF"/>
        </w:rPr>
        <w:t>, A., 2018. Association between physician burnout and patient safety, professionalism, and patient satisfaction: a systematic review and meta-analysis. </w:t>
      </w:r>
      <w:r w:rsidRPr="00A37CE6">
        <w:rPr>
          <w:i/>
          <w:iCs/>
          <w:color w:val="222222"/>
          <w:shd w:val="clear" w:color="auto" w:fill="FFFFFF"/>
        </w:rPr>
        <w:t>JAMA internal medicine</w:t>
      </w:r>
      <w:r w:rsidRPr="00A37CE6">
        <w:rPr>
          <w:color w:val="222222"/>
          <w:shd w:val="clear" w:color="auto" w:fill="FFFFFF"/>
        </w:rPr>
        <w:t>, </w:t>
      </w:r>
      <w:r w:rsidRPr="00A37CE6">
        <w:rPr>
          <w:i/>
          <w:iCs/>
          <w:color w:val="222222"/>
          <w:shd w:val="clear" w:color="auto" w:fill="FFFFFF"/>
        </w:rPr>
        <w:t>178</w:t>
      </w:r>
      <w:r w:rsidRPr="00A37CE6">
        <w:rPr>
          <w:color w:val="222222"/>
          <w:shd w:val="clear" w:color="auto" w:fill="FFFFFF"/>
        </w:rPr>
        <w:t>(10), pp.1317-1331.</w:t>
      </w:r>
    </w:p>
    <w:p w14:paraId="07FDDF0C" w14:textId="77777777" w:rsidR="00A37CE6" w:rsidRDefault="00A37CE6" w:rsidP="000B67BF">
      <w:pPr>
        <w:spacing w:line="480" w:lineRule="auto"/>
        <w:jc w:val="both"/>
      </w:pPr>
    </w:p>
    <w:p w14:paraId="1947D3EF" w14:textId="6464BEF0" w:rsidR="00A37CE6" w:rsidRPr="00A37CE6" w:rsidRDefault="00A37CE6" w:rsidP="000B67BF">
      <w:pPr>
        <w:spacing w:line="480" w:lineRule="auto"/>
        <w:jc w:val="both"/>
      </w:pPr>
      <w:r w:rsidRPr="00A37CE6">
        <w:t xml:space="preserve">RCCM (2020) CAM Regulations, Available at: </w:t>
      </w:r>
      <w:hyperlink r:id="rId15" w:history="1">
        <w:r w:rsidRPr="00A37CE6">
          <w:rPr>
            <w:rStyle w:val="Hyperlink"/>
          </w:rPr>
          <w:t>https://www.rccm.org.uk/what-is-cam/cam-regulation-2/</w:t>
        </w:r>
      </w:hyperlink>
    </w:p>
    <w:p w14:paraId="2C89CEAC" w14:textId="77777777" w:rsidR="00A37CE6" w:rsidRDefault="00A37CE6" w:rsidP="000B67BF">
      <w:pPr>
        <w:spacing w:line="480" w:lineRule="auto"/>
        <w:jc w:val="both"/>
        <w:rPr>
          <w:color w:val="222222"/>
          <w:shd w:val="clear" w:color="auto" w:fill="FFFFFF"/>
        </w:rPr>
      </w:pPr>
    </w:p>
    <w:p w14:paraId="739A28C0" w14:textId="31628B61" w:rsidR="00A37CE6" w:rsidRPr="00A37CE6" w:rsidRDefault="00A37CE6" w:rsidP="000B67BF">
      <w:pPr>
        <w:spacing w:line="480" w:lineRule="auto"/>
        <w:jc w:val="both"/>
      </w:pPr>
      <w:r w:rsidRPr="00A37CE6">
        <w:rPr>
          <w:color w:val="222222"/>
          <w:shd w:val="clear" w:color="auto" w:fill="FFFFFF"/>
        </w:rPr>
        <w:t>Rhee, T.G. and Harris, I.M., 2018. Reasons for and perceived benefits of utilizing complementary and alternative medicine in US adults with migraines/severe headaches. </w:t>
      </w:r>
      <w:r w:rsidRPr="00A37CE6">
        <w:rPr>
          <w:i/>
          <w:iCs/>
          <w:color w:val="222222"/>
          <w:shd w:val="clear" w:color="auto" w:fill="FFFFFF"/>
        </w:rPr>
        <w:t>Complementary Therapies in Clinical Practice</w:t>
      </w:r>
      <w:r w:rsidRPr="00A37CE6">
        <w:rPr>
          <w:color w:val="222222"/>
          <w:shd w:val="clear" w:color="auto" w:fill="FFFFFF"/>
        </w:rPr>
        <w:t>, </w:t>
      </w:r>
      <w:r w:rsidRPr="00A37CE6">
        <w:rPr>
          <w:i/>
          <w:iCs/>
          <w:color w:val="222222"/>
          <w:shd w:val="clear" w:color="auto" w:fill="FFFFFF"/>
        </w:rPr>
        <w:t>30</w:t>
      </w:r>
      <w:r w:rsidRPr="00A37CE6">
        <w:rPr>
          <w:color w:val="222222"/>
          <w:shd w:val="clear" w:color="auto" w:fill="FFFFFF"/>
        </w:rPr>
        <w:t>, pp.44-49.</w:t>
      </w:r>
    </w:p>
    <w:p w14:paraId="19AEB0E6" w14:textId="77777777" w:rsidR="00A37CE6" w:rsidRDefault="00A37CE6" w:rsidP="000B67BF">
      <w:pPr>
        <w:spacing w:line="480" w:lineRule="auto"/>
        <w:jc w:val="both"/>
      </w:pPr>
    </w:p>
    <w:p w14:paraId="7C1A3F0A" w14:textId="3DCA6C6F" w:rsidR="00A37CE6" w:rsidRPr="00A37CE6" w:rsidRDefault="00A37CE6" w:rsidP="000B67BF">
      <w:pPr>
        <w:spacing w:line="480" w:lineRule="auto"/>
        <w:jc w:val="both"/>
      </w:pPr>
      <w:r w:rsidRPr="00A37CE6">
        <w:t xml:space="preserve">SFTR, (2020) About Us, Available at: </w:t>
      </w:r>
      <w:hyperlink r:id="rId16" w:history="1">
        <w:r w:rsidRPr="00A37CE6">
          <w:rPr>
            <w:rStyle w:val="Hyperlink"/>
          </w:rPr>
          <w:t>https://therapyregister.net/about/</w:t>
        </w:r>
      </w:hyperlink>
    </w:p>
    <w:p w14:paraId="15F1550D" w14:textId="77777777" w:rsidR="00A37CE6" w:rsidRPr="00E4581D" w:rsidRDefault="00A37CE6" w:rsidP="000B67BF">
      <w:pPr>
        <w:spacing w:line="480" w:lineRule="auto"/>
        <w:jc w:val="both"/>
      </w:pPr>
      <w:r w:rsidRPr="00E4581D">
        <w:rPr>
          <w:color w:val="222222"/>
          <w:shd w:val="clear" w:color="auto" w:fill="FFFFFF"/>
        </w:rPr>
        <w:lastRenderedPageBreak/>
        <w:t>Stone, J., 2005. </w:t>
      </w:r>
      <w:r w:rsidRPr="00E4581D">
        <w:rPr>
          <w:i/>
          <w:iCs/>
          <w:color w:val="222222"/>
          <w:shd w:val="clear" w:color="auto" w:fill="FFFFFF"/>
        </w:rPr>
        <w:t>An ethical framework for complementary and alternative therapists</w:t>
      </w:r>
      <w:r w:rsidRPr="00E4581D">
        <w:rPr>
          <w:color w:val="222222"/>
          <w:shd w:val="clear" w:color="auto" w:fill="FFFFFF"/>
        </w:rPr>
        <w:t>. Routledge.</w:t>
      </w:r>
    </w:p>
    <w:p w14:paraId="6EA20874" w14:textId="77777777" w:rsidR="00A37CE6" w:rsidRDefault="00A37CE6" w:rsidP="000B67BF">
      <w:pPr>
        <w:spacing w:line="480" w:lineRule="auto"/>
        <w:jc w:val="both"/>
        <w:rPr>
          <w:color w:val="222222"/>
          <w:shd w:val="clear" w:color="auto" w:fill="FFFFFF"/>
        </w:rPr>
      </w:pPr>
    </w:p>
    <w:p w14:paraId="66589548" w14:textId="5DC52179" w:rsidR="00A37CE6" w:rsidRPr="00A37CE6" w:rsidRDefault="00A37CE6" w:rsidP="000B67BF">
      <w:pPr>
        <w:spacing w:line="480" w:lineRule="auto"/>
        <w:jc w:val="both"/>
        <w:rPr>
          <w:color w:val="222222"/>
          <w:shd w:val="clear" w:color="auto" w:fill="FFFFFF"/>
        </w:rPr>
      </w:pPr>
      <w:r w:rsidRPr="00A37CE6">
        <w:rPr>
          <w:color w:val="222222"/>
          <w:shd w:val="clear" w:color="auto" w:fill="FFFFFF"/>
        </w:rPr>
        <w:t xml:space="preserve">Vickers, A. and </w:t>
      </w:r>
      <w:proofErr w:type="spellStart"/>
      <w:r w:rsidRPr="00A37CE6">
        <w:rPr>
          <w:color w:val="222222"/>
          <w:shd w:val="clear" w:color="auto" w:fill="FFFFFF"/>
        </w:rPr>
        <w:t>Zollman</w:t>
      </w:r>
      <w:proofErr w:type="spellEnd"/>
      <w:r w:rsidRPr="00A37CE6">
        <w:rPr>
          <w:color w:val="222222"/>
          <w:shd w:val="clear" w:color="auto" w:fill="FFFFFF"/>
        </w:rPr>
        <w:t>, C., 1999. ABC of complementary medicine: homoeopathy. </w:t>
      </w:r>
      <w:r w:rsidRPr="00A37CE6">
        <w:rPr>
          <w:i/>
          <w:iCs/>
          <w:color w:val="222222"/>
          <w:shd w:val="clear" w:color="auto" w:fill="FFFFFF"/>
        </w:rPr>
        <w:t>BMJ: British Medical Journal</w:t>
      </w:r>
      <w:r w:rsidRPr="00A37CE6">
        <w:rPr>
          <w:color w:val="222222"/>
          <w:shd w:val="clear" w:color="auto" w:fill="FFFFFF"/>
        </w:rPr>
        <w:t>, </w:t>
      </w:r>
      <w:r w:rsidRPr="00A37CE6">
        <w:rPr>
          <w:i/>
          <w:iCs/>
          <w:color w:val="222222"/>
          <w:shd w:val="clear" w:color="auto" w:fill="FFFFFF"/>
        </w:rPr>
        <w:t>319</w:t>
      </w:r>
      <w:r w:rsidRPr="00A37CE6">
        <w:rPr>
          <w:color w:val="222222"/>
          <w:shd w:val="clear" w:color="auto" w:fill="FFFFFF"/>
        </w:rPr>
        <w:t>(7217), p.1115.</w:t>
      </w:r>
    </w:p>
    <w:p w14:paraId="6B5FF444" w14:textId="77777777" w:rsidR="00A37CE6" w:rsidRDefault="00A37CE6" w:rsidP="000B67BF">
      <w:pPr>
        <w:spacing w:line="480" w:lineRule="auto"/>
      </w:pPr>
    </w:p>
    <w:p w14:paraId="6F63E8E2" w14:textId="592B40C0" w:rsidR="00A37CE6" w:rsidRPr="00A37CE6" w:rsidRDefault="00A37CE6" w:rsidP="000B67BF">
      <w:pPr>
        <w:spacing w:line="480" w:lineRule="auto"/>
      </w:pPr>
      <w:r w:rsidRPr="00A37CE6">
        <w:t xml:space="preserve">WHO, (2020) Media Centre, WHO launches the first global strategy on traditional and alternative medicine, Available at: </w:t>
      </w:r>
      <w:hyperlink r:id="rId17" w:history="1">
        <w:r w:rsidRPr="00A37CE6">
          <w:rPr>
            <w:color w:val="0000FF"/>
            <w:u w:val="single"/>
          </w:rPr>
          <w:t>https://www.who.int/mediacentre/news/releases/release38/en/</w:t>
        </w:r>
      </w:hyperlink>
    </w:p>
    <w:p w14:paraId="14C0BF69" w14:textId="77777777" w:rsidR="00A37CE6" w:rsidRDefault="00A37CE6" w:rsidP="000B67BF">
      <w:pPr>
        <w:spacing w:line="480" w:lineRule="auto"/>
        <w:jc w:val="both"/>
        <w:rPr>
          <w:color w:val="222222"/>
          <w:shd w:val="clear" w:color="auto" w:fill="FFFFFF"/>
        </w:rPr>
      </w:pPr>
    </w:p>
    <w:p w14:paraId="66EA1E5C" w14:textId="5B2AD1D5" w:rsidR="00A37CE6" w:rsidRPr="00A37CE6" w:rsidRDefault="00A37CE6" w:rsidP="000B67BF">
      <w:pPr>
        <w:spacing w:line="480" w:lineRule="auto"/>
        <w:jc w:val="both"/>
        <w:rPr>
          <w:color w:val="222222"/>
          <w:shd w:val="clear" w:color="auto" w:fill="FFFFFF"/>
        </w:rPr>
      </w:pPr>
      <w:r w:rsidRPr="00A37CE6">
        <w:rPr>
          <w:color w:val="222222"/>
          <w:shd w:val="clear" w:color="auto" w:fill="FFFFFF"/>
        </w:rPr>
        <w:t>Zhuang, Y., Xing, J.J., Li, J., Zeng, B.Y. and Liang, F.R., 2013. History of acupuncture research. In </w:t>
      </w:r>
      <w:r w:rsidRPr="00A37CE6">
        <w:rPr>
          <w:i/>
          <w:iCs/>
          <w:color w:val="222222"/>
          <w:shd w:val="clear" w:color="auto" w:fill="FFFFFF"/>
        </w:rPr>
        <w:t>International review of neurobiology</w:t>
      </w:r>
      <w:r w:rsidRPr="00A37CE6">
        <w:rPr>
          <w:color w:val="222222"/>
          <w:shd w:val="clear" w:color="auto" w:fill="FFFFFF"/>
        </w:rPr>
        <w:t> (Vol. 111, pp. 1-23). Academic Press.</w:t>
      </w:r>
    </w:p>
    <w:sectPr w:rsidR="00A37CE6" w:rsidRPr="00A37CE6">
      <w:headerReference w:type="default" r:id="rId18"/>
      <w:type w:val="continuous"/>
      <w:pgSz w:w="11907" w:h="16839"/>
      <w:pgMar w:top="1440" w:right="1440" w:bottom="1440" w:left="1440" w:header="720" w:footer="720" w:gutter="0"/>
      <w:pgNumType w:start="1"/>
      <w:cols w:space="720" w:equalWidth="0">
        <w:col w:w="9360"/>
      </w:cols>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CF29A1" w14:textId="77777777" w:rsidR="00000167" w:rsidRDefault="00000167">
      <w:r>
        <w:separator/>
      </w:r>
    </w:p>
  </w:endnote>
  <w:endnote w:type="continuationSeparator" w:id="0">
    <w:p w14:paraId="2ADEE13F" w14:textId="77777777" w:rsidR="00000167" w:rsidRDefault="000001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altName w:val="Sylfaen"/>
    <w:panose1 w:val="020B0604020202020204"/>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62" w14:textId="77777777" w:rsidR="001A068A" w:rsidRDefault="001A068A">
    <w:pPr>
      <w:pBdr>
        <w:top w:val="nil"/>
        <w:left w:val="nil"/>
        <w:bottom w:val="nil"/>
        <w:right w:val="nil"/>
        <w:between w:val="nil"/>
      </w:pBdr>
      <w:tabs>
        <w:tab w:val="center" w:pos="4680"/>
        <w:tab w:val="right" w:pos="9360"/>
      </w:tabs>
      <w:jc w:val="right"/>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EE4C42" w14:textId="77777777" w:rsidR="00000167" w:rsidRDefault="00000167">
      <w:r>
        <w:separator/>
      </w:r>
    </w:p>
  </w:footnote>
  <w:footnote w:type="continuationSeparator" w:id="0">
    <w:p w14:paraId="5EDEA738" w14:textId="77777777" w:rsidR="00000167" w:rsidRDefault="0000016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5E" w14:textId="77777777" w:rsidR="001A068A" w:rsidRDefault="001A068A">
    <w:pPr>
      <w:pBdr>
        <w:top w:val="nil"/>
        <w:left w:val="nil"/>
        <w:bottom w:val="nil"/>
        <w:right w:val="nil"/>
        <w:between w:val="nil"/>
      </w:pBdr>
      <w:tabs>
        <w:tab w:val="center" w:pos="4680"/>
        <w:tab w:val="right" w:pos="9360"/>
        <w:tab w:val="right" w:pos="9000"/>
      </w:tabs>
      <w:jc w:val="right"/>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5D" w14:textId="77777777" w:rsidR="001A068A" w:rsidRDefault="001A068A">
    <w:pPr>
      <w:pBdr>
        <w:top w:val="nil"/>
        <w:left w:val="nil"/>
        <w:bottom w:val="nil"/>
        <w:right w:val="nil"/>
        <w:between w:val="nil"/>
      </w:pBdr>
      <w:tabs>
        <w:tab w:val="center" w:pos="4680"/>
        <w:tab w:val="right" w:pos="9360"/>
      </w:tabs>
      <w:jc w:val="right"/>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5F" w14:textId="77777777" w:rsidR="001A068A" w:rsidRDefault="0020373D">
    <w:pPr>
      <w:pBdr>
        <w:top w:val="nil"/>
        <w:left w:val="nil"/>
        <w:bottom w:val="nil"/>
        <w:right w:val="nil"/>
        <w:between w:val="nil"/>
      </w:pBdr>
      <w:tabs>
        <w:tab w:val="center" w:pos="4680"/>
        <w:tab w:val="right" w:pos="9360"/>
      </w:tabs>
      <w:jc w:val="right"/>
      <w:rPr>
        <w:color w:val="000000"/>
      </w:rPr>
    </w:pPr>
    <w:r>
      <w:rPr>
        <w:color w:val="000000"/>
      </w:rPr>
      <w:t xml:space="preserve">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60" w14:textId="77777777" w:rsidR="001A068A" w:rsidRDefault="0020373D">
    <w:pPr>
      <w:pBdr>
        <w:top w:val="nil"/>
        <w:left w:val="nil"/>
        <w:bottom w:val="nil"/>
        <w:right w:val="nil"/>
        <w:between w:val="nil"/>
      </w:pBdr>
      <w:tabs>
        <w:tab w:val="center" w:pos="4680"/>
        <w:tab w:val="right" w:pos="9360"/>
      </w:tabs>
      <w:jc w:val="right"/>
      <w:rPr>
        <w:color w:val="000000"/>
      </w:rPr>
    </w:pPr>
    <w:r>
      <w:rPr>
        <w:color w:val="000000"/>
      </w:rPr>
      <w:t xml:space="preserve"> </w:t>
    </w:r>
  </w:p>
  <w:p w14:paraId="00000061" w14:textId="77777777" w:rsidR="001A068A" w:rsidRDefault="001A068A">
    <w:pPr>
      <w:pBdr>
        <w:top w:val="nil"/>
        <w:left w:val="nil"/>
        <w:bottom w:val="nil"/>
        <w:right w:val="nil"/>
        <w:between w:val="nil"/>
      </w:pBdr>
      <w:tabs>
        <w:tab w:val="center" w:pos="4680"/>
        <w:tab w:val="right" w:pos="9360"/>
        <w:tab w:val="right" w:pos="9000"/>
      </w:tabs>
      <w:jc w:val="right"/>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068A"/>
    <w:rsid w:val="00000167"/>
    <w:rsid w:val="000B67BF"/>
    <w:rsid w:val="001A068A"/>
    <w:rsid w:val="0020373D"/>
    <w:rsid w:val="005B4EE0"/>
    <w:rsid w:val="007B531F"/>
    <w:rsid w:val="00A115B9"/>
    <w:rsid w:val="00A37CE6"/>
    <w:rsid w:val="00E33273"/>
    <w:rsid w:val="00E4581D"/>
    <w:rsid w:val="00F642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694F9"/>
  <w15:docId w15:val="{9406732E-FD09-4BC5-BBBA-9D45AFE41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4"/>
        <w:szCs w:val="24"/>
        <w:lang w:val="en-GB" w:eastAsia="en-GB"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531F"/>
    <w:pPr>
      <w:spacing w:line="240" w:lineRule="auto"/>
    </w:pPr>
    <w:rPr>
      <w:rFonts w:ascii="Times New Roman" w:eastAsia="Times New Roman" w:hAnsi="Times New Roman" w:cs="Times New Roman"/>
    </w:rPr>
  </w:style>
  <w:style w:type="paragraph" w:styleId="Heading1">
    <w:name w:val="heading 1"/>
    <w:basedOn w:val="Normal"/>
    <w:next w:val="Normal"/>
    <w:uiPriority w:val="9"/>
    <w:qFormat/>
    <w:pPr>
      <w:keepNext/>
      <w:keepLines/>
      <w:spacing w:line="480" w:lineRule="auto"/>
      <w:outlineLvl w:val="0"/>
    </w:pPr>
    <w:rPr>
      <w:rFonts w:ascii="Arial" w:eastAsia="Arial" w:hAnsi="Arial" w:cs="Arial"/>
      <w:b/>
      <w:i/>
    </w:rPr>
  </w:style>
  <w:style w:type="paragraph" w:styleId="Heading2">
    <w:name w:val="heading 2"/>
    <w:basedOn w:val="Normal"/>
    <w:next w:val="Normal"/>
    <w:uiPriority w:val="9"/>
    <w:semiHidden/>
    <w:unhideWhenUsed/>
    <w:qFormat/>
    <w:pPr>
      <w:keepNext/>
      <w:keepLines/>
      <w:spacing w:line="480" w:lineRule="auto"/>
      <w:outlineLvl w:val="1"/>
    </w:pPr>
    <w:rPr>
      <w:rFonts w:ascii="Arial" w:eastAsia="Arial" w:hAnsi="Arial" w:cs="Arial"/>
      <w:i/>
    </w:rPr>
  </w:style>
  <w:style w:type="paragraph" w:styleId="Heading3">
    <w:name w:val="heading 3"/>
    <w:basedOn w:val="Normal"/>
    <w:next w:val="Normal"/>
    <w:uiPriority w:val="9"/>
    <w:semiHidden/>
    <w:unhideWhenUsed/>
    <w:qFormat/>
    <w:pPr>
      <w:keepNext/>
      <w:keepLines/>
      <w:spacing w:line="480" w:lineRule="auto"/>
      <w:ind w:left="1440"/>
      <w:outlineLvl w:val="2"/>
    </w:pPr>
    <w:rPr>
      <w:rFonts w:ascii="Arial" w:eastAsia="Arial" w:hAnsi="Arial" w:cs="Arial"/>
    </w:rPr>
  </w:style>
  <w:style w:type="paragraph" w:styleId="Heading4">
    <w:name w:val="heading 4"/>
    <w:basedOn w:val="Normal"/>
    <w:next w:val="Normal"/>
    <w:uiPriority w:val="9"/>
    <w:semiHidden/>
    <w:unhideWhenUsed/>
    <w:qFormat/>
    <w:pPr>
      <w:keepNext/>
      <w:keepLines/>
      <w:spacing w:before="240" w:after="40" w:line="480" w:lineRule="auto"/>
      <w:outlineLvl w:val="3"/>
    </w:pPr>
    <w:rPr>
      <w:rFonts w:ascii="Arial" w:eastAsia="Arial" w:hAnsi="Arial" w:cs="Arial"/>
      <w:b/>
    </w:rPr>
  </w:style>
  <w:style w:type="paragraph" w:styleId="Heading5">
    <w:name w:val="heading 5"/>
    <w:basedOn w:val="Normal"/>
    <w:next w:val="Normal"/>
    <w:uiPriority w:val="9"/>
    <w:semiHidden/>
    <w:unhideWhenUsed/>
    <w:qFormat/>
    <w:pPr>
      <w:keepNext/>
      <w:keepLines/>
      <w:spacing w:before="220" w:after="40" w:line="480" w:lineRule="auto"/>
      <w:outlineLvl w:val="4"/>
    </w:pPr>
    <w:rPr>
      <w:rFonts w:ascii="Arial" w:eastAsia="Arial" w:hAnsi="Arial" w:cs="Arial"/>
      <w:b/>
      <w:sz w:val="22"/>
      <w:szCs w:val="22"/>
    </w:rPr>
  </w:style>
  <w:style w:type="paragraph" w:styleId="Heading6">
    <w:name w:val="heading 6"/>
    <w:basedOn w:val="Normal"/>
    <w:next w:val="Normal"/>
    <w:uiPriority w:val="9"/>
    <w:semiHidden/>
    <w:unhideWhenUsed/>
    <w:qFormat/>
    <w:pPr>
      <w:keepNext/>
      <w:keepLines/>
      <w:spacing w:before="200" w:after="40" w:line="480" w:lineRule="auto"/>
      <w:outlineLvl w:val="5"/>
    </w:pPr>
    <w:rPr>
      <w:rFonts w:ascii="Arial" w:eastAsia="Arial" w:hAnsi="Arial" w:cs="Arial"/>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line="480" w:lineRule="auto"/>
    </w:pPr>
    <w:rPr>
      <w:rFonts w:ascii="Arial" w:eastAsia="Arial" w:hAnsi="Arial" w:cs="Arial"/>
      <w:b/>
      <w:sz w:val="72"/>
      <w:szCs w:val="72"/>
    </w:rPr>
  </w:style>
  <w:style w:type="paragraph" w:styleId="Subtitle">
    <w:name w:val="Subtitle"/>
    <w:basedOn w:val="Normal"/>
    <w:next w:val="Normal"/>
    <w:uiPriority w:val="11"/>
    <w:qFormat/>
    <w:pPr>
      <w:keepNext/>
      <w:keepLines/>
      <w:spacing w:before="360" w:after="80" w:line="480" w:lineRule="auto"/>
    </w:pPr>
    <w:rPr>
      <w:rFonts w:ascii="Georgia" w:eastAsia="Georgia" w:hAnsi="Georgia" w:cs="Georgia"/>
      <w:i/>
      <w:color w:val="666666"/>
      <w:sz w:val="48"/>
      <w:szCs w:val="48"/>
    </w:rPr>
  </w:style>
  <w:style w:type="character" w:styleId="CommentReference">
    <w:name w:val="annotation reference"/>
    <w:basedOn w:val="DefaultParagraphFont"/>
    <w:uiPriority w:val="99"/>
    <w:semiHidden/>
    <w:unhideWhenUsed/>
    <w:rsid w:val="00E33273"/>
    <w:rPr>
      <w:sz w:val="16"/>
      <w:szCs w:val="16"/>
    </w:rPr>
  </w:style>
  <w:style w:type="paragraph" w:styleId="CommentText">
    <w:name w:val="annotation text"/>
    <w:basedOn w:val="Normal"/>
    <w:link w:val="CommentTextChar"/>
    <w:uiPriority w:val="99"/>
    <w:semiHidden/>
    <w:unhideWhenUsed/>
    <w:rsid w:val="00E33273"/>
    <w:rPr>
      <w:rFonts w:ascii="Arial" w:eastAsia="Arial" w:hAnsi="Arial" w:cs="Arial"/>
      <w:sz w:val="20"/>
      <w:szCs w:val="20"/>
    </w:rPr>
  </w:style>
  <w:style w:type="character" w:customStyle="1" w:styleId="CommentTextChar">
    <w:name w:val="Comment Text Char"/>
    <w:basedOn w:val="DefaultParagraphFont"/>
    <w:link w:val="CommentText"/>
    <w:uiPriority w:val="99"/>
    <w:semiHidden/>
    <w:rsid w:val="00E33273"/>
    <w:rPr>
      <w:sz w:val="20"/>
      <w:szCs w:val="20"/>
    </w:rPr>
  </w:style>
  <w:style w:type="paragraph" w:styleId="CommentSubject">
    <w:name w:val="annotation subject"/>
    <w:basedOn w:val="CommentText"/>
    <w:next w:val="CommentText"/>
    <w:link w:val="CommentSubjectChar"/>
    <w:uiPriority w:val="99"/>
    <w:semiHidden/>
    <w:unhideWhenUsed/>
    <w:rsid w:val="00E33273"/>
    <w:rPr>
      <w:b/>
      <w:bCs/>
    </w:rPr>
  </w:style>
  <w:style w:type="character" w:customStyle="1" w:styleId="CommentSubjectChar">
    <w:name w:val="Comment Subject Char"/>
    <w:basedOn w:val="CommentTextChar"/>
    <w:link w:val="CommentSubject"/>
    <w:uiPriority w:val="99"/>
    <w:semiHidden/>
    <w:rsid w:val="00E33273"/>
    <w:rPr>
      <w:b/>
      <w:bCs/>
      <w:sz w:val="20"/>
      <w:szCs w:val="20"/>
    </w:rPr>
  </w:style>
  <w:style w:type="paragraph" w:styleId="Revision">
    <w:name w:val="Revision"/>
    <w:hidden/>
    <w:uiPriority w:val="99"/>
    <w:semiHidden/>
    <w:rsid w:val="00E33273"/>
    <w:pPr>
      <w:spacing w:line="240" w:lineRule="auto"/>
    </w:pPr>
  </w:style>
  <w:style w:type="paragraph" w:styleId="BalloonText">
    <w:name w:val="Balloon Text"/>
    <w:basedOn w:val="Normal"/>
    <w:link w:val="BalloonTextChar"/>
    <w:uiPriority w:val="99"/>
    <w:semiHidden/>
    <w:unhideWhenUsed/>
    <w:rsid w:val="00E33273"/>
    <w:rPr>
      <w:rFonts w:ascii="Segoe UI" w:eastAsia="Arial" w:hAnsi="Segoe UI" w:cs="Segoe UI"/>
      <w:sz w:val="18"/>
      <w:szCs w:val="18"/>
    </w:rPr>
  </w:style>
  <w:style w:type="character" w:customStyle="1" w:styleId="BalloonTextChar">
    <w:name w:val="Balloon Text Char"/>
    <w:basedOn w:val="DefaultParagraphFont"/>
    <w:link w:val="BalloonText"/>
    <w:uiPriority w:val="99"/>
    <w:semiHidden/>
    <w:rsid w:val="00E33273"/>
    <w:rPr>
      <w:rFonts w:ascii="Segoe UI" w:hAnsi="Segoe UI" w:cs="Segoe UI"/>
      <w:sz w:val="18"/>
      <w:szCs w:val="18"/>
    </w:rPr>
  </w:style>
  <w:style w:type="character" w:styleId="Hyperlink">
    <w:name w:val="Hyperlink"/>
    <w:basedOn w:val="DefaultParagraphFont"/>
    <w:uiPriority w:val="99"/>
    <w:unhideWhenUsed/>
    <w:rsid w:val="00E4581D"/>
    <w:rPr>
      <w:color w:val="0000FF" w:themeColor="hyperlink"/>
      <w:u w:val="single"/>
    </w:rPr>
  </w:style>
  <w:style w:type="character" w:styleId="UnresolvedMention">
    <w:name w:val="Unresolved Mention"/>
    <w:basedOn w:val="DefaultParagraphFont"/>
    <w:uiPriority w:val="99"/>
    <w:semiHidden/>
    <w:unhideWhenUsed/>
    <w:rsid w:val="00E4581D"/>
    <w:rPr>
      <w:color w:val="605E5C"/>
      <w:shd w:val="clear" w:color="auto" w:fill="E1DFDD"/>
    </w:rPr>
  </w:style>
  <w:style w:type="character" w:styleId="FollowedHyperlink">
    <w:name w:val="FollowedHyperlink"/>
    <w:basedOn w:val="DefaultParagraphFont"/>
    <w:uiPriority w:val="99"/>
    <w:semiHidden/>
    <w:unhideWhenUsed/>
    <w:rsid w:val="000B67B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873048">
      <w:bodyDiv w:val="1"/>
      <w:marLeft w:val="0"/>
      <w:marRight w:val="0"/>
      <w:marTop w:val="0"/>
      <w:marBottom w:val="0"/>
      <w:divBdr>
        <w:top w:val="none" w:sz="0" w:space="0" w:color="auto"/>
        <w:left w:val="none" w:sz="0" w:space="0" w:color="auto"/>
        <w:bottom w:val="none" w:sz="0" w:space="0" w:color="auto"/>
        <w:right w:val="none" w:sz="0" w:space="0" w:color="auto"/>
      </w:divBdr>
    </w:div>
    <w:div w:id="112133942">
      <w:bodyDiv w:val="1"/>
      <w:marLeft w:val="0"/>
      <w:marRight w:val="0"/>
      <w:marTop w:val="0"/>
      <w:marBottom w:val="0"/>
      <w:divBdr>
        <w:top w:val="none" w:sz="0" w:space="0" w:color="auto"/>
        <w:left w:val="none" w:sz="0" w:space="0" w:color="auto"/>
        <w:bottom w:val="none" w:sz="0" w:space="0" w:color="auto"/>
        <w:right w:val="none" w:sz="0" w:space="0" w:color="auto"/>
      </w:divBdr>
    </w:div>
    <w:div w:id="116031088">
      <w:bodyDiv w:val="1"/>
      <w:marLeft w:val="0"/>
      <w:marRight w:val="0"/>
      <w:marTop w:val="0"/>
      <w:marBottom w:val="0"/>
      <w:divBdr>
        <w:top w:val="none" w:sz="0" w:space="0" w:color="auto"/>
        <w:left w:val="none" w:sz="0" w:space="0" w:color="auto"/>
        <w:bottom w:val="none" w:sz="0" w:space="0" w:color="auto"/>
        <w:right w:val="none" w:sz="0" w:space="0" w:color="auto"/>
      </w:divBdr>
      <w:divsChild>
        <w:div w:id="477458127">
          <w:marLeft w:val="0"/>
          <w:marRight w:val="0"/>
          <w:marTop w:val="0"/>
          <w:marBottom w:val="0"/>
          <w:divBdr>
            <w:top w:val="none" w:sz="0" w:space="0" w:color="auto"/>
            <w:left w:val="none" w:sz="0" w:space="0" w:color="auto"/>
            <w:bottom w:val="none" w:sz="0" w:space="0" w:color="auto"/>
            <w:right w:val="none" w:sz="0" w:space="0" w:color="auto"/>
          </w:divBdr>
        </w:div>
      </w:divsChild>
    </w:div>
    <w:div w:id="119997957">
      <w:bodyDiv w:val="1"/>
      <w:marLeft w:val="0"/>
      <w:marRight w:val="0"/>
      <w:marTop w:val="0"/>
      <w:marBottom w:val="0"/>
      <w:divBdr>
        <w:top w:val="none" w:sz="0" w:space="0" w:color="auto"/>
        <w:left w:val="none" w:sz="0" w:space="0" w:color="auto"/>
        <w:bottom w:val="none" w:sz="0" w:space="0" w:color="auto"/>
        <w:right w:val="none" w:sz="0" w:space="0" w:color="auto"/>
      </w:divBdr>
    </w:div>
    <w:div w:id="125783928">
      <w:bodyDiv w:val="1"/>
      <w:marLeft w:val="0"/>
      <w:marRight w:val="0"/>
      <w:marTop w:val="0"/>
      <w:marBottom w:val="0"/>
      <w:divBdr>
        <w:top w:val="none" w:sz="0" w:space="0" w:color="auto"/>
        <w:left w:val="none" w:sz="0" w:space="0" w:color="auto"/>
        <w:bottom w:val="none" w:sz="0" w:space="0" w:color="auto"/>
        <w:right w:val="none" w:sz="0" w:space="0" w:color="auto"/>
      </w:divBdr>
    </w:div>
    <w:div w:id="172645041">
      <w:bodyDiv w:val="1"/>
      <w:marLeft w:val="0"/>
      <w:marRight w:val="0"/>
      <w:marTop w:val="0"/>
      <w:marBottom w:val="0"/>
      <w:divBdr>
        <w:top w:val="none" w:sz="0" w:space="0" w:color="auto"/>
        <w:left w:val="none" w:sz="0" w:space="0" w:color="auto"/>
        <w:bottom w:val="none" w:sz="0" w:space="0" w:color="auto"/>
        <w:right w:val="none" w:sz="0" w:space="0" w:color="auto"/>
      </w:divBdr>
      <w:divsChild>
        <w:div w:id="1413621845">
          <w:marLeft w:val="0"/>
          <w:marRight w:val="0"/>
          <w:marTop w:val="0"/>
          <w:marBottom w:val="0"/>
          <w:divBdr>
            <w:top w:val="none" w:sz="0" w:space="0" w:color="auto"/>
            <w:left w:val="none" w:sz="0" w:space="0" w:color="auto"/>
            <w:bottom w:val="none" w:sz="0" w:space="0" w:color="auto"/>
            <w:right w:val="none" w:sz="0" w:space="0" w:color="auto"/>
          </w:divBdr>
        </w:div>
      </w:divsChild>
    </w:div>
    <w:div w:id="191578672">
      <w:bodyDiv w:val="1"/>
      <w:marLeft w:val="0"/>
      <w:marRight w:val="0"/>
      <w:marTop w:val="0"/>
      <w:marBottom w:val="0"/>
      <w:divBdr>
        <w:top w:val="none" w:sz="0" w:space="0" w:color="auto"/>
        <w:left w:val="none" w:sz="0" w:space="0" w:color="auto"/>
        <w:bottom w:val="none" w:sz="0" w:space="0" w:color="auto"/>
        <w:right w:val="none" w:sz="0" w:space="0" w:color="auto"/>
      </w:divBdr>
    </w:div>
    <w:div w:id="201094511">
      <w:bodyDiv w:val="1"/>
      <w:marLeft w:val="0"/>
      <w:marRight w:val="0"/>
      <w:marTop w:val="0"/>
      <w:marBottom w:val="0"/>
      <w:divBdr>
        <w:top w:val="none" w:sz="0" w:space="0" w:color="auto"/>
        <w:left w:val="none" w:sz="0" w:space="0" w:color="auto"/>
        <w:bottom w:val="none" w:sz="0" w:space="0" w:color="auto"/>
        <w:right w:val="none" w:sz="0" w:space="0" w:color="auto"/>
      </w:divBdr>
    </w:div>
    <w:div w:id="279343949">
      <w:bodyDiv w:val="1"/>
      <w:marLeft w:val="0"/>
      <w:marRight w:val="0"/>
      <w:marTop w:val="0"/>
      <w:marBottom w:val="0"/>
      <w:divBdr>
        <w:top w:val="none" w:sz="0" w:space="0" w:color="auto"/>
        <w:left w:val="none" w:sz="0" w:space="0" w:color="auto"/>
        <w:bottom w:val="none" w:sz="0" w:space="0" w:color="auto"/>
        <w:right w:val="none" w:sz="0" w:space="0" w:color="auto"/>
      </w:divBdr>
    </w:div>
    <w:div w:id="328219852">
      <w:bodyDiv w:val="1"/>
      <w:marLeft w:val="0"/>
      <w:marRight w:val="0"/>
      <w:marTop w:val="0"/>
      <w:marBottom w:val="0"/>
      <w:divBdr>
        <w:top w:val="none" w:sz="0" w:space="0" w:color="auto"/>
        <w:left w:val="none" w:sz="0" w:space="0" w:color="auto"/>
        <w:bottom w:val="none" w:sz="0" w:space="0" w:color="auto"/>
        <w:right w:val="none" w:sz="0" w:space="0" w:color="auto"/>
      </w:divBdr>
    </w:div>
    <w:div w:id="402529607">
      <w:bodyDiv w:val="1"/>
      <w:marLeft w:val="0"/>
      <w:marRight w:val="0"/>
      <w:marTop w:val="0"/>
      <w:marBottom w:val="0"/>
      <w:divBdr>
        <w:top w:val="none" w:sz="0" w:space="0" w:color="auto"/>
        <w:left w:val="none" w:sz="0" w:space="0" w:color="auto"/>
        <w:bottom w:val="none" w:sz="0" w:space="0" w:color="auto"/>
        <w:right w:val="none" w:sz="0" w:space="0" w:color="auto"/>
      </w:divBdr>
    </w:div>
    <w:div w:id="557664514">
      <w:bodyDiv w:val="1"/>
      <w:marLeft w:val="0"/>
      <w:marRight w:val="0"/>
      <w:marTop w:val="0"/>
      <w:marBottom w:val="0"/>
      <w:divBdr>
        <w:top w:val="none" w:sz="0" w:space="0" w:color="auto"/>
        <w:left w:val="none" w:sz="0" w:space="0" w:color="auto"/>
        <w:bottom w:val="none" w:sz="0" w:space="0" w:color="auto"/>
        <w:right w:val="none" w:sz="0" w:space="0" w:color="auto"/>
      </w:divBdr>
    </w:div>
    <w:div w:id="625700669">
      <w:bodyDiv w:val="1"/>
      <w:marLeft w:val="0"/>
      <w:marRight w:val="0"/>
      <w:marTop w:val="0"/>
      <w:marBottom w:val="0"/>
      <w:divBdr>
        <w:top w:val="none" w:sz="0" w:space="0" w:color="auto"/>
        <w:left w:val="none" w:sz="0" w:space="0" w:color="auto"/>
        <w:bottom w:val="none" w:sz="0" w:space="0" w:color="auto"/>
        <w:right w:val="none" w:sz="0" w:space="0" w:color="auto"/>
      </w:divBdr>
    </w:div>
    <w:div w:id="667906702">
      <w:bodyDiv w:val="1"/>
      <w:marLeft w:val="0"/>
      <w:marRight w:val="0"/>
      <w:marTop w:val="0"/>
      <w:marBottom w:val="0"/>
      <w:divBdr>
        <w:top w:val="none" w:sz="0" w:space="0" w:color="auto"/>
        <w:left w:val="none" w:sz="0" w:space="0" w:color="auto"/>
        <w:bottom w:val="none" w:sz="0" w:space="0" w:color="auto"/>
        <w:right w:val="none" w:sz="0" w:space="0" w:color="auto"/>
      </w:divBdr>
    </w:div>
    <w:div w:id="689527110">
      <w:bodyDiv w:val="1"/>
      <w:marLeft w:val="0"/>
      <w:marRight w:val="0"/>
      <w:marTop w:val="0"/>
      <w:marBottom w:val="0"/>
      <w:divBdr>
        <w:top w:val="none" w:sz="0" w:space="0" w:color="auto"/>
        <w:left w:val="none" w:sz="0" w:space="0" w:color="auto"/>
        <w:bottom w:val="none" w:sz="0" w:space="0" w:color="auto"/>
        <w:right w:val="none" w:sz="0" w:space="0" w:color="auto"/>
      </w:divBdr>
    </w:div>
    <w:div w:id="736709271">
      <w:bodyDiv w:val="1"/>
      <w:marLeft w:val="0"/>
      <w:marRight w:val="0"/>
      <w:marTop w:val="0"/>
      <w:marBottom w:val="0"/>
      <w:divBdr>
        <w:top w:val="none" w:sz="0" w:space="0" w:color="auto"/>
        <w:left w:val="none" w:sz="0" w:space="0" w:color="auto"/>
        <w:bottom w:val="none" w:sz="0" w:space="0" w:color="auto"/>
        <w:right w:val="none" w:sz="0" w:space="0" w:color="auto"/>
      </w:divBdr>
    </w:div>
    <w:div w:id="737246430">
      <w:bodyDiv w:val="1"/>
      <w:marLeft w:val="0"/>
      <w:marRight w:val="0"/>
      <w:marTop w:val="0"/>
      <w:marBottom w:val="0"/>
      <w:divBdr>
        <w:top w:val="none" w:sz="0" w:space="0" w:color="auto"/>
        <w:left w:val="none" w:sz="0" w:space="0" w:color="auto"/>
        <w:bottom w:val="none" w:sz="0" w:space="0" w:color="auto"/>
        <w:right w:val="none" w:sz="0" w:space="0" w:color="auto"/>
      </w:divBdr>
    </w:div>
    <w:div w:id="791368230">
      <w:bodyDiv w:val="1"/>
      <w:marLeft w:val="0"/>
      <w:marRight w:val="0"/>
      <w:marTop w:val="0"/>
      <w:marBottom w:val="0"/>
      <w:divBdr>
        <w:top w:val="none" w:sz="0" w:space="0" w:color="auto"/>
        <w:left w:val="none" w:sz="0" w:space="0" w:color="auto"/>
        <w:bottom w:val="none" w:sz="0" w:space="0" w:color="auto"/>
        <w:right w:val="none" w:sz="0" w:space="0" w:color="auto"/>
      </w:divBdr>
    </w:div>
    <w:div w:id="943653930">
      <w:bodyDiv w:val="1"/>
      <w:marLeft w:val="0"/>
      <w:marRight w:val="0"/>
      <w:marTop w:val="0"/>
      <w:marBottom w:val="0"/>
      <w:divBdr>
        <w:top w:val="none" w:sz="0" w:space="0" w:color="auto"/>
        <w:left w:val="none" w:sz="0" w:space="0" w:color="auto"/>
        <w:bottom w:val="none" w:sz="0" w:space="0" w:color="auto"/>
        <w:right w:val="none" w:sz="0" w:space="0" w:color="auto"/>
      </w:divBdr>
    </w:div>
    <w:div w:id="1045564352">
      <w:bodyDiv w:val="1"/>
      <w:marLeft w:val="0"/>
      <w:marRight w:val="0"/>
      <w:marTop w:val="0"/>
      <w:marBottom w:val="0"/>
      <w:divBdr>
        <w:top w:val="none" w:sz="0" w:space="0" w:color="auto"/>
        <w:left w:val="none" w:sz="0" w:space="0" w:color="auto"/>
        <w:bottom w:val="none" w:sz="0" w:space="0" w:color="auto"/>
        <w:right w:val="none" w:sz="0" w:space="0" w:color="auto"/>
      </w:divBdr>
    </w:div>
    <w:div w:id="1070616385">
      <w:bodyDiv w:val="1"/>
      <w:marLeft w:val="0"/>
      <w:marRight w:val="0"/>
      <w:marTop w:val="0"/>
      <w:marBottom w:val="0"/>
      <w:divBdr>
        <w:top w:val="none" w:sz="0" w:space="0" w:color="auto"/>
        <w:left w:val="none" w:sz="0" w:space="0" w:color="auto"/>
        <w:bottom w:val="none" w:sz="0" w:space="0" w:color="auto"/>
        <w:right w:val="none" w:sz="0" w:space="0" w:color="auto"/>
      </w:divBdr>
    </w:div>
    <w:div w:id="1154489698">
      <w:bodyDiv w:val="1"/>
      <w:marLeft w:val="0"/>
      <w:marRight w:val="0"/>
      <w:marTop w:val="0"/>
      <w:marBottom w:val="0"/>
      <w:divBdr>
        <w:top w:val="none" w:sz="0" w:space="0" w:color="auto"/>
        <w:left w:val="none" w:sz="0" w:space="0" w:color="auto"/>
        <w:bottom w:val="none" w:sz="0" w:space="0" w:color="auto"/>
        <w:right w:val="none" w:sz="0" w:space="0" w:color="auto"/>
      </w:divBdr>
    </w:div>
    <w:div w:id="1155683367">
      <w:bodyDiv w:val="1"/>
      <w:marLeft w:val="0"/>
      <w:marRight w:val="0"/>
      <w:marTop w:val="0"/>
      <w:marBottom w:val="0"/>
      <w:divBdr>
        <w:top w:val="none" w:sz="0" w:space="0" w:color="auto"/>
        <w:left w:val="none" w:sz="0" w:space="0" w:color="auto"/>
        <w:bottom w:val="none" w:sz="0" w:space="0" w:color="auto"/>
        <w:right w:val="none" w:sz="0" w:space="0" w:color="auto"/>
      </w:divBdr>
    </w:div>
    <w:div w:id="1197431930">
      <w:bodyDiv w:val="1"/>
      <w:marLeft w:val="0"/>
      <w:marRight w:val="0"/>
      <w:marTop w:val="0"/>
      <w:marBottom w:val="0"/>
      <w:divBdr>
        <w:top w:val="none" w:sz="0" w:space="0" w:color="auto"/>
        <w:left w:val="none" w:sz="0" w:space="0" w:color="auto"/>
        <w:bottom w:val="none" w:sz="0" w:space="0" w:color="auto"/>
        <w:right w:val="none" w:sz="0" w:space="0" w:color="auto"/>
      </w:divBdr>
    </w:div>
    <w:div w:id="1484855958">
      <w:bodyDiv w:val="1"/>
      <w:marLeft w:val="0"/>
      <w:marRight w:val="0"/>
      <w:marTop w:val="0"/>
      <w:marBottom w:val="0"/>
      <w:divBdr>
        <w:top w:val="none" w:sz="0" w:space="0" w:color="auto"/>
        <w:left w:val="none" w:sz="0" w:space="0" w:color="auto"/>
        <w:bottom w:val="none" w:sz="0" w:space="0" w:color="auto"/>
        <w:right w:val="none" w:sz="0" w:space="0" w:color="auto"/>
      </w:divBdr>
    </w:div>
    <w:div w:id="1532525342">
      <w:bodyDiv w:val="1"/>
      <w:marLeft w:val="0"/>
      <w:marRight w:val="0"/>
      <w:marTop w:val="0"/>
      <w:marBottom w:val="0"/>
      <w:divBdr>
        <w:top w:val="none" w:sz="0" w:space="0" w:color="auto"/>
        <w:left w:val="none" w:sz="0" w:space="0" w:color="auto"/>
        <w:bottom w:val="none" w:sz="0" w:space="0" w:color="auto"/>
        <w:right w:val="none" w:sz="0" w:space="0" w:color="auto"/>
      </w:divBdr>
    </w:div>
    <w:div w:id="1731878657">
      <w:bodyDiv w:val="1"/>
      <w:marLeft w:val="0"/>
      <w:marRight w:val="0"/>
      <w:marTop w:val="0"/>
      <w:marBottom w:val="0"/>
      <w:divBdr>
        <w:top w:val="none" w:sz="0" w:space="0" w:color="auto"/>
        <w:left w:val="none" w:sz="0" w:space="0" w:color="auto"/>
        <w:bottom w:val="none" w:sz="0" w:space="0" w:color="auto"/>
        <w:right w:val="none" w:sz="0" w:space="0" w:color="auto"/>
      </w:divBdr>
    </w:div>
    <w:div w:id="18548054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nhs.uk/conditions/complementary-and-alternative-medicine/" TargetMode="External"/><Relationship Id="rId18" Type="http://schemas.openxmlformats.org/officeDocument/2006/relationships/header" Target="header4.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hyperlink" Target="https://www.osteopathy.org.uk/about-us/" TargetMode="External"/><Relationship Id="rId17" Type="http://schemas.openxmlformats.org/officeDocument/2006/relationships/hyperlink" Target="https://www.who.int/mediacentre/news/releases/release38/en/" TargetMode="External"/><Relationship Id="rId2" Type="http://schemas.openxmlformats.org/officeDocument/2006/relationships/settings" Target="settings.xml"/><Relationship Id="rId16" Type="http://schemas.openxmlformats.org/officeDocument/2006/relationships/hyperlink" Target="https://therapyregister.net/about/"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hyperlink" Target="https://www.gcc-uk.org/about-us" TargetMode="External"/><Relationship Id="rId5" Type="http://schemas.openxmlformats.org/officeDocument/2006/relationships/endnotes" Target="endnotes.xml"/><Relationship Id="rId15" Type="http://schemas.openxmlformats.org/officeDocument/2006/relationships/hyperlink" Target="https://www.rccm.org.uk/what-is-cam/cam-regulation-2/" TargetMode="External"/><Relationship Id="rId10" Type="http://schemas.openxmlformats.org/officeDocument/2006/relationships/hyperlink" Target="https://www.cnhc.org.uk/am-i-eligible"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3.xml"/><Relationship Id="rId14" Type="http://schemas.openxmlformats.org/officeDocument/2006/relationships/hyperlink" Target="https://www.nice.org.uk/standards-and-indica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43</TotalTime>
  <Pages>14</Pages>
  <Words>3317</Words>
  <Characters>18911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Mark Gallagher-Read</dc:creator>
  <cp:lastModifiedBy>Hussain, Hajra (Student)</cp:lastModifiedBy>
  <cp:revision>5</cp:revision>
  <dcterms:created xsi:type="dcterms:W3CDTF">2020-07-22T13:37:00Z</dcterms:created>
  <dcterms:modified xsi:type="dcterms:W3CDTF">2020-07-22T14:28:00Z</dcterms:modified>
</cp:coreProperties>
</file>