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sidP="008B6F2A">
      <w:pPr>
        <w:pStyle w:val="ListParagraph"/>
        <w:numPr>
          <w:ilvl w:val="0"/>
          <w:numId w:val="1"/>
        </w:numPr>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4020EA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77F2B">
              <w:rPr>
                <w:rFonts w:ascii="Times New Roman" w:hAnsi="Times New Roman" w:cs="Times New Roman"/>
                <w:b/>
                <w:color w:val="auto"/>
                <w:sz w:val="48"/>
              </w:rPr>
              <w:t>Bethan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1117D8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77F2B">
              <w:rPr>
                <w:rFonts w:ascii="Times New Roman" w:hAnsi="Times New Roman" w:cs="Times New Roman"/>
                <w:b/>
                <w:color w:val="auto"/>
                <w:sz w:val="48"/>
              </w:rPr>
              <w:t xml:space="preserve"> 2518738@student.uwtsd.ac.uk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92A23A8" w14:textId="20A6B974" w:rsidR="0006598F" w:rsidRPr="005D3F07" w:rsidRDefault="0006598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2518738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3102170" w14:textId="77777777" w:rsidR="00927BB8" w:rsidRDefault="00927BB8" w:rsidP="007043CC">
            <w:pPr>
              <w:rPr>
                <w:i/>
              </w:rPr>
            </w:pPr>
          </w:p>
          <w:p w14:paraId="77B70AE7" w14:textId="5CDF999B" w:rsidR="007D7454" w:rsidRPr="00927BB8" w:rsidRDefault="00927BB8" w:rsidP="007043CC">
            <w:pPr>
              <w:rPr>
                <w:b/>
                <w:bCs/>
                <w:iCs/>
              </w:rPr>
            </w:pPr>
            <w:r w:rsidRPr="00927BB8">
              <w:rPr>
                <w:b/>
                <w:bCs/>
                <w:iCs/>
              </w:rPr>
              <w:t xml:space="preserve">4244 Words </w:t>
            </w:r>
            <w:r>
              <w:rPr>
                <w:b/>
                <w:bCs/>
                <w:iCs/>
              </w:rPr>
              <w:t>-</w:t>
            </w:r>
          </w:p>
          <w:p w14:paraId="26979AE3" w14:textId="77777777" w:rsidR="008F373B" w:rsidRDefault="008F373B" w:rsidP="007043CC">
            <w:pPr>
              <w:rPr>
                <w:rStyle w:val="normaltextrun"/>
                <w:rFonts w:ascii="Times New Roman" w:hAnsi="Times New Roman" w:cs="Times New Roman"/>
                <w:sz w:val="24"/>
                <w:szCs w:val="24"/>
              </w:rPr>
            </w:pPr>
          </w:p>
          <w:p w14:paraId="03726E49" w14:textId="31E98AEC" w:rsidR="005A23A8" w:rsidRPr="00933991" w:rsidRDefault="00E138EC" w:rsidP="00933991">
            <w:pPr>
              <w:spacing w:before="100" w:beforeAutospacing="1" w:after="100" w:afterAutospacing="1" w:line="360" w:lineRule="auto"/>
              <w:rPr>
                <w:sz w:val="24"/>
                <w:szCs w:val="24"/>
              </w:rPr>
            </w:pPr>
            <w:r w:rsidRPr="00933991">
              <w:rPr>
                <w:rStyle w:val="normaltextrun"/>
                <w:sz w:val="24"/>
                <w:szCs w:val="24"/>
              </w:rPr>
              <w:t>Person 1</w:t>
            </w:r>
            <w:r w:rsidR="00477F2B" w:rsidRPr="00933991">
              <w:rPr>
                <w:rStyle w:val="normaltextrun"/>
                <w:sz w:val="24"/>
                <w:szCs w:val="24"/>
              </w:rPr>
              <w:t xml:space="preserve"> and </w:t>
            </w:r>
            <w:r w:rsidRPr="00933991">
              <w:rPr>
                <w:rStyle w:val="normaltextrun"/>
                <w:sz w:val="24"/>
                <w:szCs w:val="24"/>
              </w:rPr>
              <w:t xml:space="preserve">Person </w:t>
            </w:r>
            <w:r w:rsidR="003D4677" w:rsidRPr="00933991">
              <w:rPr>
                <w:rStyle w:val="normaltextrun"/>
                <w:sz w:val="24"/>
                <w:szCs w:val="24"/>
              </w:rPr>
              <w:t>2</w:t>
            </w:r>
            <w:r w:rsidRPr="00933991">
              <w:rPr>
                <w:rStyle w:val="normaltextrun"/>
                <w:sz w:val="24"/>
                <w:szCs w:val="24"/>
              </w:rPr>
              <w:t xml:space="preserve"> </w:t>
            </w:r>
            <w:r w:rsidR="00477F2B" w:rsidRPr="00933991">
              <w:rPr>
                <w:rStyle w:val="normaltextrun"/>
                <w:sz w:val="24"/>
                <w:szCs w:val="24"/>
              </w:rPr>
              <w:t>lived in a privately owned property within a rural area of Wales.</w:t>
            </w:r>
            <w:r w:rsidR="00480258" w:rsidRPr="00933991">
              <w:rPr>
                <w:rStyle w:val="normaltextrun"/>
                <w:sz w:val="24"/>
                <w:szCs w:val="24"/>
              </w:rPr>
              <w:t xml:space="preserve"> </w:t>
            </w:r>
            <w:r w:rsidR="00A837F3" w:rsidRPr="00933991">
              <w:rPr>
                <w:rStyle w:val="normaltextrun"/>
                <w:sz w:val="24"/>
                <w:szCs w:val="24"/>
              </w:rPr>
              <w:t>1</w:t>
            </w:r>
            <w:r w:rsidR="00480258" w:rsidRPr="00933991">
              <w:rPr>
                <w:rStyle w:val="normaltextrun"/>
                <w:sz w:val="24"/>
                <w:szCs w:val="24"/>
              </w:rPr>
              <w:t xml:space="preserve"> </w:t>
            </w:r>
            <w:r w:rsidR="00EC1FE9" w:rsidRPr="00933991">
              <w:rPr>
                <w:rStyle w:val="normaltextrun"/>
                <w:sz w:val="24"/>
                <w:szCs w:val="24"/>
              </w:rPr>
              <w:t xml:space="preserve">was a full-time carer for his wife, </w:t>
            </w:r>
            <w:r w:rsidR="00DF54FC" w:rsidRPr="00933991">
              <w:rPr>
                <w:rStyle w:val="normaltextrun"/>
                <w:sz w:val="24"/>
                <w:szCs w:val="24"/>
              </w:rPr>
              <w:t>2</w:t>
            </w:r>
            <w:r w:rsidR="00EC1FE9" w:rsidRPr="00933991">
              <w:rPr>
                <w:rStyle w:val="normaltextrun"/>
                <w:sz w:val="24"/>
                <w:szCs w:val="24"/>
              </w:rPr>
              <w:t xml:space="preserve">, who had a diagnosis of Vascular Dementia. </w:t>
            </w:r>
            <w:r w:rsidR="00587383" w:rsidRPr="00933991">
              <w:rPr>
                <w:rStyle w:val="normaltextrun"/>
                <w:sz w:val="24"/>
                <w:szCs w:val="24"/>
              </w:rPr>
              <w:t xml:space="preserve">Safeguarding referrals were received from their local blood donation centre expressing the couple appeared unkempt, were not meeting their nutritional needs and felt they needed support, noticing a decline in both. </w:t>
            </w:r>
            <w:r w:rsidR="00CD6313" w:rsidRPr="00933991">
              <w:rPr>
                <w:rStyle w:val="normaltextrun"/>
                <w:sz w:val="24"/>
                <w:szCs w:val="24"/>
              </w:rPr>
              <w:t xml:space="preserve">Alongside the donation centre, professional referrals were received addressing concerns over 2 accessing the railway track after leaving the property. </w:t>
            </w:r>
            <w:r w:rsidR="00A837F3" w:rsidRPr="00933991">
              <w:rPr>
                <w:rStyle w:val="normaltextrun"/>
                <w:sz w:val="24"/>
                <w:szCs w:val="24"/>
              </w:rPr>
              <w:t>1</w:t>
            </w:r>
            <w:r w:rsidR="00587383" w:rsidRPr="00933991">
              <w:rPr>
                <w:rStyle w:val="normaltextrun"/>
                <w:sz w:val="24"/>
                <w:szCs w:val="24"/>
              </w:rPr>
              <w:t xml:space="preserve"> had historically declined intervention from preventative services and became resistant when professionals challenged </w:t>
            </w:r>
            <w:r w:rsidR="005101E4" w:rsidRPr="00933991">
              <w:rPr>
                <w:rStyle w:val="normaltextrun"/>
                <w:sz w:val="24"/>
                <w:szCs w:val="24"/>
              </w:rPr>
              <w:t xml:space="preserve">his ability to care for his wife. </w:t>
            </w:r>
            <w:r w:rsidR="007670A9" w:rsidRPr="00933991">
              <w:rPr>
                <w:sz w:val="24"/>
                <w:szCs w:val="24"/>
              </w:rPr>
              <w:t xml:space="preserve">Ensuring I responded to 1 and 2’s individual language needs I carried out the Active Offer. On my first visit I carried out The Active Offer which promotes Welsh language services without individuals needing to request them. This ensures that their preferred language was offered, upholding their dignity and working within a person-centred practice. The Active Offer is underpinned </w:t>
            </w:r>
            <w:r w:rsidR="007670A9" w:rsidRPr="00933991">
              <w:rPr>
                <w:sz w:val="24"/>
                <w:szCs w:val="24"/>
              </w:rPr>
              <w:lastRenderedPageBreak/>
              <w:t>within the Welsh Government’s Active Offer principle, recognising that Welsh language services should be proactively offered (Social Care Wales, 2025).</w:t>
            </w:r>
          </w:p>
          <w:p w14:paraId="4C990C0B" w14:textId="2C458E57" w:rsidR="005108EB" w:rsidRPr="00933991" w:rsidRDefault="007043CC" w:rsidP="00933991">
            <w:pPr>
              <w:spacing w:line="360" w:lineRule="auto"/>
              <w:rPr>
                <w:sz w:val="24"/>
                <w:szCs w:val="24"/>
              </w:rPr>
            </w:pPr>
            <w:r w:rsidRPr="00933991">
              <w:rPr>
                <w:sz w:val="24"/>
                <w:szCs w:val="24"/>
              </w:rPr>
              <w:t>Individuals living in rural Wales often have strong networks within their community and can be resilient to receiving support. Practitioners often face barriers which include long travel distance, limited public transport and longer waiting times for receiving care in the community. Many experience social isolation which impacts the vulnerable community, especially older adults greatly. We rely on preventative services and community resources which emphasises The Social Services and Well-being (Wales) Act 2014 [SSWBA, 2014) promoting partnership and co-production with families, carers and communities.</w:t>
            </w:r>
            <w:r w:rsidR="005101E4" w:rsidRPr="00933991">
              <w:rPr>
                <w:sz w:val="24"/>
                <w:szCs w:val="24"/>
              </w:rPr>
              <w:t xml:space="preserve"> </w:t>
            </w:r>
            <w:r w:rsidR="005108EB" w:rsidRPr="00933991">
              <w:rPr>
                <w:sz w:val="24"/>
                <w:szCs w:val="24"/>
              </w:rPr>
              <w:t xml:space="preserve">Research undertaken by Charles Musselwhite suggests that individuals with mobility issues face barriers in rural areas. He argues that longer travel times and limited public transport impact individuals’ well-being, health and access to essential services. Challenges like this are relevant within social work Wales due to its rural areas and practitioners, such as me, have to take into consideration the practicality of local areas and how geographical isolation can influence individual’s ability to maintain independence and be a part of their local community. It reinforces strengths-based approaches and person-centred approaches whilst recognising environment barriers to achieve their personal outcomes. </w:t>
            </w:r>
            <w:r w:rsidR="00BA5487" w:rsidRPr="00933991">
              <w:rPr>
                <w:sz w:val="24"/>
                <w:szCs w:val="24"/>
              </w:rPr>
              <w:t xml:space="preserve">1 and 2’s immediate family lived in another country which created a barrier for them receiving support from family within their local community. They did have support from their wider family members who would monitor the couple and check in with them when able. However, 1 declined to give their full name and number to discuss any concerns. </w:t>
            </w:r>
          </w:p>
          <w:p w14:paraId="69BDAA92" w14:textId="54A8A817" w:rsidR="005A23A8" w:rsidRPr="00933991" w:rsidRDefault="00167EFF" w:rsidP="00933991">
            <w:pPr>
              <w:spacing w:before="100" w:beforeAutospacing="1" w:after="100" w:afterAutospacing="1" w:line="360" w:lineRule="auto"/>
              <w:rPr>
                <w:sz w:val="24"/>
                <w:szCs w:val="24"/>
              </w:rPr>
            </w:pPr>
            <w:r w:rsidRPr="00933991">
              <w:rPr>
                <w:sz w:val="24"/>
                <w:szCs w:val="24"/>
              </w:rPr>
              <w:t xml:space="preserve">To build trust and familiarity I visited the couple roughly once per week, carrying out a well-being check. </w:t>
            </w:r>
            <w:r w:rsidR="00937514" w:rsidRPr="00933991">
              <w:rPr>
                <w:sz w:val="24"/>
                <w:szCs w:val="24"/>
              </w:rPr>
              <w:t xml:space="preserve">It was important for me to recognise </w:t>
            </w:r>
            <w:r w:rsidR="00A837F3" w:rsidRPr="00933991">
              <w:rPr>
                <w:sz w:val="24"/>
                <w:szCs w:val="24"/>
              </w:rPr>
              <w:t>1’s</w:t>
            </w:r>
            <w:r w:rsidR="00937514" w:rsidRPr="00933991">
              <w:rPr>
                <w:sz w:val="24"/>
                <w:szCs w:val="24"/>
              </w:rPr>
              <w:t xml:space="preserve"> reluctance to engage with professionals and his repeated refusal of professionals within his home.</w:t>
            </w:r>
            <w:r w:rsidR="0005760E" w:rsidRPr="00933991">
              <w:rPr>
                <w:sz w:val="24"/>
                <w:szCs w:val="24"/>
              </w:rPr>
              <w:t xml:space="preserve"> I was aware there would be a power imbalance that already existed due to 1’s reluctance to receive support from Social Services. Recognising this early enabled me to build a collaborative relationship, respecting his experiences and involving him in conversations relating to his caring role. Payne (2020) suggests that awareness of power dynamics and the promotion of partnership with individuals in the decision-making process makes for effective social work practice. </w:t>
            </w:r>
            <w:r w:rsidR="000E2254" w:rsidRPr="00933991">
              <w:rPr>
                <w:sz w:val="24"/>
                <w:szCs w:val="24"/>
              </w:rPr>
              <w:t xml:space="preserve">I considered the wider contextual factors contributing to risk rather than making my own </w:t>
            </w:r>
            <w:r w:rsidR="000E2254" w:rsidRPr="00933991">
              <w:rPr>
                <w:sz w:val="24"/>
                <w:szCs w:val="24"/>
              </w:rPr>
              <w:lastRenderedPageBreak/>
              <w:t>assumptions based on the original referrals. This aligns with Codes of Professional Practice (COPP5)</w:t>
            </w:r>
            <w:r w:rsidR="00785F3A" w:rsidRPr="00933991">
              <w:rPr>
                <w:sz w:val="24"/>
                <w:szCs w:val="24"/>
              </w:rPr>
              <w:t xml:space="preserve"> (Social Care Wales, 2026)</w:t>
            </w:r>
            <w:r w:rsidR="000E2254" w:rsidRPr="00933991">
              <w:rPr>
                <w:sz w:val="24"/>
                <w:szCs w:val="24"/>
              </w:rPr>
              <w:t>.</w:t>
            </w:r>
          </w:p>
          <w:p w14:paraId="7FACD9F7" w14:textId="02CC113B" w:rsidR="005A23A8" w:rsidRPr="00933991" w:rsidRDefault="00937514" w:rsidP="00933991">
            <w:pPr>
              <w:spacing w:line="360" w:lineRule="auto"/>
              <w:rPr>
                <w:sz w:val="24"/>
                <w:szCs w:val="24"/>
              </w:rPr>
            </w:pPr>
            <w:r w:rsidRPr="00933991">
              <w:rPr>
                <w:sz w:val="24"/>
                <w:szCs w:val="24"/>
              </w:rPr>
              <w:t>I found a relationship-based practice approach was relevant as it emphasises the development of trust through being respectful, consistent and having reliable interactions (Ruch, Turney and Ward, 2018). Instead of focusing on service provision I prioritised building a professional relationship, acknowledging the couple’s experiences and actively listening to their concerns, creating an environment for engagement without them feeling pressure or intrusion.</w:t>
            </w:r>
            <w:r w:rsidR="00CD64FA" w:rsidRPr="00933991">
              <w:rPr>
                <w:sz w:val="24"/>
                <w:szCs w:val="24"/>
              </w:rPr>
              <w:t xml:space="preserve"> </w:t>
            </w:r>
            <w:r w:rsidR="005622BA" w:rsidRPr="00933991">
              <w:rPr>
                <w:sz w:val="24"/>
                <w:szCs w:val="24"/>
              </w:rPr>
              <w:t xml:space="preserve">Through consistency I was given permission to enter the couple’s garden and speak with </w:t>
            </w:r>
            <w:r w:rsidR="00A837F3" w:rsidRPr="00933991">
              <w:rPr>
                <w:sz w:val="24"/>
                <w:szCs w:val="24"/>
              </w:rPr>
              <w:t>1</w:t>
            </w:r>
            <w:r w:rsidR="005622BA" w:rsidRPr="00933991">
              <w:rPr>
                <w:sz w:val="24"/>
                <w:szCs w:val="24"/>
              </w:rPr>
              <w:t xml:space="preserve"> by the back door. In my professional opinion their environment was a cause of concern due to clutter, dirty worktops, waste on the floor and surfaces and perished items within the kitchen and outside. I observed that both were wearing unclean and worn clothing, </w:t>
            </w:r>
            <w:r w:rsidR="00A837F3" w:rsidRPr="00933991">
              <w:rPr>
                <w:sz w:val="24"/>
                <w:szCs w:val="24"/>
              </w:rPr>
              <w:t>1</w:t>
            </w:r>
            <w:r w:rsidR="005622BA" w:rsidRPr="00933991">
              <w:rPr>
                <w:sz w:val="24"/>
                <w:szCs w:val="24"/>
              </w:rPr>
              <w:t xml:space="preserve"> appearing to wear the same jeans on each visit. There were also holes in their footwear and clothing. However, I did not make assumptions based solely on appearance. Their presentation may not have reflected social expectations regarding cleanliness, but </w:t>
            </w:r>
            <w:r w:rsidR="00A837F3" w:rsidRPr="00933991">
              <w:rPr>
                <w:sz w:val="24"/>
                <w:szCs w:val="24"/>
              </w:rPr>
              <w:t>1</w:t>
            </w:r>
            <w:r w:rsidR="005622BA" w:rsidRPr="00933991">
              <w:rPr>
                <w:sz w:val="24"/>
                <w:szCs w:val="24"/>
              </w:rPr>
              <w:t xml:space="preserve"> demonstrated a strong commitment to his caring role for </w:t>
            </w:r>
            <w:r w:rsidR="00A837F3" w:rsidRPr="00933991">
              <w:rPr>
                <w:sz w:val="24"/>
                <w:szCs w:val="24"/>
              </w:rPr>
              <w:t>2</w:t>
            </w:r>
            <w:r w:rsidR="005622BA" w:rsidRPr="00933991">
              <w:rPr>
                <w:sz w:val="24"/>
                <w:szCs w:val="24"/>
              </w:rPr>
              <w:t xml:space="preserve">. An example of this was he ensured she was wearing a coat, hat and gloves during cold weather, ensuring she was appropriately dressed. He was also attentive to her wishes when she expressed, she would like to return indoors after talking to me. It highlighted the important of consideration to wider environment, social and personal context of their circumstances and rather professional assumptions regarding the acceptable standards of living. Anti-oppressive practice requires Social Workers to recognise personal values and cultural norms which can influence professional judgement (Thompson, 2016). Individuals have different standards regarding their living conditions and appearance. </w:t>
            </w:r>
            <w:r w:rsidR="00C90EC6" w:rsidRPr="00933991">
              <w:rPr>
                <w:sz w:val="24"/>
                <w:szCs w:val="24"/>
              </w:rPr>
              <w:t xml:space="preserve">The Equality Act 2010 underpins discrimination and avoiding assumptions based on people’s age, disability or socioeconomic circumstances. This reinforces assessing 1 &amp; 2’s individual’s circumstances and avoiding drawing on conclusions based solely on their appearance. </w:t>
            </w:r>
            <w:r w:rsidR="007D678D" w:rsidRPr="00933991">
              <w:rPr>
                <w:sz w:val="24"/>
                <w:szCs w:val="24"/>
              </w:rPr>
              <w:t>I also found that by using a strength-based approach allowed me to identify the protective factors present from 1 rather than focusing on the risks. I was able to see his commitment and dedication to his caring role, supporting an outcome-focused assessment in line with the principles of SSWBA 2014. Building on these strengths meant I was able to promote resilience and identify support options that aligned with the couples wishes and needs (Saleebey, 2013).</w:t>
            </w:r>
          </w:p>
          <w:p w14:paraId="64DAF3BC" w14:textId="64E6F365" w:rsidR="007E65E2" w:rsidRPr="00933991" w:rsidRDefault="00CD64FA" w:rsidP="00933991">
            <w:pPr>
              <w:spacing w:before="100" w:beforeAutospacing="1" w:after="100" w:afterAutospacing="1" w:line="360" w:lineRule="auto"/>
              <w:rPr>
                <w:sz w:val="24"/>
                <w:szCs w:val="24"/>
              </w:rPr>
            </w:pPr>
            <w:r w:rsidRPr="00933991">
              <w:rPr>
                <w:sz w:val="24"/>
                <w:szCs w:val="24"/>
              </w:rPr>
              <w:lastRenderedPageBreak/>
              <w:t xml:space="preserve">Under the Human Rights Act </w:t>
            </w:r>
            <w:r w:rsidR="0011148A" w:rsidRPr="00933991">
              <w:rPr>
                <w:sz w:val="24"/>
                <w:szCs w:val="24"/>
              </w:rPr>
              <w:t>1998 Article 8</w:t>
            </w:r>
            <w:r w:rsidR="009456E9" w:rsidRPr="00933991">
              <w:rPr>
                <w:sz w:val="24"/>
                <w:szCs w:val="24"/>
              </w:rPr>
              <w:t xml:space="preserve">, everyone has a right to a private family life and this needs to be respected. However, an increase of concerns </w:t>
            </w:r>
            <w:r w:rsidR="00664B89" w:rsidRPr="00933991">
              <w:rPr>
                <w:sz w:val="24"/>
                <w:szCs w:val="24"/>
              </w:rPr>
              <w:t>was</w:t>
            </w:r>
            <w:r w:rsidR="009456E9" w:rsidRPr="00933991">
              <w:rPr>
                <w:sz w:val="24"/>
                <w:szCs w:val="24"/>
              </w:rPr>
              <w:t xml:space="preserve"> </w:t>
            </w:r>
            <w:r w:rsidR="0053735B" w:rsidRPr="00933991">
              <w:rPr>
                <w:sz w:val="24"/>
                <w:szCs w:val="24"/>
              </w:rPr>
              <w:t>raised,</w:t>
            </w:r>
            <w:r w:rsidR="009456E9" w:rsidRPr="00933991">
              <w:rPr>
                <w:sz w:val="24"/>
                <w:szCs w:val="24"/>
              </w:rPr>
              <w:t xml:space="preserve"> and this met the safeguarding threshold. </w:t>
            </w:r>
            <w:r w:rsidR="0053735B" w:rsidRPr="00933991">
              <w:rPr>
                <w:sz w:val="24"/>
                <w:szCs w:val="24"/>
              </w:rPr>
              <w:t>The threshold for safeguarding adult’s is set out in Section 126 of the Social Services and Well-being (Wales) Act 201</w:t>
            </w:r>
            <w:r w:rsidR="00606955" w:rsidRPr="00933991">
              <w:rPr>
                <w:sz w:val="24"/>
                <w:szCs w:val="24"/>
              </w:rPr>
              <w:t>4</w:t>
            </w:r>
            <w:r w:rsidR="0053735B" w:rsidRPr="00933991">
              <w:rPr>
                <w:sz w:val="24"/>
                <w:szCs w:val="24"/>
              </w:rPr>
              <w:t xml:space="preserve">. The criteria are adult’s experiencing or at risk of abuse or neglect, having a need for care and support and due to those needs are unable to protect themselves from neglect, abuse or at risk of it. The Local Authority has the duty to make enquiries and decide if safeguarding action is required. </w:t>
            </w:r>
            <w:r w:rsidR="00B130B4" w:rsidRPr="00933991">
              <w:rPr>
                <w:sz w:val="24"/>
                <w:szCs w:val="24"/>
              </w:rPr>
              <w:t>Therefore,</w:t>
            </w:r>
            <w:r w:rsidR="00F60CD6" w:rsidRPr="00933991">
              <w:rPr>
                <w:sz w:val="24"/>
                <w:szCs w:val="24"/>
              </w:rPr>
              <w:t xml:space="preserve"> I decided to contact the referrer and work collaboratively </w:t>
            </w:r>
            <w:r w:rsidR="00F50FD7" w:rsidRPr="00933991">
              <w:rPr>
                <w:sz w:val="24"/>
                <w:szCs w:val="24"/>
              </w:rPr>
              <w:t>with them</w:t>
            </w:r>
            <w:r w:rsidR="00B05E7B" w:rsidRPr="00933991">
              <w:rPr>
                <w:sz w:val="24"/>
                <w:szCs w:val="24"/>
              </w:rPr>
              <w:t xml:space="preserve">. </w:t>
            </w:r>
            <w:r w:rsidR="008574D8" w:rsidRPr="00933991">
              <w:rPr>
                <w:sz w:val="24"/>
                <w:szCs w:val="24"/>
              </w:rPr>
              <w:t xml:space="preserve">I also did not want </w:t>
            </w:r>
            <w:r w:rsidR="00A837F3" w:rsidRPr="00933991">
              <w:rPr>
                <w:sz w:val="24"/>
                <w:szCs w:val="24"/>
              </w:rPr>
              <w:t>1</w:t>
            </w:r>
            <w:r w:rsidR="008574D8" w:rsidRPr="00933991">
              <w:rPr>
                <w:sz w:val="24"/>
                <w:szCs w:val="24"/>
              </w:rPr>
              <w:t xml:space="preserve"> to feel disempowered, especially if he already felt decisions had tried to be made before him previously. Anti-oppressive practice encourages Social Workers to recognise the power imbalances and work with individuals ensuring their voice is listened to. I took a pro-active approach to ensure power imbalances were reduced. </w:t>
            </w:r>
            <w:r w:rsidR="0098627E" w:rsidRPr="00933991">
              <w:rPr>
                <w:sz w:val="24"/>
                <w:szCs w:val="24"/>
              </w:rPr>
              <w:t>There was a significant dilemma between balancing 1 and 2’s rights to autonomy and private family life and the professional duties to safeguard. Although living conditions were raised as concerns, imposing professionals’ standards without sufficient evidence of risk could represent an unnecessary intrusion into their right to private and family life under Article 8.</w:t>
            </w:r>
            <w:r w:rsidR="00204265" w:rsidRPr="00933991">
              <w:rPr>
                <w:sz w:val="24"/>
                <w:szCs w:val="24"/>
              </w:rPr>
              <w:t xml:space="preserve"> </w:t>
            </w:r>
            <w:r w:rsidR="009C1D5A" w:rsidRPr="00933991">
              <w:rPr>
                <w:sz w:val="24"/>
                <w:szCs w:val="24"/>
              </w:rPr>
              <w:t xml:space="preserve">As I was in my second year of practice and due to </w:t>
            </w:r>
            <w:r w:rsidR="00204265" w:rsidRPr="00933991">
              <w:rPr>
                <w:sz w:val="24"/>
                <w:szCs w:val="24"/>
              </w:rPr>
              <w:t xml:space="preserve">the increasing complexity of the case I utilised my supervision to discuss the circumstances. This enabled me to reflect on risk, consider appropriate interventions and test my assumptions. According to Kadushin and Harkness (2014), supervision is a process that supports professional accountability, effective decision-making and promotes reflective practice, thus enhancing the quality of social work interventions. We discussed intervening with other professionals that already have </w:t>
            </w:r>
            <w:r w:rsidR="005479A8" w:rsidRPr="00933991">
              <w:rPr>
                <w:sz w:val="24"/>
                <w:szCs w:val="24"/>
              </w:rPr>
              <w:t>rapport</w:t>
            </w:r>
            <w:r w:rsidR="00204265" w:rsidRPr="00933991">
              <w:rPr>
                <w:sz w:val="24"/>
                <w:szCs w:val="24"/>
              </w:rPr>
              <w:t xml:space="preserve"> with the couple and </w:t>
            </w:r>
            <w:r w:rsidR="005479A8" w:rsidRPr="00933991">
              <w:rPr>
                <w:sz w:val="24"/>
                <w:szCs w:val="24"/>
              </w:rPr>
              <w:t>discussed multi-agency working for a better outcome.</w:t>
            </w:r>
            <w:r w:rsidR="0011291F" w:rsidRPr="00933991">
              <w:rPr>
                <w:sz w:val="24"/>
                <w:szCs w:val="24"/>
              </w:rPr>
              <w:t xml:space="preserve"> Reflecting on the situation and management of risk is expected within COPP7 and I was able to do this through supervision</w:t>
            </w:r>
            <w:r w:rsidR="00813A9F" w:rsidRPr="00933991">
              <w:rPr>
                <w:sz w:val="24"/>
                <w:szCs w:val="24"/>
              </w:rPr>
              <w:t xml:space="preserve"> (Social Care Wales, 2026)</w:t>
            </w:r>
            <w:r w:rsidR="0011291F" w:rsidRPr="00933991">
              <w:rPr>
                <w:sz w:val="24"/>
                <w:szCs w:val="24"/>
              </w:rPr>
              <w:t xml:space="preserve">. </w:t>
            </w:r>
            <w:r w:rsidR="00A44598" w:rsidRPr="00933991">
              <w:rPr>
                <w:sz w:val="24"/>
                <w:szCs w:val="24"/>
              </w:rPr>
              <w:t xml:space="preserve">Although I was aware of the legal options that existed, the least restrictive option was the most appropriate route to consider first and this was also agreed within supervision. </w:t>
            </w:r>
          </w:p>
          <w:p w14:paraId="2BF1ECF7" w14:textId="18EF9B58" w:rsidR="005A23A8" w:rsidRPr="00933991" w:rsidRDefault="005479A8" w:rsidP="00933991">
            <w:pPr>
              <w:spacing w:before="100" w:beforeAutospacing="1" w:after="100" w:afterAutospacing="1" w:line="360" w:lineRule="auto"/>
              <w:rPr>
                <w:sz w:val="24"/>
                <w:szCs w:val="24"/>
              </w:rPr>
            </w:pPr>
            <w:r w:rsidRPr="00933991">
              <w:rPr>
                <w:sz w:val="24"/>
                <w:szCs w:val="24"/>
              </w:rPr>
              <w:t xml:space="preserve">Following on from supervision </w:t>
            </w:r>
            <w:r w:rsidR="00FF3866" w:rsidRPr="00933991">
              <w:rPr>
                <w:sz w:val="24"/>
                <w:szCs w:val="24"/>
              </w:rPr>
              <w:t>I liaised with the Blood Centre and</w:t>
            </w:r>
            <w:r w:rsidR="00A837F3" w:rsidRPr="00933991">
              <w:rPr>
                <w:sz w:val="24"/>
                <w:szCs w:val="24"/>
              </w:rPr>
              <w:t xml:space="preserve"> 1</w:t>
            </w:r>
            <w:r w:rsidR="00FF3866" w:rsidRPr="00933991">
              <w:rPr>
                <w:sz w:val="24"/>
                <w:szCs w:val="24"/>
              </w:rPr>
              <w:t xml:space="preserve">’s GP to gather information and develop a fuller understanding of the situation. Although the GP advised that they did not have concerns over </w:t>
            </w:r>
            <w:r w:rsidR="00A837F3" w:rsidRPr="00933991">
              <w:rPr>
                <w:sz w:val="24"/>
                <w:szCs w:val="24"/>
              </w:rPr>
              <w:t>1 &amp; 2</w:t>
            </w:r>
            <w:r w:rsidR="00FF3866" w:rsidRPr="00933991">
              <w:rPr>
                <w:sz w:val="24"/>
                <w:szCs w:val="24"/>
              </w:rPr>
              <w:t>’s presentation</w:t>
            </w:r>
            <w:r w:rsidR="00225F84" w:rsidRPr="00933991">
              <w:rPr>
                <w:sz w:val="24"/>
                <w:szCs w:val="24"/>
              </w:rPr>
              <w:t xml:space="preserve"> (confusion)</w:t>
            </w:r>
            <w:r w:rsidR="00FF3866" w:rsidRPr="00933991">
              <w:rPr>
                <w:sz w:val="24"/>
                <w:szCs w:val="24"/>
              </w:rPr>
              <w:t xml:space="preserve"> but noted the unkempt </w:t>
            </w:r>
            <w:r w:rsidR="00FF3866" w:rsidRPr="00933991">
              <w:rPr>
                <w:sz w:val="24"/>
                <w:szCs w:val="24"/>
              </w:rPr>
              <w:lastRenderedPageBreak/>
              <w:t xml:space="preserve">appearance. Information sharing between both professional bodies was undertaken in accordance with the data protection principals and professional responsibilities. Data Protection Regulation (GDPR) and the Data Protection Act 2018, inform that personal information can be shared if there is a lawful basis to do so and when necessary for the provision or support, care and safeguarding. The information shared was on a need-to-know basis to support decision making, ensuring </w:t>
            </w:r>
            <w:r w:rsidR="00225F84" w:rsidRPr="00933991">
              <w:rPr>
                <w:sz w:val="24"/>
                <w:szCs w:val="24"/>
              </w:rPr>
              <w:t>1</w:t>
            </w:r>
            <w:r w:rsidR="00FF3866" w:rsidRPr="00933991">
              <w:rPr>
                <w:sz w:val="24"/>
                <w:szCs w:val="24"/>
              </w:rPr>
              <w:t xml:space="preserve"> and </w:t>
            </w:r>
            <w:r w:rsidR="00225F84" w:rsidRPr="00933991">
              <w:rPr>
                <w:sz w:val="24"/>
                <w:szCs w:val="24"/>
              </w:rPr>
              <w:t>2</w:t>
            </w:r>
            <w:r w:rsidR="00FF3866" w:rsidRPr="00933991">
              <w:rPr>
                <w:sz w:val="24"/>
                <w:szCs w:val="24"/>
              </w:rPr>
              <w:t>’s rights to privacy were respected. I found that sharing information appropriately with other professionals was an important part of the assessment process. It enabled me to understand</w:t>
            </w:r>
            <w:r w:rsidR="00225F84" w:rsidRPr="00933991">
              <w:rPr>
                <w:sz w:val="24"/>
                <w:szCs w:val="24"/>
              </w:rPr>
              <w:t xml:space="preserve"> 1</w:t>
            </w:r>
            <w:r w:rsidR="00FF3866" w:rsidRPr="00933991">
              <w:rPr>
                <w:sz w:val="24"/>
                <w:szCs w:val="24"/>
              </w:rPr>
              <w:t>'s situation more fully, consider different professional viewpoints, and make informed decisions about the most appropriate support and intervention (Morrison, 2006). Collaborative working was an important aspect of this intervention and enabled a holistic approach to understand the circumstances. The Blood Centre's willingness to arrange a suitable time and location for me to meet with the couple also demonstrated the value of partnership working in facilitating engagement. Effective interprofessional collaboration supports the sharing of expertise, promotes coordinated decision-making, and helps ensure that individuals receive appropriate support (Trevithick, 2012).</w:t>
            </w:r>
            <w:r w:rsidR="00AA7564" w:rsidRPr="00933991">
              <w:rPr>
                <w:sz w:val="24"/>
                <w:szCs w:val="24"/>
              </w:rPr>
              <w:t xml:space="preserve"> Working collaboratively is underpinned by the SSWBA, 2014 and can be understood through System’s Theory. Systems theory recognises that individuals are influenced by multiple interconnected systems such as healthcare providers, community services and family networks</w:t>
            </w:r>
            <w:r w:rsidR="006E301E" w:rsidRPr="00933991">
              <w:rPr>
                <w:sz w:val="24"/>
                <w:szCs w:val="24"/>
              </w:rPr>
              <w:t xml:space="preserve"> (Bronfenbrenner, 1979). </w:t>
            </w:r>
            <w:r w:rsidR="00AA7564" w:rsidRPr="00933991">
              <w:rPr>
                <w:sz w:val="24"/>
                <w:szCs w:val="24"/>
              </w:rPr>
              <w:t xml:space="preserve">In this instance information from the blood centre, GP and previous professionals involved, contributed towards a comprehensive assessment. </w:t>
            </w:r>
            <w:r w:rsidR="00451D8A" w:rsidRPr="00933991">
              <w:rPr>
                <w:sz w:val="24"/>
                <w:szCs w:val="24"/>
              </w:rPr>
              <w:t>Working with the blood centre and GP demonstrated my effectiveness at collaborative working in accordance with COPP6</w:t>
            </w:r>
            <w:r w:rsidR="00813A9F" w:rsidRPr="00933991">
              <w:rPr>
                <w:sz w:val="24"/>
                <w:szCs w:val="24"/>
              </w:rPr>
              <w:t xml:space="preserve"> (Social Care Wales, 2026)</w:t>
            </w:r>
            <w:r w:rsidR="00451D8A" w:rsidRPr="00933991">
              <w:rPr>
                <w:sz w:val="24"/>
                <w:szCs w:val="24"/>
              </w:rPr>
              <w:t xml:space="preserve">. </w:t>
            </w:r>
          </w:p>
          <w:p w14:paraId="395C78F5" w14:textId="2B991CC8" w:rsidR="005A23A8" w:rsidRPr="00933991" w:rsidRDefault="00F4122B" w:rsidP="00933991">
            <w:pPr>
              <w:shd w:val="clear" w:color="auto" w:fill="FFFFFF"/>
              <w:spacing w:after="120" w:line="360" w:lineRule="auto"/>
              <w:outlineLvl w:val="3"/>
              <w:rPr>
                <w:sz w:val="24"/>
                <w:szCs w:val="24"/>
              </w:rPr>
            </w:pPr>
            <w:r w:rsidRPr="00933991">
              <w:rPr>
                <w:sz w:val="24"/>
                <w:szCs w:val="24"/>
              </w:rPr>
              <w:t>Unfortunately,</w:t>
            </w:r>
            <w:r w:rsidR="00550F8D" w:rsidRPr="00933991">
              <w:rPr>
                <w:sz w:val="24"/>
                <w:szCs w:val="24"/>
              </w:rPr>
              <w:t xml:space="preserve"> on the day I arranged to meet in the Blood Donation Centre 1 and 2 did not </w:t>
            </w:r>
            <w:r w:rsidRPr="00933991">
              <w:rPr>
                <w:sz w:val="24"/>
                <w:szCs w:val="24"/>
              </w:rPr>
              <w:t xml:space="preserve">attend. When they were contacted, he expressed he had driven to another site. This raised </w:t>
            </w:r>
            <w:r w:rsidR="00892371" w:rsidRPr="00933991">
              <w:rPr>
                <w:sz w:val="24"/>
                <w:szCs w:val="24"/>
              </w:rPr>
              <w:t xml:space="preserve">concerns over his cognition as the couple had attended the centre for roughly the last five years. Alongside this, he had refused </w:t>
            </w:r>
            <w:r w:rsidR="00E31955" w:rsidRPr="00933991">
              <w:rPr>
                <w:sz w:val="24"/>
                <w:szCs w:val="24"/>
              </w:rPr>
              <w:t xml:space="preserve">for me to speak to his wife on my last visit and became agitated, asking me to leave. Despite spending a prolonged </w:t>
            </w:r>
            <w:r w:rsidR="00A64CDF" w:rsidRPr="00933991">
              <w:rPr>
                <w:sz w:val="24"/>
                <w:szCs w:val="24"/>
              </w:rPr>
              <w:t>period</w:t>
            </w:r>
            <w:r w:rsidR="00E31955" w:rsidRPr="00933991">
              <w:rPr>
                <w:sz w:val="24"/>
                <w:szCs w:val="24"/>
              </w:rPr>
              <w:t xml:space="preserve"> </w:t>
            </w:r>
            <w:r w:rsidR="003F4A8F" w:rsidRPr="00933991">
              <w:rPr>
                <w:sz w:val="24"/>
                <w:szCs w:val="24"/>
              </w:rPr>
              <w:t xml:space="preserve">building a relationship, I felt this needed to be escalated. </w:t>
            </w:r>
            <w:r w:rsidR="00163ACF" w:rsidRPr="00933991">
              <w:rPr>
                <w:sz w:val="24"/>
                <w:szCs w:val="24"/>
              </w:rPr>
              <w:t xml:space="preserve">There are limited legal powers within Social Work practice for Adult’s to remove an individual without their consent. The abolition of Section 47 of the National Assistance Act 1948 in Wales shifted towards right-based practice. This reinforced the need to continue working collaboratively and explore other </w:t>
            </w:r>
            <w:r w:rsidR="00163ACF" w:rsidRPr="00933991">
              <w:rPr>
                <w:sz w:val="24"/>
                <w:szCs w:val="24"/>
              </w:rPr>
              <w:lastRenderedPageBreak/>
              <w:t xml:space="preserve">options to ensure 2 was being cared for. If an adult as capacity to make decisions about their care and residency, despite if it places them at risk, then removing an adult is very restricted. The Mental Capacity Act 2005 five key principles are presumption of capacity, support to make decisions, right to make unwise decisions, best interests and least restrictive option. It states that every adult is assumed to have capacity unless it is established otherwise and all practicable steps must be taken to help a person make their own decision before concluding if they lack capacity. Therefore 2 was assumed to have capacity, in line with this legislation as I was unable to undertake a capacity assessment ensuring all practicable steps were taken because 1 would not allow me to speak or see her. If 2 had been assessed as lacking in capacity regarding care and residency, any intervention would have required the least restrictive option, in accordance with Section 1 (6) of the Mental Capacity Act 2005. The best interest decision maker would need to consult with all individuals who have interest in 2’s welfare. A dilemma could be faced if 1 had Lasting Power of Attorney (LPA). Under the Mental Capacity Act 2005, if there is a registered Health and Welfare LPA, and the individual lacks capacity the appointed attorney has the legal authority to make decisions. This would still need to be in the person’s best interest’s and if the Local Authority have concerns, they are no acting within the individual’s best interest this can be challenged through the Court of Protection. The Court of Protection is a specialist court in Wales and England that makes decisions or appoints decision-makers for individuals who lack mental capacity and operates under the Mental Capacity Act 2005. </w:t>
            </w:r>
          </w:p>
          <w:p w14:paraId="6CBE7C0F" w14:textId="25ACB67A" w:rsidR="005A23A8" w:rsidRPr="00933991" w:rsidRDefault="00B84FBC" w:rsidP="00933991">
            <w:pPr>
              <w:shd w:val="clear" w:color="auto" w:fill="FFFFFF"/>
              <w:spacing w:after="120" w:line="360" w:lineRule="auto"/>
              <w:outlineLvl w:val="3"/>
              <w:rPr>
                <w:sz w:val="24"/>
                <w:szCs w:val="24"/>
              </w:rPr>
            </w:pPr>
            <w:r w:rsidRPr="00933991">
              <w:rPr>
                <w:sz w:val="24"/>
                <w:szCs w:val="24"/>
              </w:rPr>
              <w:t>During my visits and information gathering I documented all work within an assessment. This enabled me to ensure decisions were evidence-based, proportionate and person-centred (Milner and Ob’yrne, 2009).</w:t>
            </w:r>
            <w:r w:rsidR="00014641" w:rsidRPr="00933991">
              <w:rPr>
                <w:sz w:val="24"/>
                <w:szCs w:val="24"/>
              </w:rPr>
              <w:t xml:space="preserve"> I used my information gathered to </w:t>
            </w:r>
            <w:r w:rsidR="00833952" w:rsidRPr="00933991">
              <w:rPr>
                <w:sz w:val="24"/>
                <w:szCs w:val="24"/>
              </w:rPr>
              <w:t>complete a safeguarding referral form.</w:t>
            </w:r>
            <w:r w:rsidR="004C531A" w:rsidRPr="00933991">
              <w:rPr>
                <w:sz w:val="24"/>
                <w:szCs w:val="24"/>
              </w:rPr>
              <w:t xml:space="preserve"> </w:t>
            </w:r>
            <w:r w:rsidR="002C5818" w:rsidRPr="00933991">
              <w:rPr>
                <w:sz w:val="24"/>
                <w:szCs w:val="24"/>
              </w:rPr>
              <w:t xml:space="preserve">I made a professional judgement to carry out a safeguarding referral as I believed there was reasonable cause to suspect that 2 was an adult at risk under Section 126 of the Social Services and Well-being (Wales) Act 2014. 2 had care and support needs due to her Vascular Dementia, and she appeared unable to protect herself from potential neglect. These concerns rose from poor personal hygiene, potential unmet needs within the home, unsuitable clothing, 1’s resistance to allowing me to speak and see her and accessing the community placing herself at risk. Evidence indicated that 1 was </w:t>
            </w:r>
            <w:r w:rsidR="002C5818" w:rsidRPr="00933991">
              <w:rPr>
                <w:sz w:val="24"/>
                <w:szCs w:val="24"/>
              </w:rPr>
              <w:lastRenderedPageBreak/>
              <w:t xml:space="preserve">having difficulty meeting both his wife’s needs and his own, potentially due to carer stress, emerging memory difficulties and age-related frailty. These circumstances raised concerns that she may be experiencing unintentional neglect meeting the safeguarding threshold. It was not solely based on a perpetrator causing harm but where both adults were experiencing increasing vulnerability and unmet needs placing them at risk. </w:t>
            </w:r>
            <w:r w:rsidR="004C531A" w:rsidRPr="00933991">
              <w:rPr>
                <w:sz w:val="24"/>
                <w:szCs w:val="24"/>
              </w:rPr>
              <w:t>The referral sets out the nature of concerns, risks identified, the individual’s views and any immediate actions taken. When this has been received by the safeguarding tea</w:t>
            </w:r>
            <w:r w:rsidR="00A44598" w:rsidRPr="00933991">
              <w:rPr>
                <w:sz w:val="24"/>
                <w:szCs w:val="24"/>
              </w:rPr>
              <w:t>m</w:t>
            </w:r>
            <w:r w:rsidR="004C531A" w:rsidRPr="00933991">
              <w:rPr>
                <w:sz w:val="24"/>
                <w:szCs w:val="24"/>
              </w:rPr>
              <w:t xml:space="preserve">, they consider if it meets threshold under Section 126 of SSWBA, 2014. Under Section 128 of the SSWBA, 2014, agencies known as “relevant partner” have a statutory duty to report to the local authority if they have reasonable cause to suspect an adult is at risk. Safeguarding guidance also makes it clear that non relevant partner also has an expectation to report safeguarding concerns. Family members, public, neighbours and friends do not have a legal duty to report but are encouraged to raise concerns with Social Services and Police (Welsh Government, 2016). </w:t>
            </w:r>
            <w:r w:rsidR="009D685A" w:rsidRPr="00933991">
              <w:rPr>
                <w:sz w:val="24"/>
                <w:szCs w:val="24"/>
              </w:rPr>
              <w:t>Within Part 7 of SSWBA, 2014 Adult Protection and Support Orders (APSO’s) can be used to assist local authorities in safeguarding adults who may be at risk of abuse or neglect. An APSO allows authorised officer/officers to apply to a Justice of the Peace for permission to enter premises to speak privately with a person suspected of being at risk, assess if the individual is making decisions freely without coercion and determine if safeguarding action is required. In this instance it could have been considered due to concerns 1 was preventing professional’s from speaking to 2 alone and professionals being unable to gain adequate access to 2. However, if the individual was found to have capacity and decide not to engage, professionals must respect that decision. An APSO does not give powers to Social Workers to remove individuals from their home. The APSO is only able to be sought by authorised officer’s appointed by the Local Authority</w:t>
            </w:r>
            <w:r w:rsidR="005E671A" w:rsidRPr="00933991">
              <w:rPr>
                <w:sz w:val="24"/>
                <w:szCs w:val="24"/>
              </w:rPr>
              <w:t xml:space="preserve"> and are intended to facilitate assessment and safeguarding enquiries. </w:t>
            </w:r>
            <w:r w:rsidR="00593559" w:rsidRPr="00933991">
              <w:rPr>
                <w:sz w:val="24"/>
                <w:szCs w:val="24"/>
              </w:rPr>
              <w:t xml:space="preserve">In Wales safeguarding practice is influenced by Welsh legislation and policy as well as UK and international levels. The SSWBA Act 2014, adopts person-centred approaches, rights based and promotes voice, control and well-being. In comparison the English Care Act 2014 which places greater emphasis on eligibility criteria and the duties of the local authority. SSWBA, 2014 also reflects Wales’ commitment to the Active Offer and recognises the importance of culture and language. The Care Act 2014 is more focused on the statutory duties regarding service </w:t>
            </w:r>
            <w:r w:rsidR="00593559" w:rsidRPr="00933991">
              <w:rPr>
                <w:sz w:val="24"/>
                <w:szCs w:val="24"/>
              </w:rPr>
              <w:lastRenderedPageBreak/>
              <w:t xml:space="preserve">provision rather than Welsh practice being influenced by rights-based framework and seeking to balance protection from harm with individual autonomy. Both legislative frameworks are underpinned by the </w:t>
            </w:r>
            <w:r w:rsidR="00FC70E5" w:rsidRPr="00933991">
              <w:rPr>
                <w:sz w:val="24"/>
                <w:szCs w:val="24"/>
              </w:rPr>
              <w:t>Human Rights Act 1998</w:t>
            </w:r>
            <w:r w:rsidR="00593559" w:rsidRPr="00933991">
              <w:rPr>
                <w:sz w:val="24"/>
                <w:szCs w:val="24"/>
              </w:rPr>
              <w:t xml:space="preserve">, in particular Article 8 which protects the right to respect private and family life. If you look at international law we also work under the United Nations Convention on the Right of </w:t>
            </w:r>
            <w:r w:rsidR="005A23A8" w:rsidRPr="00933991">
              <w:rPr>
                <w:sz w:val="24"/>
                <w:szCs w:val="24"/>
              </w:rPr>
              <w:t>Persons</w:t>
            </w:r>
            <w:r w:rsidR="00593559" w:rsidRPr="00933991">
              <w:rPr>
                <w:sz w:val="24"/>
                <w:szCs w:val="24"/>
              </w:rPr>
              <w:t xml:space="preserve"> with Disabilities </w:t>
            </w:r>
            <w:r w:rsidR="00FC70E5" w:rsidRPr="00933991">
              <w:rPr>
                <w:sz w:val="24"/>
                <w:szCs w:val="24"/>
              </w:rPr>
              <w:t xml:space="preserve">2006 </w:t>
            </w:r>
            <w:r w:rsidR="00593559" w:rsidRPr="00933991">
              <w:rPr>
                <w:sz w:val="24"/>
                <w:szCs w:val="24"/>
              </w:rPr>
              <w:t>(UNCRPD) which reinforces the rights of disabled people and full participation in society. Lastly the Wales Safeguarding Procedures</w:t>
            </w:r>
            <w:r w:rsidR="00FC70E5" w:rsidRPr="00933991">
              <w:rPr>
                <w:sz w:val="24"/>
                <w:szCs w:val="24"/>
              </w:rPr>
              <w:t xml:space="preserve"> 2019</w:t>
            </w:r>
            <w:r w:rsidR="00593559" w:rsidRPr="00933991">
              <w:rPr>
                <w:sz w:val="24"/>
                <w:szCs w:val="24"/>
              </w:rPr>
              <w:t xml:space="preserve"> provide national framework for safeguarding practice across Wales. This framework sets out the responsibilities of practitioners in relation to responding to abuse, neglect or harm. The procedures give Social Workers clear guidance to carry out effective multi-agency safeguarding practice. It supports a unified approach to safeguarding adults and children and enables professionals to respond consistently to concerns of abuse and neglect whilst meeting their statutory responsibilities under SSWBA 2014. Regarding adults at risk the procedures include safeguarding principles, effective practice, duty to report an adult at risk, receiving and responding to reports, enquiries, planning and undertaking safeguarding actions (Wales Safeguarding Procedures, 2019). </w:t>
            </w:r>
            <w:r w:rsidR="00466CB7" w:rsidRPr="00933991">
              <w:rPr>
                <w:sz w:val="24"/>
                <w:szCs w:val="24"/>
              </w:rPr>
              <w:t>Whilst determining if safeguarding duties were engaged it was important to consider the requirement of Sections 126 and 128 of the SSWBA 2014 and the guidance provided by the Wales Safeguarding Procedures</w:t>
            </w:r>
            <w:r w:rsidR="00FC70E5" w:rsidRPr="00933991">
              <w:rPr>
                <w:sz w:val="24"/>
                <w:szCs w:val="24"/>
              </w:rPr>
              <w:t xml:space="preserve"> 2019</w:t>
            </w:r>
            <w:r w:rsidR="00466CB7" w:rsidRPr="00933991">
              <w:rPr>
                <w:sz w:val="24"/>
                <w:szCs w:val="24"/>
              </w:rPr>
              <w:t xml:space="preserve"> and Working Together to Safeguard People</w:t>
            </w:r>
            <w:r w:rsidR="00FC70E5" w:rsidRPr="00933991">
              <w:rPr>
                <w:sz w:val="24"/>
                <w:szCs w:val="24"/>
              </w:rPr>
              <w:t xml:space="preserve"> 2022</w:t>
            </w:r>
            <w:r w:rsidR="00466CB7" w:rsidRPr="00933991">
              <w:rPr>
                <w:sz w:val="24"/>
                <w:szCs w:val="24"/>
              </w:rPr>
              <w:t>. In this instance the concerns were identified as potential neglect from 1 to 2 within his caring role for her. However, the framework for Safeguarding Procedures</w:t>
            </w:r>
            <w:r w:rsidR="00FC70E5" w:rsidRPr="00933991">
              <w:rPr>
                <w:sz w:val="24"/>
                <w:szCs w:val="24"/>
              </w:rPr>
              <w:t xml:space="preserve"> 2019,</w:t>
            </w:r>
            <w:r w:rsidR="00466CB7" w:rsidRPr="00933991">
              <w:rPr>
                <w:sz w:val="24"/>
                <w:szCs w:val="24"/>
              </w:rPr>
              <w:t xml:space="preserve"> highlights the importance of undertaking a holistic approach. It provides multi-agency framework for reporting, identifying and responding to adults at risk. It ensures that agencies work collaboratively to assess risk and share information appropriately whilst promoting outcomes that are person-centred. They emphasise that safeguarding should focus on both the individual’s well-being, wishes and protection from harm. As information continued to emerge regarding 1’s frailty and memory difficulties it increased his ability to carry out his caring role effectively, ensuring 2’s care and support needs were being met, and she was free from potential harm and or abuse. Although not directly involved in individual case management, policies and procedures from the Regional Safeguarding Board CWMPAS (Cwm Taf Morgannwg Safeguarding Board) also provide a framework for safeguarding. Their role is to monitor the effectiveness of safeguarding arrangements and </w:t>
            </w:r>
            <w:r w:rsidR="00466CB7" w:rsidRPr="00933991">
              <w:rPr>
                <w:sz w:val="24"/>
                <w:szCs w:val="24"/>
              </w:rPr>
              <w:lastRenderedPageBreak/>
              <w:t xml:space="preserve">coordinate this across partner agencies. Their policies and procedures inform local authorities safeguarding framework and practice and the responding of complex situations involving neglect and self-neglect. Welsh guidance on self-neglect recognises that individuals may place themselves at risk through the unwillingness or inability to care adequately for their own health, environment or well-being. As a result, social workers are required to adopt a rights-based approach ensuring they weigh up risk against the individual’s right to make decisions about their own life. Through doing this they explore capacity, preferences and views of the individual before decision the necessity of safeguarding intervention. </w:t>
            </w:r>
            <w:r w:rsidR="005A23A8" w:rsidRPr="00933991">
              <w:rPr>
                <w:sz w:val="24"/>
                <w:szCs w:val="24"/>
              </w:rPr>
              <w:t>Balancing safeguarding concerns with the rights and autonomy of 1 and 2 demonstrated the principles within COPP2 and promoting rights</w:t>
            </w:r>
            <w:r w:rsidR="00FC70E5" w:rsidRPr="00933991">
              <w:rPr>
                <w:sz w:val="24"/>
                <w:szCs w:val="24"/>
              </w:rPr>
              <w:t xml:space="preserve"> (Social Care Wales, 2016)</w:t>
            </w:r>
            <w:r w:rsidR="005A23A8" w:rsidRPr="00933991">
              <w:rPr>
                <w:sz w:val="24"/>
                <w:szCs w:val="24"/>
              </w:rPr>
              <w:t xml:space="preserve">. </w:t>
            </w:r>
          </w:p>
          <w:p w14:paraId="7C80B758" w14:textId="16010834" w:rsidR="00D0036D" w:rsidRPr="00933991" w:rsidRDefault="00236405" w:rsidP="00933991">
            <w:pPr>
              <w:spacing w:before="100" w:beforeAutospacing="1" w:after="100" w:afterAutospacing="1" w:line="360" w:lineRule="auto"/>
              <w:rPr>
                <w:sz w:val="24"/>
                <w:szCs w:val="24"/>
              </w:rPr>
            </w:pPr>
            <w:r w:rsidRPr="00933991">
              <w:rPr>
                <w:sz w:val="24"/>
                <w:szCs w:val="24"/>
              </w:rPr>
              <w:t xml:space="preserve">Despite the limitations I raised concerns to address and proceed with safeguarding interventions. </w:t>
            </w:r>
            <w:r w:rsidR="00D0036D" w:rsidRPr="00933991">
              <w:rPr>
                <w:sz w:val="24"/>
                <w:szCs w:val="24"/>
              </w:rPr>
              <w:t>At the start of my involved my professional judgement was that whilst 1 and 2 appeared unkempt, there was insufficient evidence to conclude that they were unable to meet their daily lives or experiencing neglect. They demonstrated their ability to rely on community resources, for example 1 expressed he no longer cooks and would take 2 to the local hospital for meals daily. But as further information referrals were received and more concerns raised by the blood centre regarding missed appointments and confusion, my assessment of risk began to change. Reports of railway incidents, 2 being found in another area of Wales lost and increasing confusion, suggested a pattern of deterioration within 1’s caring role for 2, rather than isolated incidents. Alongside this the difficulties gaining access and my limited ability to assess the situation directly increased my concerns that unmet needs and safeguarding risks may be present. Therefore, my professional judgment evolved from building rapport and monitoring concerns to the need for a safeguarding intervention to ensure that risks were assessed fully and support considered.</w:t>
            </w:r>
            <w:r w:rsidR="00C10B69" w:rsidRPr="00933991">
              <w:rPr>
                <w:sz w:val="24"/>
                <w:szCs w:val="24"/>
              </w:rPr>
              <w:t xml:space="preserve"> It had also been hard to identify what was important to 2, </w:t>
            </w:r>
            <w:r w:rsidR="00387A7D" w:rsidRPr="00933991">
              <w:rPr>
                <w:sz w:val="24"/>
                <w:szCs w:val="24"/>
              </w:rPr>
              <w:t xml:space="preserve">what she felt she required support with and if she would like further support rather than the reliance of her husband. </w:t>
            </w:r>
            <w:r w:rsidR="00880E18" w:rsidRPr="00933991">
              <w:rPr>
                <w:sz w:val="24"/>
                <w:szCs w:val="24"/>
              </w:rPr>
              <w:t>Recognising the indicators of potential neglect reflected my ability and responsibility to protect adults at risk in accordance with COPP4</w:t>
            </w:r>
            <w:r w:rsidR="00FC70E5" w:rsidRPr="00933991">
              <w:rPr>
                <w:sz w:val="24"/>
                <w:szCs w:val="24"/>
              </w:rPr>
              <w:t xml:space="preserve"> (Social Care Wales, 2016)</w:t>
            </w:r>
            <w:r w:rsidR="00880E18" w:rsidRPr="00933991">
              <w:rPr>
                <w:sz w:val="24"/>
                <w:szCs w:val="24"/>
              </w:rPr>
              <w:t xml:space="preserve">. </w:t>
            </w:r>
          </w:p>
          <w:p w14:paraId="23AC7A83" w14:textId="05BC71EE" w:rsidR="002A697B" w:rsidRPr="00933991" w:rsidRDefault="00236405" w:rsidP="00933991">
            <w:pPr>
              <w:spacing w:before="100" w:beforeAutospacing="1" w:after="100" w:afterAutospacing="1" w:line="360" w:lineRule="auto"/>
              <w:rPr>
                <w:sz w:val="24"/>
                <w:szCs w:val="24"/>
              </w:rPr>
            </w:pPr>
            <w:r w:rsidRPr="00933991">
              <w:rPr>
                <w:sz w:val="24"/>
                <w:szCs w:val="24"/>
              </w:rPr>
              <w:lastRenderedPageBreak/>
              <w:t>The situation escalated</w:t>
            </w:r>
            <w:r w:rsidR="00151617" w:rsidRPr="00933991">
              <w:rPr>
                <w:sz w:val="24"/>
                <w:szCs w:val="24"/>
              </w:rPr>
              <w:t xml:space="preserve"> and I needed to c</w:t>
            </w:r>
            <w:r w:rsidR="00FC70E5" w:rsidRPr="00933991">
              <w:rPr>
                <w:sz w:val="24"/>
                <w:szCs w:val="24"/>
              </w:rPr>
              <w:t>onsider the</w:t>
            </w:r>
            <w:r w:rsidR="00151617" w:rsidRPr="00933991">
              <w:rPr>
                <w:sz w:val="24"/>
                <w:szCs w:val="24"/>
              </w:rPr>
              <w:t xml:space="preserve"> crisis intervention theory. </w:t>
            </w:r>
            <w:r w:rsidR="00DA7A94" w:rsidRPr="00933991">
              <w:rPr>
                <w:sz w:val="24"/>
                <w:szCs w:val="24"/>
              </w:rPr>
              <w:t>Originally developed by Caplan (1964</w:t>
            </w:r>
            <w:r w:rsidR="00B519F5" w:rsidRPr="00933991">
              <w:rPr>
                <w:sz w:val="24"/>
                <w:szCs w:val="24"/>
              </w:rPr>
              <w:t>)</w:t>
            </w:r>
            <w:r w:rsidR="00DA7A94" w:rsidRPr="00933991">
              <w:rPr>
                <w:sz w:val="24"/>
                <w:szCs w:val="24"/>
              </w:rPr>
              <w:t xml:space="preserve">, Crisis Intervention Theory is a period of psychological disequilibrium resulting from an event or situation that exceeds an individual’s normal coping capacity. It is based on the idea that a significant crisis or stressful event may leave individuals unable to manage their situation effectively. Intervention is aimed at providing immediate support, restore ability to function, reduce distress and enhance coping skills. In this situation it was </w:t>
            </w:r>
            <w:r w:rsidR="00FC70E5" w:rsidRPr="00933991">
              <w:rPr>
                <w:sz w:val="24"/>
                <w:szCs w:val="24"/>
              </w:rPr>
              <w:t>considered d</w:t>
            </w:r>
            <w:r w:rsidR="00DA7A94" w:rsidRPr="00933991">
              <w:rPr>
                <w:sz w:val="24"/>
                <w:szCs w:val="24"/>
              </w:rPr>
              <w:t xml:space="preserve">ue to sudden bereavement, significant life transitions and safeguarding concerns due to 1’s unexpected death. I focused on immediate safety and looking at longer term support. </w:t>
            </w:r>
            <w:r w:rsidR="009C6ED1" w:rsidRPr="00933991">
              <w:rPr>
                <w:sz w:val="24"/>
                <w:szCs w:val="24"/>
              </w:rPr>
              <w:t xml:space="preserve">Information was shared by the Police, however in my view this was delayed as 2 was left without a carer and family provided immediate support. This highlighted the important of timely information sharing between agencies, especially when there are safeguarding risks. </w:t>
            </w:r>
            <w:r w:rsidR="00DB2245" w:rsidRPr="00933991">
              <w:rPr>
                <w:sz w:val="24"/>
                <w:szCs w:val="24"/>
              </w:rPr>
              <w:t xml:space="preserve">Poor multi-agency communication can lead to unsafe practice, missed opportunities to minimise risk and the inability to evidence decision-making. The important of information sharing has been addressed previously by the serious case review into the tragic death of Steven Hoskin. Steven was a man living with learning disabilities who was subjected to severe abuse prior to his death. The review demonstrated significant failings in inter-agency communication regarding safeguarding responses and taking timely protection action (Cornwall Adult Protection Committee, 2007). The serious case review didn’t directly create Welsh </w:t>
            </w:r>
            <w:r w:rsidR="00466CB7" w:rsidRPr="00933991">
              <w:rPr>
                <w:sz w:val="24"/>
                <w:szCs w:val="24"/>
              </w:rPr>
              <w:t>legislation,</w:t>
            </w:r>
            <w:r w:rsidR="00DB2245" w:rsidRPr="00933991">
              <w:rPr>
                <w:sz w:val="24"/>
                <w:szCs w:val="24"/>
              </w:rPr>
              <w:t xml:space="preserve"> but it did become one of the key cases that showcased the weakness in adult safeguarding across the UK, particularly around risk assessment, multi-agency working and information sharing. </w:t>
            </w:r>
          </w:p>
          <w:p w14:paraId="43BE64EF" w14:textId="06F17AC4" w:rsidR="00231275" w:rsidRPr="00933991" w:rsidRDefault="00B519F5" w:rsidP="00933991">
            <w:pPr>
              <w:spacing w:before="100" w:beforeAutospacing="1" w:after="100" w:afterAutospacing="1" w:line="360" w:lineRule="auto"/>
              <w:rPr>
                <w:sz w:val="24"/>
                <w:szCs w:val="24"/>
              </w:rPr>
            </w:pPr>
            <w:r w:rsidRPr="00933991">
              <w:rPr>
                <w:sz w:val="24"/>
                <w:szCs w:val="24"/>
              </w:rPr>
              <w:t>Following 1’s death, I ensured 2’s voice remained central to all decision-making, keeping within person-centred practice. I met with 2 in the presence of her family and with her verbal consent spoke about her feelings, wishes and preferred outcomes.</w:t>
            </w:r>
            <w:r w:rsidR="00BA5487" w:rsidRPr="00933991">
              <w:rPr>
                <w:sz w:val="24"/>
                <w:szCs w:val="24"/>
              </w:rPr>
              <w:t xml:space="preserve"> Her son and daughter in law travelled to Wales to support their mother and arrange things after their </w:t>
            </w:r>
            <w:r w:rsidR="00B515C0" w:rsidRPr="00933991">
              <w:rPr>
                <w:sz w:val="24"/>
                <w:szCs w:val="24"/>
              </w:rPr>
              <w:t>father’s</w:t>
            </w:r>
            <w:r w:rsidR="00BA5487" w:rsidRPr="00933991">
              <w:rPr>
                <w:sz w:val="24"/>
                <w:szCs w:val="24"/>
              </w:rPr>
              <w:t xml:space="preserve"> death. They liaised with their </w:t>
            </w:r>
            <w:r w:rsidR="00A21482" w:rsidRPr="00933991">
              <w:rPr>
                <w:sz w:val="24"/>
                <w:szCs w:val="24"/>
              </w:rPr>
              <w:t>ex-daughter</w:t>
            </w:r>
            <w:r w:rsidR="00B515C0" w:rsidRPr="00933991">
              <w:rPr>
                <w:sz w:val="24"/>
                <w:szCs w:val="24"/>
              </w:rPr>
              <w:t xml:space="preserve"> in law who immediately responded and assisted </w:t>
            </w:r>
            <w:r w:rsidR="00A21482" w:rsidRPr="00933991">
              <w:rPr>
                <w:sz w:val="24"/>
                <w:szCs w:val="24"/>
              </w:rPr>
              <w:t>2</w:t>
            </w:r>
            <w:r w:rsidR="00B515C0" w:rsidRPr="00933991">
              <w:rPr>
                <w:sz w:val="24"/>
                <w:szCs w:val="24"/>
              </w:rPr>
              <w:t xml:space="preserve"> to her home so she was not without care.</w:t>
            </w:r>
            <w:r w:rsidR="00A21482" w:rsidRPr="00933991">
              <w:rPr>
                <w:sz w:val="24"/>
                <w:szCs w:val="24"/>
              </w:rPr>
              <w:t xml:space="preserve"> The family were very upset with the living conditions within the property and appeared unhappy that there were no actions taken prior to 1 passing away. I explained the processes in detail, including the limitations and barriers I faced with 1 and how I had been actively working with the couple to build rapport.</w:t>
            </w:r>
            <w:r w:rsidR="00231275" w:rsidRPr="00933991">
              <w:rPr>
                <w:sz w:val="24"/>
                <w:szCs w:val="24"/>
              </w:rPr>
              <w:t xml:space="preserve"> This links </w:t>
            </w:r>
            <w:r w:rsidR="00231275" w:rsidRPr="00933991">
              <w:rPr>
                <w:sz w:val="24"/>
                <w:szCs w:val="24"/>
              </w:rPr>
              <w:lastRenderedPageBreak/>
              <w:t>in with COPP1 as I took accountability for my professional decision-making</w:t>
            </w:r>
            <w:r w:rsidR="00FC70E5" w:rsidRPr="00933991">
              <w:rPr>
                <w:sz w:val="24"/>
                <w:szCs w:val="24"/>
              </w:rPr>
              <w:t xml:space="preserve"> (Social Care Wales, 2016)</w:t>
            </w:r>
            <w:r w:rsidR="00231275" w:rsidRPr="00933991">
              <w:rPr>
                <w:sz w:val="24"/>
                <w:szCs w:val="24"/>
              </w:rPr>
              <w:t xml:space="preserve">. </w:t>
            </w:r>
          </w:p>
          <w:p w14:paraId="47214058" w14:textId="53FC520F" w:rsidR="008F373B" w:rsidRPr="00933991" w:rsidRDefault="00B519F5" w:rsidP="00933991">
            <w:pPr>
              <w:spacing w:line="360" w:lineRule="auto"/>
              <w:rPr>
                <w:sz w:val="24"/>
                <w:szCs w:val="24"/>
              </w:rPr>
            </w:pPr>
            <w:r w:rsidRPr="00933991">
              <w:rPr>
                <w:sz w:val="24"/>
                <w:szCs w:val="24"/>
              </w:rPr>
              <w:t xml:space="preserve">According to Rogers (1951), person-centred theory emphasises the important of respecting individuals, ensuring their autonomy and recognising them as the expert of their own life. This helped me to focus on 2’s current circumstances rather than making assumptions about her needs based solely on professional opinion. 2 was able to identify that she was unable to care for herself at home and expressed her wish to move into residential care. Her recognition that she required an increase of care and support following the loss of her husband did not make me doubt her capacity and ensured her feelings and wishes were listened to. I completed a comprehensive assessment and care and support plan, which identified her needs, desired outcomes and the support she required to maintain her wellbeing. In line with her expressed wishes I worked alongside the family to secure a residential placement within her local area, enabling her family to visit often and ensuring she would be within some familiar environment. This promoted 2’s choice, control and dignity during a time of significant change and vulnerability. </w:t>
            </w:r>
            <w:r w:rsidR="000916F9" w:rsidRPr="00933991">
              <w:rPr>
                <w:sz w:val="24"/>
                <w:szCs w:val="24"/>
              </w:rPr>
              <w:t>By seeking 2’s wishes regarding her future care and placement I demonstrated person-centred practice consistent with COPP2</w:t>
            </w:r>
            <w:r w:rsidR="00FC70E5" w:rsidRPr="00933991">
              <w:rPr>
                <w:sz w:val="24"/>
                <w:szCs w:val="24"/>
              </w:rPr>
              <w:t xml:space="preserve"> (Social Care Wales, 2016). </w:t>
            </w:r>
          </w:p>
          <w:p w14:paraId="47F21B6A" w14:textId="34420194" w:rsidR="007A628F" w:rsidRPr="008B28E7" w:rsidRDefault="008F373B" w:rsidP="00933991">
            <w:pPr>
              <w:spacing w:line="360" w:lineRule="auto"/>
              <w:rPr>
                <w:sz w:val="24"/>
                <w:szCs w:val="24"/>
              </w:rPr>
            </w:pPr>
            <w:r w:rsidRPr="00933991">
              <w:rPr>
                <w:sz w:val="24"/>
                <w:szCs w:val="24"/>
              </w:rPr>
              <w:t>Despite safeguarding concerns being raised the matter remained at case management and did not progress to strategy discussion. This decision reflected on my professional judgement and knowledge of the couple’s resistance of professional involvement. My assessment process recorded all actions, involvement and the use of collaborative working practice which I felt work</w:t>
            </w:r>
            <w:r w:rsidR="00FA58BC" w:rsidRPr="00933991">
              <w:rPr>
                <w:sz w:val="24"/>
                <w:szCs w:val="24"/>
              </w:rPr>
              <w:t xml:space="preserve">ed </w:t>
            </w:r>
            <w:r w:rsidRPr="00933991">
              <w:rPr>
                <w:sz w:val="24"/>
                <w:szCs w:val="24"/>
              </w:rPr>
              <w:t>well.</w:t>
            </w:r>
            <w:r w:rsidR="00885FCF" w:rsidRPr="00933991">
              <w:rPr>
                <w:sz w:val="24"/>
                <w:szCs w:val="24"/>
              </w:rPr>
              <w:t xml:space="preserve"> My decisions were informed by direct observations and information received from partner agencies. </w:t>
            </w:r>
            <w:r w:rsidR="00FA58BC" w:rsidRPr="00933991">
              <w:rPr>
                <w:sz w:val="24"/>
                <w:szCs w:val="24"/>
              </w:rPr>
              <w:t>I did disagree with the feedback from the GP and found their assessment relatively poor as they appeared to not look at the larger concerns surrounding 1</w:t>
            </w:r>
            <w:r w:rsidR="00885FCF" w:rsidRPr="00933991">
              <w:rPr>
                <w:sz w:val="24"/>
                <w:szCs w:val="24"/>
              </w:rPr>
              <w:t>, including environmental and carer strain</w:t>
            </w:r>
            <w:r w:rsidR="00FA58BC" w:rsidRPr="00933991">
              <w:rPr>
                <w:sz w:val="24"/>
                <w:szCs w:val="24"/>
              </w:rPr>
              <w:t>.</w:t>
            </w:r>
            <w:r w:rsidR="00F74754" w:rsidRPr="00933991">
              <w:rPr>
                <w:sz w:val="24"/>
                <w:szCs w:val="24"/>
              </w:rPr>
              <w:t xml:space="preserve"> The blood donation centre were more acceptable to listening to my concerns and </w:t>
            </w:r>
            <w:r w:rsidR="00725BC4" w:rsidRPr="00933991">
              <w:rPr>
                <w:sz w:val="24"/>
                <w:szCs w:val="24"/>
              </w:rPr>
              <w:t>continued to raise their own concerns over a period of time, enabling us to work together well.</w:t>
            </w:r>
            <w:r w:rsidR="00FA58BC" w:rsidRPr="00933991">
              <w:rPr>
                <w:sz w:val="24"/>
                <w:szCs w:val="24"/>
              </w:rPr>
              <w:t xml:space="preserve"> </w:t>
            </w:r>
            <w:r w:rsidRPr="00933991">
              <w:rPr>
                <w:sz w:val="24"/>
                <w:szCs w:val="24"/>
              </w:rPr>
              <w:t>However, my professional judgement changed when things began to escalate and therefore, I made the appropriate steps to escalate the situation. Should 2 have remained in the care of her husband</w:t>
            </w:r>
            <w:r w:rsidR="00725BC4" w:rsidRPr="00933991">
              <w:rPr>
                <w:sz w:val="24"/>
                <w:szCs w:val="24"/>
              </w:rPr>
              <w:t xml:space="preserve"> </w:t>
            </w:r>
            <w:r w:rsidRPr="00933991">
              <w:rPr>
                <w:sz w:val="24"/>
                <w:szCs w:val="24"/>
              </w:rPr>
              <w:t xml:space="preserve">the next steps would have been a strategy discussion. This would have involved the relevant agencies, for example blood donation centre, to share information and together we would </w:t>
            </w:r>
            <w:r w:rsidRPr="00933991">
              <w:rPr>
                <w:sz w:val="24"/>
                <w:szCs w:val="24"/>
              </w:rPr>
              <w:lastRenderedPageBreak/>
              <w:t>analyse risk. This discussion would determine whether Section 126 enquiry required and agree a coordinated safeguarding plan. It would have meant more involvement with the couple, which could have broken down my relationship I built. But based on the ongoing escalation of the situation I feel it would have been the appropriate steps.</w:t>
            </w:r>
          </w:p>
        </w:tc>
      </w:tr>
    </w:tbl>
    <w:p w14:paraId="3BE23FA3" w14:textId="77777777" w:rsidR="00DD31C5" w:rsidRDefault="00DD31C5" w:rsidP="00A40CAA">
      <w:pPr>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D7B16" w14:textId="77777777" w:rsidR="000B50BC" w:rsidRDefault="000B50BC">
      <w:r>
        <w:separator/>
      </w:r>
    </w:p>
  </w:endnote>
  <w:endnote w:type="continuationSeparator" w:id="0">
    <w:p w14:paraId="5E839AA8" w14:textId="77777777" w:rsidR="000B50BC" w:rsidRDefault="000B5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F3C64" w14:textId="77777777" w:rsidR="000B50BC" w:rsidRDefault="000B50BC">
      <w:r>
        <w:separator/>
      </w:r>
    </w:p>
  </w:footnote>
  <w:footnote w:type="continuationSeparator" w:id="0">
    <w:p w14:paraId="12159CAA" w14:textId="77777777" w:rsidR="000B50BC" w:rsidRDefault="000B5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BC6112"/>
    <w:multiLevelType w:val="hybridMultilevel"/>
    <w:tmpl w:val="75A25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0350799">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641"/>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60E"/>
    <w:rsid w:val="00057751"/>
    <w:rsid w:val="00062E39"/>
    <w:rsid w:val="00064063"/>
    <w:rsid w:val="0006581A"/>
    <w:rsid w:val="0006598F"/>
    <w:rsid w:val="00074461"/>
    <w:rsid w:val="000766EC"/>
    <w:rsid w:val="00080E58"/>
    <w:rsid w:val="00083D99"/>
    <w:rsid w:val="00084DA6"/>
    <w:rsid w:val="00085699"/>
    <w:rsid w:val="00090160"/>
    <w:rsid w:val="000916F9"/>
    <w:rsid w:val="00091F52"/>
    <w:rsid w:val="00092970"/>
    <w:rsid w:val="00093720"/>
    <w:rsid w:val="000938E6"/>
    <w:rsid w:val="00093B3C"/>
    <w:rsid w:val="0009488C"/>
    <w:rsid w:val="00095C1B"/>
    <w:rsid w:val="00096DEA"/>
    <w:rsid w:val="000A4240"/>
    <w:rsid w:val="000A469A"/>
    <w:rsid w:val="000A584A"/>
    <w:rsid w:val="000A6458"/>
    <w:rsid w:val="000B50BC"/>
    <w:rsid w:val="000C378F"/>
    <w:rsid w:val="000C6892"/>
    <w:rsid w:val="000C6FFE"/>
    <w:rsid w:val="000D0BB6"/>
    <w:rsid w:val="000D2ED2"/>
    <w:rsid w:val="000D6653"/>
    <w:rsid w:val="000E0D51"/>
    <w:rsid w:val="000E2254"/>
    <w:rsid w:val="000E26B0"/>
    <w:rsid w:val="000E37C2"/>
    <w:rsid w:val="000E38C3"/>
    <w:rsid w:val="000E3EB6"/>
    <w:rsid w:val="000F1599"/>
    <w:rsid w:val="000F1769"/>
    <w:rsid w:val="000F1A97"/>
    <w:rsid w:val="000F42AE"/>
    <w:rsid w:val="000F6196"/>
    <w:rsid w:val="000F6BC3"/>
    <w:rsid w:val="001011F5"/>
    <w:rsid w:val="0010312C"/>
    <w:rsid w:val="00105026"/>
    <w:rsid w:val="0010662B"/>
    <w:rsid w:val="00106DC7"/>
    <w:rsid w:val="0011148A"/>
    <w:rsid w:val="00112391"/>
    <w:rsid w:val="0011291F"/>
    <w:rsid w:val="00114F52"/>
    <w:rsid w:val="00130119"/>
    <w:rsid w:val="00132812"/>
    <w:rsid w:val="001347F8"/>
    <w:rsid w:val="001359EE"/>
    <w:rsid w:val="00137BB5"/>
    <w:rsid w:val="00137E05"/>
    <w:rsid w:val="001447F6"/>
    <w:rsid w:val="00147DE3"/>
    <w:rsid w:val="00150794"/>
    <w:rsid w:val="00151617"/>
    <w:rsid w:val="00151DA6"/>
    <w:rsid w:val="00154E64"/>
    <w:rsid w:val="001608C4"/>
    <w:rsid w:val="00163ACF"/>
    <w:rsid w:val="00164832"/>
    <w:rsid w:val="00167EFF"/>
    <w:rsid w:val="00171418"/>
    <w:rsid w:val="001772BF"/>
    <w:rsid w:val="001772DE"/>
    <w:rsid w:val="00192582"/>
    <w:rsid w:val="0019496C"/>
    <w:rsid w:val="001961C6"/>
    <w:rsid w:val="001961CF"/>
    <w:rsid w:val="001A59BB"/>
    <w:rsid w:val="001A607E"/>
    <w:rsid w:val="001A6A51"/>
    <w:rsid w:val="001A79C4"/>
    <w:rsid w:val="001B331A"/>
    <w:rsid w:val="001B75B6"/>
    <w:rsid w:val="001B7A7F"/>
    <w:rsid w:val="001C0237"/>
    <w:rsid w:val="001C0E74"/>
    <w:rsid w:val="001C0FB5"/>
    <w:rsid w:val="001C3E71"/>
    <w:rsid w:val="001C4DB8"/>
    <w:rsid w:val="001C50B8"/>
    <w:rsid w:val="001D229F"/>
    <w:rsid w:val="001E2EB6"/>
    <w:rsid w:val="001F4552"/>
    <w:rsid w:val="002019EB"/>
    <w:rsid w:val="00204265"/>
    <w:rsid w:val="00204B58"/>
    <w:rsid w:val="00205051"/>
    <w:rsid w:val="00211F65"/>
    <w:rsid w:val="00214047"/>
    <w:rsid w:val="00216563"/>
    <w:rsid w:val="0021792F"/>
    <w:rsid w:val="00220D06"/>
    <w:rsid w:val="002246A0"/>
    <w:rsid w:val="00225F84"/>
    <w:rsid w:val="00230439"/>
    <w:rsid w:val="00231275"/>
    <w:rsid w:val="00231CF8"/>
    <w:rsid w:val="00232A09"/>
    <w:rsid w:val="00235176"/>
    <w:rsid w:val="00236061"/>
    <w:rsid w:val="00236405"/>
    <w:rsid w:val="0024100E"/>
    <w:rsid w:val="00241C1B"/>
    <w:rsid w:val="0024288B"/>
    <w:rsid w:val="00243343"/>
    <w:rsid w:val="00243DB0"/>
    <w:rsid w:val="00247265"/>
    <w:rsid w:val="00260663"/>
    <w:rsid w:val="002657E9"/>
    <w:rsid w:val="0026665E"/>
    <w:rsid w:val="0027147E"/>
    <w:rsid w:val="00271A4F"/>
    <w:rsid w:val="002761F4"/>
    <w:rsid w:val="002775E1"/>
    <w:rsid w:val="00277979"/>
    <w:rsid w:val="00291ADD"/>
    <w:rsid w:val="002920DF"/>
    <w:rsid w:val="00292F3D"/>
    <w:rsid w:val="00295CA1"/>
    <w:rsid w:val="002A0E51"/>
    <w:rsid w:val="002A1A44"/>
    <w:rsid w:val="002A291A"/>
    <w:rsid w:val="002A2C54"/>
    <w:rsid w:val="002A4E2E"/>
    <w:rsid w:val="002A5604"/>
    <w:rsid w:val="002A697B"/>
    <w:rsid w:val="002B0495"/>
    <w:rsid w:val="002B1701"/>
    <w:rsid w:val="002B23C3"/>
    <w:rsid w:val="002B443A"/>
    <w:rsid w:val="002B5B35"/>
    <w:rsid w:val="002B7AEE"/>
    <w:rsid w:val="002C2536"/>
    <w:rsid w:val="002C256A"/>
    <w:rsid w:val="002C3031"/>
    <w:rsid w:val="002C4233"/>
    <w:rsid w:val="002C496D"/>
    <w:rsid w:val="002C5818"/>
    <w:rsid w:val="002C751F"/>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C45"/>
    <w:rsid w:val="00335C41"/>
    <w:rsid w:val="00335FC5"/>
    <w:rsid w:val="0033771E"/>
    <w:rsid w:val="00337FEF"/>
    <w:rsid w:val="0034162D"/>
    <w:rsid w:val="00354B6D"/>
    <w:rsid w:val="00355210"/>
    <w:rsid w:val="00355CFD"/>
    <w:rsid w:val="00365DF9"/>
    <w:rsid w:val="0037066E"/>
    <w:rsid w:val="00372DB4"/>
    <w:rsid w:val="00373A36"/>
    <w:rsid w:val="0037403D"/>
    <w:rsid w:val="0037419E"/>
    <w:rsid w:val="00375AF5"/>
    <w:rsid w:val="003761BD"/>
    <w:rsid w:val="00377448"/>
    <w:rsid w:val="00377884"/>
    <w:rsid w:val="003826BD"/>
    <w:rsid w:val="00385414"/>
    <w:rsid w:val="00387A7D"/>
    <w:rsid w:val="00390074"/>
    <w:rsid w:val="00392F73"/>
    <w:rsid w:val="00393600"/>
    <w:rsid w:val="00393D02"/>
    <w:rsid w:val="0039762B"/>
    <w:rsid w:val="003A0C37"/>
    <w:rsid w:val="003A1B6B"/>
    <w:rsid w:val="003A46C0"/>
    <w:rsid w:val="003A600E"/>
    <w:rsid w:val="003A6513"/>
    <w:rsid w:val="003B16C7"/>
    <w:rsid w:val="003B29BC"/>
    <w:rsid w:val="003B3115"/>
    <w:rsid w:val="003B6F5A"/>
    <w:rsid w:val="003C19F1"/>
    <w:rsid w:val="003C3C67"/>
    <w:rsid w:val="003C4186"/>
    <w:rsid w:val="003C6185"/>
    <w:rsid w:val="003D0D2D"/>
    <w:rsid w:val="003D1885"/>
    <w:rsid w:val="003D1BC0"/>
    <w:rsid w:val="003D20F1"/>
    <w:rsid w:val="003D4677"/>
    <w:rsid w:val="003D4710"/>
    <w:rsid w:val="003E01B9"/>
    <w:rsid w:val="003E16D7"/>
    <w:rsid w:val="003E197E"/>
    <w:rsid w:val="003E4B70"/>
    <w:rsid w:val="003E54CF"/>
    <w:rsid w:val="003E5FBA"/>
    <w:rsid w:val="003F1233"/>
    <w:rsid w:val="003F4A8F"/>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1D8A"/>
    <w:rsid w:val="00453343"/>
    <w:rsid w:val="004538C3"/>
    <w:rsid w:val="004608B9"/>
    <w:rsid w:val="00463B55"/>
    <w:rsid w:val="00465947"/>
    <w:rsid w:val="004667B1"/>
    <w:rsid w:val="00466CB7"/>
    <w:rsid w:val="00467F66"/>
    <w:rsid w:val="00470461"/>
    <w:rsid w:val="00470BB1"/>
    <w:rsid w:val="00473153"/>
    <w:rsid w:val="0047350F"/>
    <w:rsid w:val="004743AF"/>
    <w:rsid w:val="00477F2B"/>
    <w:rsid w:val="00480258"/>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3C54"/>
    <w:rsid w:val="004C531A"/>
    <w:rsid w:val="004D03C4"/>
    <w:rsid w:val="004D0BF1"/>
    <w:rsid w:val="004D0F4E"/>
    <w:rsid w:val="004D3278"/>
    <w:rsid w:val="004D35A4"/>
    <w:rsid w:val="004D445F"/>
    <w:rsid w:val="004D7303"/>
    <w:rsid w:val="004E087B"/>
    <w:rsid w:val="004E44A4"/>
    <w:rsid w:val="004E7B8B"/>
    <w:rsid w:val="004E7BDD"/>
    <w:rsid w:val="004F1966"/>
    <w:rsid w:val="004F1E21"/>
    <w:rsid w:val="004F2542"/>
    <w:rsid w:val="004F4E33"/>
    <w:rsid w:val="004F740D"/>
    <w:rsid w:val="004F7B8F"/>
    <w:rsid w:val="00500748"/>
    <w:rsid w:val="005011D6"/>
    <w:rsid w:val="00502A14"/>
    <w:rsid w:val="005038D5"/>
    <w:rsid w:val="005042F1"/>
    <w:rsid w:val="0050481B"/>
    <w:rsid w:val="005101E4"/>
    <w:rsid w:val="005108EB"/>
    <w:rsid w:val="00511024"/>
    <w:rsid w:val="005113D4"/>
    <w:rsid w:val="0051287D"/>
    <w:rsid w:val="00513C7D"/>
    <w:rsid w:val="00521123"/>
    <w:rsid w:val="00521221"/>
    <w:rsid w:val="0052250B"/>
    <w:rsid w:val="005305C6"/>
    <w:rsid w:val="00535B64"/>
    <w:rsid w:val="0053735B"/>
    <w:rsid w:val="00540EEC"/>
    <w:rsid w:val="005414F4"/>
    <w:rsid w:val="00546187"/>
    <w:rsid w:val="005479A8"/>
    <w:rsid w:val="00547B11"/>
    <w:rsid w:val="00550F8D"/>
    <w:rsid w:val="00557D77"/>
    <w:rsid w:val="005622BA"/>
    <w:rsid w:val="00562EAA"/>
    <w:rsid w:val="00563B58"/>
    <w:rsid w:val="005640C4"/>
    <w:rsid w:val="0056684C"/>
    <w:rsid w:val="00574A0C"/>
    <w:rsid w:val="0057780F"/>
    <w:rsid w:val="00581E0A"/>
    <w:rsid w:val="00586D89"/>
    <w:rsid w:val="00587383"/>
    <w:rsid w:val="005877C8"/>
    <w:rsid w:val="00587923"/>
    <w:rsid w:val="00593559"/>
    <w:rsid w:val="00594F9F"/>
    <w:rsid w:val="005A1B4C"/>
    <w:rsid w:val="005A23A8"/>
    <w:rsid w:val="005A545C"/>
    <w:rsid w:val="005B271A"/>
    <w:rsid w:val="005B3A2D"/>
    <w:rsid w:val="005C1567"/>
    <w:rsid w:val="005C28D3"/>
    <w:rsid w:val="005C6CE5"/>
    <w:rsid w:val="005D2786"/>
    <w:rsid w:val="005D3F07"/>
    <w:rsid w:val="005D4A1E"/>
    <w:rsid w:val="005D4F72"/>
    <w:rsid w:val="005E13EA"/>
    <w:rsid w:val="005E17F1"/>
    <w:rsid w:val="005E671A"/>
    <w:rsid w:val="005F64AA"/>
    <w:rsid w:val="005F7851"/>
    <w:rsid w:val="00606955"/>
    <w:rsid w:val="00606E27"/>
    <w:rsid w:val="006108C9"/>
    <w:rsid w:val="00614DF7"/>
    <w:rsid w:val="00615AE2"/>
    <w:rsid w:val="006179BB"/>
    <w:rsid w:val="0062158D"/>
    <w:rsid w:val="006223FD"/>
    <w:rsid w:val="006326D1"/>
    <w:rsid w:val="00632E0A"/>
    <w:rsid w:val="00633165"/>
    <w:rsid w:val="00634377"/>
    <w:rsid w:val="006447DE"/>
    <w:rsid w:val="00644889"/>
    <w:rsid w:val="0065276E"/>
    <w:rsid w:val="00654329"/>
    <w:rsid w:val="00654CEC"/>
    <w:rsid w:val="00655507"/>
    <w:rsid w:val="006579FD"/>
    <w:rsid w:val="006635E3"/>
    <w:rsid w:val="00664B89"/>
    <w:rsid w:val="006669F3"/>
    <w:rsid w:val="006712A7"/>
    <w:rsid w:val="00672CED"/>
    <w:rsid w:val="00674FC2"/>
    <w:rsid w:val="00676E35"/>
    <w:rsid w:val="00677E42"/>
    <w:rsid w:val="00682334"/>
    <w:rsid w:val="00684732"/>
    <w:rsid w:val="00684B16"/>
    <w:rsid w:val="00687016"/>
    <w:rsid w:val="006872A0"/>
    <w:rsid w:val="00693FA0"/>
    <w:rsid w:val="0069625A"/>
    <w:rsid w:val="00696A88"/>
    <w:rsid w:val="00696F65"/>
    <w:rsid w:val="00697572"/>
    <w:rsid w:val="006A7E86"/>
    <w:rsid w:val="006B05F0"/>
    <w:rsid w:val="006B433B"/>
    <w:rsid w:val="006B4496"/>
    <w:rsid w:val="006B5E67"/>
    <w:rsid w:val="006B6612"/>
    <w:rsid w:val="006C2058"/>
    <w:rsid w:val="006C2EB5"/>
    <w:rsid w:val="006D18A3"/>
    <w:rsid w:val="006D389A"/>
    <w:rsid w:val="006D5970"/>
    <w:rsid w:val="006E301E"/>
    <w:rsid w:val="006E481E"/>
    <w:rsid w:val="006E6A15"/>
    <w:rsid w:val="006E795F"/>
    <w:rsid w:val="006F0862"/>
    <w:rsid w:val="006F1438"/>
    <w:rsid w:val="006F2A9E"/>
    <w:rsid w:val="006F5ED3"/>
    <w:rsid w:val="00700249"/>
    <w:rsid w:val="007043CC"/>
    <w:rsid w:val="007069CD"/>
    <w:rsid w:val="00706BB5"/>
    <w:rsid w:val="0071231A"/>
    <w:rsid w:val="00712E90"/>
    <w:rsid w:val="00713B7E"/>
    <w:rsid w:val="00725BC4"/>
    <w:rsid w:val="00725FF0"/>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0A9"/>
    <w:rsid w:val="007710AD"/>
    <w:rsid w:val="00772924"/>
    <w:rsid w:val="0078112D"/>
    <w:rsid w:val="00785F3A"/>
    <w:rsid w:val="007872F2"/>
    <w:rsid w:val="007873F9"/>
    <w:rsid w:val="007908E0"/>
    <w:rsid w:val="00792CD8"/>
    <w:rsid w:val="00793EB3"/>
    <w:rsid w:val="00794205"/>
    <w:rsid w:val="0079422A"/>
    <w:rsid w:val="007A1F6A"/>
    <w:rsid w:val="007A628F"/>
    <w:rsid w:val="007B0DE3"/>
    <w:rsid w:val="007B1BFD"/>
    <w:rsid w:val="007B5744"/>
    <w:rsid w:val="007B7191"/>
    <w:rsid w:val="007C1D94"/>
    <w:rsid w:val="007C556F"/>
    <w:rsid w:val="007C5ABE"/>
    <w:rsid w:val="007C6A87"/>
    <w:rsid w:val="007D0A07"/>
    <w:rsid w:val="007D0F11"/>
    <w:rsid w:val="007D133D"/>
    <w:rsid w:val="007D3EB4"/>
    <w:rsid w:val="007D3F16"/>
    <w:rsid w:val="007D647F"/>
    <w:rsid w:val="007D6582"/>
    <w:rsid w:val="007D678D"/>
    <w:rsid w:val="007D7454"/>
    <w:rsid w:val="007E65E2"/>
    <w:rsid w:val="007F10BD"/>
    <w:rsid w:val="007F312E"/>
    <w:rsid w:val="007F3F7E"/>
    <w:rsid w:val="007F4BA4"/>
    <w:rsid w:val="00813A9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952"/>
    <w:rsid w:val="008340BA"/>
    <w:rsid w:val="00834F1D"/>
    <w:rsid w:val="00836FEC"/>
    <w:rsid w:val="00841F9D"/>
    <w:rsid w:val="008420E1"/>
    <w:rsid w:val="00844D98"/>
    <w:rsid w:val="00846D84"/>
    <w:rsid w:val="00850233"/>
    <w:rsid w:val="0085230E"/>
    <w:rsid w:val="008550A1"/>
    <w:rsid w:val="008574D8"/>
    <w:rsid w:val="00861038"/>
    <w:rsid w:val="00861A7C"/>
    <w:rsid w:val="00865B58"/>
    <w:rsid w:val="00866B50"/>
    <w:rsid w:val="00867A63"/>
    <w:rsid w:val="008708F1"/>
    <w:rsid w:val="00871960"/>
    <w:rsid w:val="00871F83"/>
    <w:rsid w:val="0087369F"/>
    <w:rsid w:val="00880539"/>
    <w:rsid w:val="00880E18"/>
    <w:rsid w:val="008859E8"/>
    <w:rsid w:val="00885FCF"/>
    <w:rsid w:val="00886586"/>
    <w:rsid w:val="0088737B"/>
    <w:rsid w:val="00891078"/>
    <w:rsid w:val="00892371"/>
    <w:rsid w:val="00892716"/>
    <w:rsid w:val="00893067"/>
    <w:rsid w:val="008933DE"/>
    <w:rsid w:val="00895FCE"/>
    <w:rsid w:val="00897F3E"/>
    <w:rsid w:val="008A21B4"/>
    <w:rsid w:val="008A44D6"/>
    <w:rsid w:val="008B07DE"/>
    <w:rsid w:val="008B1309"/>
    <w:rsid w:val="008B28E7"/>
    <w:rsid w:val="008B67F6"/>
    <w:rsid w:val="008B6F2A"/>
    <w:rsid w:val="008C14C7"/>
    <w:rsid w:val="008C2FFB"/>
    <w:rsid w:val="008C633F"/>
    <w:rsid w:val="008C6EEA"/>
    <w:rsid w:val="008C7770"/>
    <w:rsid w:val="008C79C7"/>
    <w:rsid w:val="008D03B0"/>
    <w:rsid w:val="008D2150"/>
    <w:rsid w:val="008D5813"/>
    <w:rsid w:val="008D5999"/>
    <w:rsid w:val="008D634E"/>
    <w:rsid w:val="008D778A"/>
    <w:rsid w:val="008D78C9"/>
    <w:rsid w:val="008E09ED"/>
    <w:rsid w:val="008E3195"/>
    <w:rsid w:val="008E5A35"/>
    <w:rsid w:val="008F127E"/>
    <w:rsid w:val="008F32D9"/>
    <w:rsid w:val="008F373B"/>
    <w:rsid w:val="00902A65"/>
    <w:rsid w:val="00903932"/>
    <w:rsid w:val="009079BD"/>
    <w:rsid w:val="00912BD9"/>
    <w:rsid w:val="00916FB2"/>
    <w:rsid w:val="00920E5B"/>
    <w:rsid w:val="00926436"/>
    <w:rsid w:val="00926C53"/>
    <w:rsid w:val="00927BB8"/>
    <w:rsid w:val="0093018C"/>
    <w:rsid w:val="00933991"/>
    <w:rsid w:val="00937514"/>
    <w:rsid w:val="0094495F"/>
    <w:rsid w:val="009456E9"/>
    <w:rsid w:val="009544C0"/>
    <w:rsid w:val="00954FA4"/>
    <w:rsid w:val="00956AE9"/>
    <w:rsid w:val="00964CC6"/>
    <w:rsid w:val="00967BFA"/>
    <w:rsid w:val="0098262C"/>
    <w:rsid w:val="0098427C"/>
    <w:rsid w:val="0098627E"/>
    <w:rsid w:val="00986B43"/>
    <w:rsid w:val="00986C0B"/>
    <w:rsid w:val="00986D46"/>
    <w:rsid w:val="00991FDA"/>
    <w:rsid w:val="00992ACA"/>
    <w:rsid w:val="009A14C8"/>
    <w:rsid w:val="009A5F3B"/>
    <w:rsid w:val="009A5F79"/>
    <w:rsid w:val="009A6F87"/>
    <w:rsid w:val="009B0B61"/>
    <w:rsid w:val="009B28C0"/>
    <w:rsid w:val="009B3178"/>
    <w:rsid w:val="009B3E46"/>
    <w:rsid w:val="009B7136"/>
    <w:rsid w:val="009C1D5A"/>
    <w:rsid w:val="009C2296"/>
    <w:rsid w:val="009C337F"/>
    <w:rsid w:val="009C4A4E"/>
    <w:rsid w:val="009C53E7"/>
    <w:rsid w:val="009C6092"/>
    <w:rsid w:val="009C6ED1"/>
    <w:rsid w:val="009C7342"/>
    <w:rsid w:val="009C7C71"/>
    <w:rsid w:val="009D4365"/>
    <w:rsid w:val="009D477B"/>
    <w:rsid w:val="009D4E3B"/>
    <w:rsid w:val="009D59C2"/>
    <w:rsid w:val="009D685A"/>
    <w:rsid w:val="009D7BC9"/>
    <w:rsid w:val="009E122F"/>
    <w:rsid w:val="009E1982"/>
    <w:rsid w:val="009E4D2C"/>
    <w:rsid w:val="009F0978"/>
    <w:rsid w:val="009F3AEC"/>
    <w:rsid w:val="009F6801"/>
    <w:rsid w:val="00A00081"/>
    <w:rsid w:val="00A06422"/>
    <w:rsid w:val="00A1080E"/>
    <w:rsid w:val="00A10D56"/>
    <w:rsid w:val="00A12AAE"/>
    <w:rsid w:val="00A12F22"/>
    <w:rsid w:val="00A16DD1"/>
    <w:rsid w:val="00A21482"/>
    <w:rsid w:val="00A22441"/>
    <w:rsid w:val="00A23F3B"/>
    <w:rsid w:val="00A24406"/>
    <w:rsid w:val="00A25F64"/>
    <w:rsid w:val="00A275F6"/>
    <w:rsid w:val="00A303B9"/>
    <w:rsid w:val="00A37416"/>
    <w:rsid w:val="00A40CAA"/>
    <w:rsid w:val="00A40ED6"/>
    <w:rsid w:val="00A44598"/>
    <w:rsid w:val="00A45AB9"/>
    <w:rsid w:val="00A47621"/>
    <w:rsid w:val="00A479CD"/>
    <w:rsid w:val="00A50CFC"/>
    <w:rsid w:val="00A54D67"/>
    <w:rsid w:val="00A55A3F"/>
    <w:rsid w:val="00A5656A"/>
    <w:rsid w:val="00A60103"/>
    <w:rsid w:val="00A64CDF"/>
    <w:rsid w:val="00A652F6"/>
    <w:rsid w:val="00A65861"/>
    <w:rsid w:val="00A732EA"/>
    <w:rsid w:val="00A7489E"/>
    <w:rsid w:val="00A7597F"/>
    <w:rsid w:val="00A76E7B"/>
    <w:rsid w:val="00A8015F"/>
    <w:rsid w:val="00A837F3"/>
    <w:rsid w:val="00A85039"/>
    <w:rsid w:val="00A906AA"/>
    <w:rsid w:val="00A94C5E"/>
    <w:rsid w:val="00A950BA"/>
    <w:rsid w:val="00AA252C"/>
    <w:rsid w:val="00AA666E"/>
    <w:rsid w:val="00AA7564"/>
    <w:rsid w:val="00AA7960"/>
    <w:rsid w:val="00AA7C1B"/>
    <w:rsid w:val="00AB5518"/>
    <w:rsid w:val="00AC3A0E"/>
    <w:rsid w:val="00AC4A04"/>
    <w:rsid w:val="00AC5679"/>
    <w:rsid w:val="00AD336F"/>
    <w:rsid w:val="00AE134C"/>
    <w:rsid w:val="00AE1868"/>
    <w:rsid w:val="00AE2564"/>
    <w:rsid w:val="00AE301F"/>
    <w:rsid w:val="00AE3302"/>
    <w:rsid w:val="00AE39CB"/>
    <w:rsid w:val="00AE5BA6"/>
    <w:rsid w:val="00AE6231"/>
    <w:rsid w:val="00AE7077"/>
    <w:rsid w:val="00AF0804"/>
    <w:rsid w:val="00AF61C2"/>
    <w:rsid w:val="00AF6CC6"/>
    <w:rsid w:val="00B0225F"/>
    <w:rsid w:val="00B0296A"/>
    <w:rsid w:val="00B037B0"/>
    <w:rsid w:val="00B04B1E"/>
    <w:rsid w:val="00B05E7B"/>
    <w:rsid w:val="00B07E79"/>
    <w:rsid w:val="00B12295"/>
    <w:rsid w:val="00B130B4"/>
    <w:rsid w:val="00B137BE"/>
    <w:rsid w:val="00B15998"/>
    <w:rsid w:val="00B17FA0"/>
    <w:rsid w:val="00B2292C"/>
    <w:rsid w:val="00B22C3C"/>
    <w:rsid w:val="00B24344"/>
    <w:rsid w:val="00B26769"/>
    <w:rsid w:val="00B2754B"/>
    <w:rsid w:val="00B31C91"/>
    <w:rsid w:val="00B3747F"/>
    <w:rsid w:val="00B4289C"/>
    <w:rsid w:val="00B42E76"/>
    <w:rsid w:val="00B43194"/>
    <w:rsid w:val="00B436BF"/>
    <w:rsid w:val="00B47734"/>
    <w:rsid w:val="00B50FBA"/>
    <w:rsid w:val="00B515C0"/>
    <w:rsid w:val="00B519F5"/>
    <w:rsid w:val="00B558EB"/>
    <w:rsid w:val="00B577D3"/>
    <w:rsid w:val="00B60466"/>
    <w:rsid w:val="00B6548F"/>
    <w:rsid w:val="00B71A32"/>
    <w:rsid w:val="00B73067"/>
    <w:rsid w:val="00B7502A"/>
    <w:rsid w:val="00B77305"/>
    <w:rsid w:val="00B774BD"/>
    <w:rsid w:val="00B8035F"/>
    <w:rsid w:val="00B82CC2"/>
    <w:rsid w:val="00B84A89"/>
    <w:rsid w:val="00B84FBC"/>
    <w:rsid w:val="00B90975"/>
    <w:rsid w:val="00B9256C"/>
    <w:rsid w:val="00B92BEF"/>
    <w:rsid w:val="00B94443"/>
    <w:rsid w:val="00B9689A"/>
    <w:rsid w:val="00B97056"/>
    <w:rsid w:val="00BA531E"/>
    <w:rsid w:val="00BA5487"/>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3AD"/>
    <w:rsid w:val="00BD30B1"/>
    <w:rsid w:val="00BE0F7B"/>
    <w:rsid w:val="00BE10C2"/>
    <w:rsid w:val="00BF0128"/>
    <w:rsid w:val="00BF0D6C"/>
    <w:rsid w:val="00BF12C6"/>
    <w:rsid w:val="00C011C4"/>
    <w:rsid w:val="00C01D14"/>
    <w:rsid w:val="00C01D97"/>
    <w:rsid w:val="00C025B4"/>
    <w:rsid w:val="00C029EC"/>
    <w:rsid w:val="00C10B6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3DA5"/>
    <w:rsid w:val="00C6441B"/>
    <w:rsid w:val="00C65921"/>
    <w:rsid w:val="00C7108B"/>
    <w:rsid w:val="00C75883"/>
    <w:rsid w:val="00C77FA5"/>
    <w:rsid w:val="00C8089F"/>
    <w:rsid w:val="00C835FE"/>
    <w:rsid w:val="00C836CC"/>
    <w:rsid w:val="00C852D6"/>
    <w:rsid w:val="00C87A74"/>
    <w:rsid w:val="00C90EC6"/>
    <w:rsid w:val="00C92C71"/>
    <w:rsid w:val="00C93F8F"/>
    <w:rsid w:val="00CA0894"/>
    <w:rsid w:val="00CA3593"/>
    <w:rsid w:val="00CA5726"/>
    <w:rsid w:val="00CA7E6A"/>
    <w:rsid w:val="00CB05A8"/>
    <w:rsid w:val="00CB258E"/>
    <w:rsid w:val="00CB3C8F"/>
    <w:rsid w:val="00CB70C8"/>
    <w:rsid w:val="00CC02F1"/>
    <w:rsid w:val="00CC1122"/>
    <w:rsid w:val="00CC11A6"/>
    <w:rsid w:val="00CC135E"/>
    <w:rsid w:val="00CC7226"/>
    <w:rsid w:val="00CC76C2"/>
    <w:rsid w:val="00CD0735"/>
    <w:rsid w:val="00CD45E3"/>
    <w:rsid w:val="00CD4771"/>
    <w:rsid w:val="00CD5089"/>
    <w:rsid w:val="00CD5D3F"/>
    <w:rsid w:val="00CD6313"/>
    <w:rsid w:val="00CD64FA"/>
    <w:rsid w:val="00CD7E1F"/>
    <w:rsid w:val="00CE4BC4"/>
    <w:rsid w:val="00CE7DA2"/>
    <w:rsid w:val="00CF2F8A"/>
    <w:rsid w:val="00CF3DB3"/>
    <w:rsid w:val="00D0036D"/>
    <w:rsid w:val="00D0274B"/>
    <w:rsid w:val="00D03DB5"/>
    <w:rsid w:val="00D0503D"/>
    <w:rsid w:val="00D052BC"/>
    <w:rsid w:val="00D07026"/>
    <w:rsid w:val="00D146AE"/>
    <w:rsid w:val="00D22C8F"/>
    <w:rsid w:val="00D3203C"/>
    <w:rsid w:val="00D33491"/>
    <w:rsid w:val="00D3442D"/>
    <w:rsid w:val="00D36F00"/>
    <w:rsid w:val="00D3767E"/>
    <w:rsid w:val="00D44A73"/>
    <w:rsid w:val="00D44B67"/>
    <w:rsid w:val="00D44F8E"/>
    <w:rsid w:val="00D51FD5"/>
    <w:rsid w:val="00D55DE0"/>
    <w:rsid w:val="00D607EF"/>
    <w:rsid w:val="00D60F88"/>
    <w:rsid w:val="00D646BD"/>
    <w:rsid w:val="00D65558"/>
    <w:rsid w:val="00D71201"/>
    <w:rsid w:val="00D720C7"/>
    <w:rsid w:val="00D77936"/>
    <w:rsid w:val="00D84841"/>
    <w:rsid w:val="00D876E6"/>
    <w:rsid w:val="00D90958"/>
    <w:rsid w:val="00D94E2B"/>
    <w:rsid w:val="00D96FD3"/>
    <w:rsid w:val="00DA1025"/>
    <w:rsid w:val="00DA22EC"/>
    <w:rsid w:val="00DA5682"/>
    <w:rsid w:val="00DA5860"/>
    <w:rsid w:val="00DA5C0C"/>
    <w:rsid w:val="00DA6DEE"/>
    <w:rsid w:val="00DA7A94"/>
    <w:rsid w:val="00DB2245"/>
    <w:rsid w:val="00DB2767"/>
    <w:rsid w:val="00DC1B10"/>
    <w:rsid w:val="00DC2924"/>
    <w:rsid w:val="00DC4729"/>
    <w:rsid w:val="00DD31C5"/>
    <w:rsid w:val="00DD5020"/>
    <w:rsid w:val="00DD63BE"/>
    <w:rsid w:val="00DE3099"/>
    <w:rsid w:val="00DE4296"/>
    <w:rsid w:val="00DF19FC"/>
    <w:rsid w:val="00DF2469"/>
    <w:rsid w:val="00DF385A"/>
    <w:rsid w:val="00DF54FC"/>
    <w:rsid w:val="00DF7899"/>
    <w:rsid w:val="00E0340B"/>
    <w:rsid w:val="00E0524C"/>
    <w:rsid w:val="00E138EC"/>
    <w:rsid w:val="00E15751"/>
    <w:rsid w:val="00E17160"/>
    <w:rsid w:val="00E17D41"/>
    <w:rsid w:val="00E231D1"/>
    <w:rsid w:val="00E31955"/>
    <w:rsid w:val="00E3288D"/>
    <w:rsid w:val="00E33C3D"/>
    <w:rsid w:val="00E35112"/>
    <w:rsid w:val="00E35BEC"/>
    <w:rsid w:val="00E41A6A"/>
    <w:rsid w:val="00E50821"/>
    <w:rsid w:val="00E51F91"/>
    <w:rsid w:val="00E5498A"/>
    <w:rsid w:val="00E559CE"/>
    <w:rsid w:val="00E60F42"/>
    <w:rsid w:val="00E6202C"/>
    <w:rsid w:val="00E6746C"/>
    <w:rsid w:val="00E7086E"/>
    <w:rsid w:val="00E71248"/>
    <w:rsid w:val="00E73C41"/>
    <w:rsid w:val="00E75911"/>
    <w:rsid w:val="00E7598F"/>
    <w:rsid w:val="00E76F60"/>
    <w:rsid w:val="00E812B5"/>
    <w:rsid w:val="00E83073"/>
    <w:rsid w:val="00E83D90"/>
    <w:rsid w:val="00E83F91"/>
    <w:rsid w:val="00E86299"/>
    <w:rsid w:val="00E9107A"/>
    <w:rsid w:val="00E91F62"/>
    <w:rsid w:val="00E929FD"/>
    <w:rsid w:val="00E93240"/>
    <w:rsid w:val="00E9479B"/>
    <w:rsid w:val="00E94E22"/>
    <w:rsid w:val="00E95F08"/>
    <w:rsid w:val="00E97171"/>
    <w:rsid w:val="00E97438"/>
    <w:rsid w:val="00EA4D48"/>
    <w:rsid w:val="00EA7ADF"/>
    <w:rsid w:val="00EB2173"/>
    <w:rsid w:val="00EB62E6"/>
    <w:rsid w:val="00EB695F"/>
    <w:rsid w:val="00EC0857"/>
    <w:rsid w:val="00EC1FE9"/>
    <w:rsid w:val="00EC3A85"/>
    <w:rsid w:val="00EC4B89"/>
    <w:rsid w:val="00EC59A5"/>
    <w:rsid w:val="00EC6E15"/>
    <w:rsid w:val="00ED1B30"/>
    <w:rsid w:val="00ED5D03"/>
    <w:rsid w:val="00EE01ED"/>
    <w:rsid w:val="00EE1AC1"/>
    <w:rsid w:val="00EE39D6"/>
    <w:rsid w:val="00EE52AD"/>
    <w:rsid w:val="00EE5BC3"/>
    <w:rsid w:val="00EE6FAB"/>
    <w:rsid w:val="00EF328C"/>
    <w:rsid w:val="00EF5519"/>
    <w:rsid w:val="00EF68BB"/>
    <w:rsid w:val="00F01F92"/>
    <w:rsid w:val="00F030D4"/>
    <w:rsid w:val="00F04053"/>
    <w:rsid w:val="00F06573"/>
    <w:rsid w:val="00F10A08"/>
    <w:rsid w:val="00F15354"/>
    <w:rsid w:val="00F216A1"/>
    <w:rsid w:val="00F22AC5"/>
    <w:rsid w:val="00F2440B"/>
    <w:rsid w:val="00F254D1"/>
    <w:rsid w:val="00F32B82"/>
    <w:rsid w:val="00F34C86"/>
    <w:rsid w:val="00F4043E"/>
    <w:rsid w:val="00F4122B"/>
    <w:rsid w:val="00F41795"/>
    <w:rsid w:val="00F41BBC"/>
    <w:rsid w:val="00F444F0"/>
    <w:rsid w:val="00F446FF"/>
    <w:rsid w:val="00F45521"/>
    <w:rsid w:val="00F50847"/>
    <w:rsid w:val="00F50FD7"/>
    <w:rsid w:val="00F53F27"/>
    <w:rsid w:val="00F546D1"/>
    <w:rsid w:val="00F60281"/>
    <w:rsid w:val="00F60CD6"/>
    <w:rsid w:val="00F66272"/>
    <w:rsid w:val="00F709C0"/>
    <w:rsid w:val="00F74754"/>
    <w:rsid w:val="00F81FEC"/>
    <w:rsid w:val="00F927A1"/>
    <w:rsid w:val="00F92E4D"/>
    <w:rsid w:val="00F95D08"/>
    <w:rsid w:val="00FA23BD"/>
    <w:rsid w:val="00FA3764"/>
    <w:rsid w:val="00FA41C7"/>
    <w:rsid w:val="00FA4A79"/>
    <w:rsid w:val="00FA56ED"/>
    <w:rsid w:val="00FA58BC"/>
    <w:rsid w:val="00FB002C"/>
    <w:rsid w:val="00FB05DD"/>
    <w:rsid w:val="00FB0F7C"/>
    <w:rsid w:val="00FB24EA"/>
    <w:rsid w:val="00FB5FA6"/>
    <w:rsid w:val="00FC0334"/>
    <w:rsid w:val="00FC1310"/>
    <w:rsid w:val="00FC2FF3"/>
    <w:rsid w:val="00FC3263"/>
    <w:rsid w:val="00FC51F9"/>
    <w:rsid w:val="00FC5B40"/>
    <w:rsid w:val="00FC5FF8"/>
    <w:rsid w:val="00FC70E5"/>
    <w:rsid w:val="00FD271B"/>
    <w:rsid w:val="00FD3D7C"/>
    <w:rsid w:val="00FD4F8F"/>
    <w:rsid w:val="00FE0C16"/>
    <w:rsid w:val="00FE14B1"/>
    <w:rsid w:val="00FE4D97"/>
    <w:rsid w:val="00FE5F90"/>
    <w:rsid w:val="00FF0070"/>
    <w:rsid w:val="00FF07C3"/>
    <w:rsid w:val="00FF3866"/>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477F2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477F2B"/>
  </w:style>
  <w:style w:type="character" w:customStyle="1" w:styleId="eop">
    <w:name w:val="eop"/>
    <w:basedOn w:val="DefaultParagraphFont"/>
    <w:rsid w:val="00477F2B"/>
  </w:style>
  <w:style w:type="character" w:styleId="UnresolvedMention">
    <w:name w:val="Unresolved Mention"/>
    <w:basedOn w:val="DefaultParagraphFont"/>
    <w:uiPriority w:val="99"/>
    <w:semiHidden/>
    <w:unhideWhenUsed/>
    <w:rsid w:val="00F2440B"/>
    <w:rPr>
      <w:color w:val="605E5C"/>
      <w:shd w:val="clear" w:color="auto" w:fill="E1DFDD"/>
    </w:rPr>
  </w:style>
  <w:style w:type="paragraph" w:styleId="NormalWeb">
    <w:name w:val="Normal (Web)"/>
    <w:basedOn w:val="Normal"/>
    <w:uiPriority w:val="99"/>
    <w:unhideWhenUsed/>
    <w:rsid w:val="0093751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B4289C"/>
    <w:pPr>
      <w:ind w:left="720"/>
      <w:contextualSpacing/>
    </w:pPr>
  </w:style>
  <w:style w:type="character" w:styleId="Emphasis">
    <w:name w:val="Emphasis"/>
    <w:basedOn w:val="DefaultParagraphFont"/>
    <w:uiPriority w:val="20"/>
    <w:qFormat/>
    <w:rsid w:val="008A44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0BD72EACEB3754D9FB1B5DC51A9B9D8" ma:contentTypeVersion="18" ma:contentTypeDescription="Create a new document." ma:contentTypeScope="" ma:versionID="2f9ff2f5835669395e0b80c18a772fbe">
  <xsd:schema xmlns:xsd="http://www.w3.org/2001/XMLSchema" xmlns:xs="http://www.w3.org/2001/XMLSchema" xmlns:p="http://schemas.microsoft.com/office/2006/metadata/properties" xmlns:ns3="13044e63-9732-4608-ba57-f3a489495ed6" xmlns:ns4="a2671adb-b15c-4e6a-998a-716c9fd0a694" targetNamespace="http://schemas.microsoft.com/office/2006/metadata/properties" ma:root="true" ma:fieldsID="73c64e7f347ba8bfd7d2686b7915d362" ns3:_="" ns4:_="">
    <xsd:import namespace="13044e63-9732-4608-ba57-f3a489495ed6"/>
    <xsd:import namespace="a2671adb-b15c-4e6a-998a-716c9fd0a6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Location" minOccurs="0"/>
                <xsd:element ref="ns3:MediaServiceOCR" minOccurs="0"/>
                <xsd:element ref="ns3:MediaServiceGenerationTime" minOccurs="0"/>
                <xsd:element ref="ns3:MediaServiceEventHashCode"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044e63-9732-4608-ba57-f3a489495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671adb-b15c-4e6a-998a-716c9fd0a69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3044e63-9732-4608-ba57-f3a489495ed6" xsi:nil="true"/>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868A73B8-7658-48FF-926C-2B0F08D34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044e63-9732-4608-ba57-f3a489495ed6"/>
    <ds:schemaRef ds:uri="a2671adb-b15c-4e6a-998a-716c9fd0a6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630BCA-0497-4D85-96DB-FEF0DAD82ED9}">
  <ds:schemaRefs>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purl.org/dc/terms/"/>
    <ds:schemaRef ds:uri="http://www.w3.org/XML/1998/namespace"/>
    <ds:schemaRef ds:uri="13044e63-9732-4608-ba57-f3a489495ed6"/>
    <ds:schemaRef ds:uri="http://schemas.microsoft.com/office/infopath/2007/PartnerControls"/>
    <ds:schemaRef ds:uri="a2671adb-b15c-4e6a-998a-716c9fd0a694"/>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4377</Words>
  <Characters>24952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Williams</cp:lastModifiedBy>
  <cp:revision>4</cp:revision>
  <cp:lastPrinted>2020-02-11T19:20:00Z</cp:lastPrinted>
  <dcterms:created xsi:type="dcterms:W3CDTF">2026-10-01T10:27:00Z</dcterms:created>
  <dcterms:modified xsi:type="dcterms:W3CDTF">2026-10-01T15:45:00Z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0x01010090BD72EACEB3754D9FB1B5DC51A9B9D8</vt:lpwstr>
  </property>
</Properties>
</file>