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12C8A6" w14:textId="6EC9BE8E" w:rsidR="00061F15" w:rsidRDefault="00FA776B" w:rsidP="00FA776B">
      <w:pPr>
        <w:jc w:val="center"/>
        <w:rPr>
          <w:rFonts w:ascii="Times New Roman" w:hAnsi="Times New Roman" w:cs="Times New Roman"/>
          <w:b/>
          <w:bCs/>
        </w:rPr>
      </w:pPr>
      <w:r>
        <w:rPr>
          <w:rFonts w:ascii="Times New Roman" w:hAnsi="Times New Roman" w:cs="Times New Roman"/>
          <w:b/>
          <w:bCs/>
        </w:rPr>
        <w:t xml:space="preserve">Ancient Lives in Death: </w:t>
      </w:r>
      <w:r w:rsidR="00462625" w:rsidRPr="00462625">
        <w:rPr>
          <w:rFonts w:ascii="Times New Roman" w:hAnsi="Times New Roman" w:cs="Times New Roman"/>
          <w:b/>
          <w:bCs/>
        </w:rPr>
        <w:t xml:space="preserve">The </w:t>
      </w:r>
      <w:r>
        <w:rPr>
          <w:rFonts w:ascii="Times New Roman" w:hAnsi="Times New Roman" w:cs="Times New Roman"/>
          <w:b/>
          <w:bCs/>
        </w:rPr>
        <w:t>M</w:t>
      </w:r>
      <w:r w:rsidR="00462625" w:rsidRPr="00462625">
        <w:rPr>
          <w:rFonts w:ascii="Times New Roman" w:hAnsi="Times New Roman" w:cs="Times New Roman"/>
          <w:b/>
          <w:bCs/>
        </w:rPr>
        <w:t xml:space="preserve">aterial </w:t>
      </w:r>
      <w:r>
        <w:rPr>
          <w:rFonts w:ascii="Times New Roman" w:hAnsi="Times New Roman" w:cs="Times New Roman"/>
          <w:b/>
          <w:bCs/>
        </w:rPr>
        <w:t>C</w:t>
      </w:r>
      <w:r w:rsidR="00462625" w:rsidRPr="00462625">
        <w:rPr>
          <w:rFonts w:ascii="Times New Roman" w:hAnsi="Times New Roman" w:cs="Times New Roman"/>
          <w:b/>
          <w:bCs/>
        </w:rPr>
        <w:t xml:space="preserve">ulture of </w:t>
      </w:r>
      <w:r>
        <w:rPr>
          <w:rFonts w:ascii="Times New Roman" w:hAnsi="Times New Roman" w:cs="Times New Roman"/>
          <w:b/>
          <w:bCs/>
        </w:rPr>
        <w:t>Death – Laura Singleton</w:t>
      </w:r>
    </w:p>
    <w:p w14:paraId="584B2B47" w14:textId="1932F625" w:rsidR="000C5BCB" w:rsidRDefault="000C5BCB">
      <w:pPr>
        <w:rPr>
          <w:rFonts w:ascii="Times New Roman" w:hAnsi="Times New Roman" w:cs="Times New Roman"/>
          <w:b/>
          <w:bCs/>
        </w:rPr>
      </w:pPr>
      <w:r>
        <w:rPr>
          <w:rFonts w:ascii="Times New Roman" w:hAnsi="Times New Roman" w:cs="Times New Roman"/>
          <w:b/>
          <w:bCs/>
        </w:rPr>
        <w:t>Introduction:</w:t>
      </w:r>
    </w:p>
    <w:p w14:paraId="54EB50F0" w14:textId="49C53AE5" w:rsidR="000C5BCB" w:rsidRPr="00C31EC3" w:rsidRDefault="00A1596B" w:rsidP="00DF27FF">
      <w:pPr>
        <w:ind w:firstLine="720"/>
        <w:rPr>
          <w:rFonts w:ascii="Times New Roman" w:hAnsi="Times New Roman" w:cs="Times New Roman"/>
        </w:rPr>
      </w:pPr>
      <w:r>
        <w:rPr>
          <w:rFonts w:ascii="Times New Roman" w:hAnsi="Times New Roman" w:cs="Times New Roman"/>
        </w:rPr>
        <w:t>Tomb TT</w:t>
      </w:r>
      <w:r w:rsidR="00312807">
        <w:rPr>
          <w:rFonts w:ascii="Times New Roman" w:hAnsi="Times New Roman" w:cs="Times New Roman"/>
        </w:rPr>
        <w:t xml:space="preserve">99 is a key example of what the tombs of the deceased can tell us about their lives and their expectations of what comes after death. </w:t>
      </w:r>
      <w:r w:rsidR="008D1CD9">
        <w:rPr>
          <w:rFonts w:ascii="Times New Roman" w:hAnsi="Times New Roman" w:cs="Times New Roman"/>
        </w:rPr>
        <w:t xml:space="preserve">Senneferi, the resident of this tomb, shows us about the lives of those </w:t>
      </w:r>
      <w:r w:rsidR="00E060B0">
        <w:rPr>
          <w:rFonts w:ascii="Times New Roman" w:hAnsi="Times New Roman" w:cs="Times New Roman"/>
        </w:rPr>
        <w:t>during his time</w:t>
      </w:r>
      <w:r w:rsidR="00C31EC3">
        <w:rPr>
          <w:rFonts w:ascii="Times New Roman" w:hAnsi="Times New Roman" w:cs="Times New Roman"/>
        </w:rPr>
        <w:t xml:space="preserve"> through the architecture of his tomb and the objects that are found within.</w:t>
      </w:r>
    </w:p>
    <w:p w14:paraId="7D97EEF1" w14:textId="43E9601E" w:rsidR="006A26C0" w:rsidRDefault="00EC5A51">
      <w:pPr>
        <w:rPr>
          <w:rFonts w:ascii="Times New Roman" w:hAnsi="Times New Roman" w:cs="Times New Roman"/>
          <w:b/>
          <w:bCs/>
        </w:rPr>
      </w:pPr>
      <w:r>
        <w:rPr>
          <w:rFonts w:ascii="Times New Roman" w:hAnsi="Times New Roman" w:cs="Times New Roman"/>
          <w:b/>
          <w:bCs/>
        </w:rPr>
        <w:t>The Tomb and its finds:</w:t>
      </w:r>
    </w:p>
    <w:p w14:paraId="47AD3EDD" w14:textId="2407D646" w:rsidR="00341D9B" w:rsidRPr="00341D9B" w:rsidRDefault="00493563" w:rsidP="00DF27FF">
      <w:pPr>
        <w:ind w:firstLine="720"/>
        <w:rPr>
          <w:rFonts w:ascii="Times New Roman" w:hAnsi="Times New Roman" w:cs="Times New Roman"/>
        </w:rPr>
      </w:pPr>
      <w:r>
        <w:rPr>
          <w:rFonts w:ascii="Times New Roman" w:hAnsi="Times New Roman" w:cs="Times New Roman"/>
          <w:b/>
          <w:bCs/>
          <w:noProof/>
        </w:rPr>
        <w:drawing>
          <wp:anchor distT="0" distB="0" distL="114300" distR="114300" simplePos="0" relativeHeight="251658240" behindDoc="0" locked="0" layoutInCell="1" allowOverlap="1" wp14:anchorId="0B844EDD" wp14:editId="5F9BFEF1">
            <wp:simplePos x="0" y="0"/>
            <wp:positionH relativeFrom="margin">
              <wp:posOffset>15240</wp:posOffset>
            </wp:positionH>
            <wp:positionV relativeFrom="paragraph">
              <wp:posOffset>1224280</wp:posOffset>
            </wp:positionV>
            <wp:extent cx="1482090" cy="2964180"/>
            <wp:effectExtent l="0" t="0" r="3810" b="7620"/>
            <wp:wrapSquare wrapText="bothSides"/>
            <wp:docPr id="1230940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940997" name="Picture 1230940997"/>
                    <pic:cNvPicPr/>
                  </pic:nvPicPr>
                  <pic:blipFill>
                    <a:blip r:embed="rId9">
                      <a:extLst>
                        <a:ext uri="{28A0092B-C50C-407E-A947-70E740481C1C}">
                          <a14:useLocalDpi xmlns:a14="http://schemas.microsoft.com/office/drawing/2010/main" val="0"/>
                        </a:ext>
                      </a:extLst>
                    </a:blip>
                    <a:stretch>
                      <a:fillRect/>
                    </a:stretch>
                  </pic:blipFill>
                  <pic:spPr>
                    <a:xfrm>
                      <a:off x="0" y="0"/>
                      <a:ext cx="1482090" cy="2964180"/>
                    </a:xfrm>
                    <a:prstGeom prst="rect">
                      <a:avLst/>
                    </a:prstGeom>
                  </pic:spPr>
                </pic:pic>
              </a:graphicData>
            </a:graphic>
            <wp14:sizeRelH relativeFrom="page">
              <wp14:pctWidth>0</wp14:pctWidth>
            </wp14:sizeRelH>
            <wp14:sizeRelV relativeFrom="page">
              <wp14:pctHeight>0</wp14:pctHeight>
            </wp14:sizeRelV>
          </wp:anchor>
        </w:drawing>
      </w:r>
      <w:r w:rsidR="00B94AAB">
        <w:rPr>
          <w:rFonts w:ascii="Times New Roman" w:hAnsi="Times New Roman" w:cs="Times New Roman"/>
        </w:rPr>
        <w:t xml:space="preserve">The tomb has two main rooms, the rear room </w:t>
      </w:r>
      <w:r w:rsidR="00066004">
        <w:rPr>
          <w:rFonts w:ascii="Times New Roman" w:hAnsi="Times New Roman" w:cs="Times New Roman"/>
        </w:rPr>
        <w:t xml:space="preserve">to the </w:t>
      </w:r>
      <w:r w:rsidR="00E85C99">
        <w:rPr>
          <w:rFonts w:ascii="Times New Roman" w:hAnsi="Times New Roman" w:cs="Times New Roman"/>
        </w:rPr>
        <w:t xml:space="preserve">Northwest and the front </w:t>
      </w:r>
      <w:r w:rsidR="000F0FBA">
        <w:rPr>
          <w:rFonts w:ascii="Times New Roman" w:hAnsi="Times New Roman" w:cs="Times New Roman"/>
        </w:rPr>
        <w:t xml:space="preserve">room to the </w:t>
      </w:r>
      <w:r w:rsidR="004D023C">
        <w:rPr>
          <w:rFonts w:ascii="Times New Roman" w:hAnsi="Times New Roman" w:cs="Times New Roman"/>
        </w:rPr>
        <w:t>S</w:t>
      </w:r>
      <w:r w:rsidR="000F0FBA">
        <w:rPr>
          <w:rFonts w:ascii="Times New Roman" w:hAnsi="Times New Roman" w:cs="Times New Roman"/>
        </w:rPr>
        <w:t xml:space="preserve">outheast. </w:t>
      </w:r>
      <w:r w:rsidR="006B2E41">
        <w:rPr>
          <w:rFonts w:ascii="Times New Roman" w:hAnsi="Times New Roman" w:cs="Times New Roman"/>
        </w:rPr>
        <w:t xml:space="preserve">The two main rooms are connected by a </w:t>
      </w:r>
      <w:r w:rsidR="004D30A1">
        <w:rPr>
          <w:rFonts w:ascii="Times New Roman" w:hAnsi="Times New Roman" w:cs="Times New Roman"/>
        </w:rPr>
        <w:t>passage;</w:t>
      </w:r>
      <w:r w:rsidR="00D768BE">
        <w:rPr>
          <w:rFonts w:ascii="Times New Roman" w:hAnsi="Times New Roman" w:cs="Times New Roman"/>
        </w:rPr>
        <w:t xml:space="preserve"> </w:t>
      </w:r>
      <w:r w:rsidR="006B2E41">
        <w:rPr>
          <w:rFonts w:ascii="Times New Roman" w:hAnsi="Times New Roman" w:cs="Times New Roman"/>
        </w:rPr>
        <w:t xml:space="preserve">the rear room has five shafts while </w:t>
      </w:r>
      <w:r w:rsidR="00112BA3">
        <w:rPr>
          <w:rFonts w:ascii="Times New Roman" w:hAnsi="Times New Roman" w:cs="Times New Roman"/>
        </w:rPr>
        <w:t xml:space="preserve">the front room has potentially only one shaft. </w:t>
      </w:r>
      <w:r w:rsidR="00CA61F9">
        <w:rPr>
          <w:rFonts w:ascii="Times New Roman" w:hAnsi="Times New Roman" w:cs="Times New Roman"/>
        </w:rPr>
        <w:t xml:space="preserve">There is also a courtyard outside the front room that contains </w:t>
      </w:r>
      <w:r w:rsidR="004A150E">
        <w:rPr>
          <w:rFonts w:ascii="Times New Roman" w:hAnsi="Times New Roman" w:cs="Times New Roman"/>
        </w:rPr>
        <w:t>three shafts and may contain the remains of walls towards the east end of the tomb.</w:t>
      </w:r>
      <w:r w:rsidR="00646B84">
        <w:rPr>
          <w:rStyle w:val="FootnoteReference"/>
          <w:rFonts w:ascii="Times New Roman" w:hAnsi="Times New Roman" w:cs="Times New Roman"/>
        </w:rPr>
        <w:footnoteReference w:id="1"/>
      </w:r>
      <w:r w:rsidR="00264E2E">
        <w:rPr>
          <w:rFonts w:ascii="Times New Roman" w:hAnsi="Times New Roman" w:cs="Times New Roman"/>
        </w:rPr>
        <w:t xml:space="preserve"> Within the Burial Chamber, certain burial objects were found. These items include things such as </w:t>
      </w:r>
      <w:r w:rsidR="0084216D">
        <w:rPr>
          <w:rFonts w:ascii="Times New Roman" w:hAnsi="Times New Roman" w:cs="Times New Roman"/>
        </w:rPr>
        <w:t xml:space="preserve">food containers, </w:t>
      </w:r>
      <w:r w:rsidR="0066408B">
        <w:rPr>
          <w:rFonts w:ascii="Times New Roman" w:hAnsi="Times New Roman" w:cs="Times New Roman"/>
        </w:rPr>
        <w:t>papyr</w:t>
      </w:r>
      <w:r w:rsidR="00F46900">
        <w:rPr>
          <w:rFonts w:ascii="Times New Roman" w:hAnsi="Times New Roman" w:cs="Times New Roman"/>
        </w:rPr>
        <w:t>i</w:t>
      </w:r>
      <w:r w:rsidR="003F30DD">
        <w:rPr>
          <w:rFonts w:ascii="Times New Roman" w:hAnsi="Times New Roman" w:cs="Times New Roman"/>
        </w:rPr>
        <w:t xml:space="preserve">, </w:t>
      </w:r>
      <w:r w:rsidR="00F46900">
        <w:rPr>
          <w:rFonts w:ascii="Times New Roman" w:hAnsi="Times New Roman" w:cs="Times New Roman"/>
        </w:rPr>
        <w:t>both insc</w:t>
      </w:r>
      <w:r w:rsidR="007A1216">
        <w:rPr>
          <w:rFonts w:ascii="Times New Roman" w:hAnsi="Times New Roman" w:cs="Times New Roman"/>
        </w:rPr>
        <w:t>ribed and uninscribed Shabtis</w:t>
      </w:r>
      <w:r w:rsidR="009B21C2">
        <w:rPr>
          <w:rFonts w:ascii="Times New Roman" w:hAnsi="Times New Roman" w:cs="Times New Roman"/>
        </w:rPr>
        <w:t>,</w:t>
      </w:r>
      <w:r w:rsidR="003F30DD">
        <w:rPr>
          <w:rFonts w:ascii="Times New Roman" w:hAnsi="Times New Roman" w:cs="Times New Roman"/>
        </w:rPr>
        <w:t xml:space="preserve"> and stelae</w:t>
      </w:r>
      <w:r w:rsidR="007A1216">
        <w:rPr>
          <w:rFonts w:ascii="Times New Roman" w:hAnsi="Times New Roman" w:cs="Times New Roman"/>
        </w:rPr>
        <w:t xml:space="preserve">, though </w:t>
      </w:r>
      <w:r w:rsidR="00341D9B">
        <w:rPr>
          <w:rFonts w:ascii="Times New Roman" w:hAnsi="Times New Roman" w:cs="Times New Roman"/>
        </w:rPr>
        <w:t>the shabtis</w:t>
      </w:r>
      <w:r w:rsidR="007A1216">
        <w:rPr>
          <w:rFonts w:ascii="Times New Roman" w:hAnsi="Times New Roman" w:cs="Times New Roman"/>
        </w:rPr>
        <w:t xml:space="preserve"> are from a different burial to Senneferi.</w:t>
      </w:r>
      <w:r w:rsidR="007E7C99">
        <w:rPr>
          <w:rStyle w:val="FootnoteReference"/>
          <w:rFonts w:ascii="Times New Roman" w:hAnsi="Times New Roman" w:cs="Times New Roman"/>
        </w:rPr>
        <w:footnoteReference w:id="2"/>
      </w:r>
      <w:r w:rsidR="007A1216">
        <w:rPr>
          <w:rFonts w:ascii="Times New Roman" w:hAnsi="Times New Roman" w:cs="Times New Roman"/>
        </w:rPr>
        <w:t xml:space="preserve"> </w:t>
      </w:r>
    </w:p>
    <w:p w14:paraId="3F3C6F99" w14:textId="72D4A59E" w:rsidR="007807AF" w:rsidRDefault="007807AF">
      <w:pPr>
        <w:rPr>
          <w:rFonts w:ascii="Times New Roman" w:hAnsi="Times New Roman" w:cs="Times New Roman"/>
          <w:b/>
          <w:bCs/>
        </w:rPr>
      </w:pPr>
    </w:p>
    <w:p w14:paraId="6CDE0A73" w14:textId="49D3865C" w:rsidR="00341D9B" w:rsidRDefault="00EC5A51">
      <w:pPr>
        <w:rPr>
          <w:rFonts w:ascii="Times New Roman" w:hAnsi="Times New Roman" w:cs="Times New Roman"/>
          <w:b/>
          <w:bCs/>
        </w:rPr>
      </w:pPr>
      <w:r>
        <w:rPr>
          <w:rFonts w:ascii="Times New Roman" w:hAnsi="Times New Roman" w:cs="Times New Roman"/>
          <w:b/>
          <w:bCs/>
        </w:rPr>
        <w:t>The Architecture of the Tomb:</w:t>
      </w:r>
    </w:p>
    <w:p w14:paraId="53E6D394" w14:textId="0CA2D43E" w:rsidR="007807AF" w:rsidRPr="00EC5A51" w:rsidRDefault="00622A97" w:rsidP="00DF27FF">
      <w:pPr>
        <w:ind w:firstLine="720"/>
        <w:rPr>
          <w:rFonts w:ascii="Times New Roman" w:hAnsi="Times New Roman" w:cs="Times New Roman"/>
        </w:rPr>
      </w:pPr>
      <w:r>
        <w:rPr>
          <w:noProof/>
        </w:rPr>
        <mc:AlternateContent>
          <mc:Choice Requires="wps">
            <w:drawing>
              <wp:anchor distT="0" distB="0" distL="114300" distR="114300" simplePos="0" relativeHeight="251660288" behindDoc="0" locked="0" layoutInCell="1" allowOverlap="1" wp14:anchorId="1C50DC3E" wp14:editId="1C4247C7">
                <wp:simplePos x="0" y="0"/>
                <wp:positionH relativeFrom="margin">
                  <wp:align>left</wp:align>
                </wp:positionH>
                <wp:positionV relativeFrom="paragraph">
                  <wp:posOffset>2219325</wp:posOffset>
                </wp:positionV>
                <wp:extent cx="1478280" cy="635"/>
                <wp:effectExtent l="0" t="0" r="7620" b="0"/>
                <wp:wrapSquare wrapText="bothSides"/>
                <wp:docPr id="1304047937" name="Text Box 1"/>
                <wp:cNvGraphicFramePr/>
                <a:graphic xmlns:a="http://schemas.openxmlformats.org/drawingml/2006/main">
                  <a:graphicData uri="http://schemas.microsoft.com/office/word/2010/wordprocessingShape">
                    <wps:wsp>
                      <wps:cNvSpPr txBox="1"/>
                      <wps:spPr>
                        <a:xfrm>
                          <a:off x="0" y="0"/>
                          <a:ext cx="1478280" cy="635"/>
                        </a:xfrm>
                        <a:prstGeom prst="rect">
                          <a:avLst/>
                        </a:prstGeom>
                        <a:solidFill>
                          <a:prstClr val="white"/>
                        </a:solidFill>
                        <a:ln>
                          <a:noFill/>
                        </a:ln>
                      </wps:spPr>
                      <wps:txbx>
                        <w:txbxContent>
                          <w:p w14:paraId="4D9749DA" w14:textId="33C6DC0B" w:rsidR="007807AF" w:rsidRPr="00BF0AA9" w:rsidRDefault="007807AF" w:rsidP="007807AF">
                            <w:pPr>
                              <w:pStyle w:val="Caption"/>
                              <w:rPr>
                                <w:rFonts w:ascii="Times New Roman" w:hAnsi="Times New Roman" w:cs="Times New Roman"/>
                                <w:b/>
                                <w:bCs/>
                                <w:noProof/>
                              </w:rPr>
                            </w:pPr>
                            <w:r>
                              <w:t xml:space="preserve">Figure </w:t>
                            </w:r>
                            <w:fldSimple w:instr=" SEQ Figure \* ARABIC ">
                              <w:r w:rsidR="00891853">
                                <w:rPr>
                                  <w:noProof/>
                                </w:rPr>
                                <w:t>1</w:t>
                              </w:r>
                            </w:fldSimple>
                            <w:r>
                              <w:t xml:space="preserve"> Plan diagram of TT99, Strudwick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1C50DC3E" id="_x0000_t202" coordsize="21600,21600" o:spt="202" path="m,l,21600r21600,l21600,xe">
                <v:stroke joinstyle="miter"/>
                <v:path gradientshapeok="t" o:connecttype="rect"/>
              </v:shapetype>
              <v:shape id="Text Box 1" o:spid="_x0000_s1026" type="#_x0000_t202" style="position:absolute;left:0;text-align:left;margin-left:0;margin-top:174.75pt;width:116.4pt;height:.05pt;z-index:25166028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" stroked="f">
                <v:textbox style="mso-fit-shape-to-text:t" inset="0,0,0,0">
                  <w:txbxContent>
                    <w:p w14:paraId="4D9749DA" w14:textId="33C6DC0B" w:rsidR="007807AF" w:rsidRPr="00BF0AA9" w:rsidRDefault="007807AF" w:rsidP="007807AF">
                      <w:pPr>
                        <w:pStyle w:val="Caption"/>
                        <w:rPr>
                          <w:rFonts w:ascii="Times New Roman" w:hAnsi="Times New Roman" w:cs="Times New Roman"/>
                          <w:b/>
                          <w:bCs/>
                          <w:noProof/>
                        </w:rPr>
                      </w:pPr>
                      <w:r>
                        <w:t xml:space="preserve">Figure </w:t>
                      </w:r>
                      <w:fldSimple w:instr=" SEQ Figure \* ARABIC ">
                        <w:r w:rsidR="00891853">
                          <w:rPr>
                            <w:noProof/>
                          </w:rPr>
                          <w:t>1</w:t>
                        </w:r>
                      </w:fldSimple>
                      <w:r>
                        <w:t xml:space="preserve"> Plan diagram of TT99, Strudwick (2017)</w:t>
                      </w:r>
                    </w:p>
                  </w:txbxContent>
                </v:textbox>
                <w10:wrap type="square" anchorx="margin"/>
              </v:shape>
            </w:pict>
          </mc:Fallback>
        </mc:AlternateContent>
      </w:r>
      <w:r w:rsidR="00EC5A51">
        <w:rPr>
          <w:rFonts w:ascii="Times New Roman" w:hAnsi="Times New Roman" w:cs="Times New Roman"/>
        </w:rPr>
        <w:t xml:space="preserve">The tomb contains many rooms, such as the </w:t>
      </w:r>
      <w:r w:rsidR="00C27390">
        <w:rPr>
          <w:rFonts w:ascii="Times New Roman" w:hAnsi="Times New Roman" w:cs="Times New Roman"/>
        </w:rPr>
        <w:t xml:space="preserve">rear room and the front room. </w:t>
      </w:r>
      <w:r w:rsidR="001A6944">
        <w:rPr>
          <w:rFonts w:ascii="Times New Roman" w:hAnsi="Times New Roman" w:cs="Times New Roman"/>
        </w:rPr>
        <w:t xml:space="preserve">There are a total of </w:t>
      </w:r>
      <w:r w:rsidR="006A4CB8">
        <w:rPr>
          <w:rFonts w:ascii="Times New Roman" w:hAnsi="Times New Roman" w:cs="Times New Roman"/>
        </w:rPr>
        <w:t>five definitive shafts and the potential for another three throughout the tomb complex.</w:t>
      </w:r>
      <w:r w:rsidR="00D612E9">
        <w:rPr>
          <w:rFonts w:ascii="Times New Roman" w:hAnsi="Times New Roman" w:cs="Times New Roman"/>
        </w:rPr>
        <w:t xml:space="preserve"> Theban tombs generally have three </w:t>
      </w:r>
      <w:r w:rsidR="008059FC">
        <w:rPr>
          <w:rFonts w:ascii="Times New Roman" w:hAnsi="Times New Roman" w:cs="Times New Roman"/>
        </w:rPr>
        <w:t>levels:</w:t>
      </w:r>
      <w:r w:rsidR="001449CA">
        <w:rPr>
          <w:rFonts w:ascii="Times New Roman" w:hAnsi="Times New Roman" w:cs="Times New Roman"/>
        </w:rPr>
        <w:t xml:space="preserve"> the upper level, the middle level and the Lower level. </w:t>
      </w:r>
      <w:r w:rsidR="008059FC">
        <w:rPr>
          <w:rFonts w:ascii="Times New Roman" w:hAnsi="Times New Roman" w:cs="Times New Roman"/>
        </w:rPr>
        <w:t>The upper level</w:t>
      </w:r>
      <w:r w:rsidR="00C85081">
        <w:rPr>
          <w:rFonts w:ascii="Times New Roman" w:hAnsi="Times New Roman" w:cs="Times New Roman"/>
        </w:rPr>
        <w:t xml:space="preserve"> generally consisted of </w:t>
      </w:r>
      <w:r w:rsidR="00A21424">
        <w:rPr>
          <w:rFonts w:ascii="Times New Roman" w:hAnsi="Times New Roman" w:cs="Times New Roman"/>
        </w:rPr>
        <w:t>a niche or superstructure and represented the realm of the sun god</w:t>
      </w:r>
      <w:r w:rsidR="00E51585">
        <w:rPr>
          <w:rFonts w:ascii="Times New Roman" w:hAnsi="Times New Roman" w:cs="Times New Roman"/>
        </w:rPr>
        <w:t>, Ra.</w:t>
      </w:r>
      <w:r w:rsidR="00B85F60">
        <w:rPr>
          <w:rStyle w:val="FootnoteReference"/>
          <w:rFonts w:ascii="Times New Roman" w:hAnsi="Times New Roman" w:cs="Times New Roman"/>
        </w:rPr>
        <w:footnoteReference w:id="3"/>
      </w:r>
      <w:r w:rsidR="00E51585">
        <w:rPr>
          <w:rFonts w:ascii="Times New Roman" w:hAnsi="Times New Roman" w:cs="Times New Roman"/>
        </w:rPr>
        <w:t xml:space="preserve"> TT99 contains a </w:t>
      </w:r>
      <w:r w:rsidR="004219EE">
        <w:rPr>
          <w:rFonts w:ascii="Times New Roman" w:hAnsi="Times New Roman" w:cs="Times New Roman"/>
        </w:rPr>
        <w:t>roughly built niche</w:t>
      </w:r>
      <w:r w:rsidR="007A6C0C">
        <w:rPr>
          <w:rFonts w:ascii="Times New Roman" w:hAnsi="Times New Roman" w:cs="Times New Roman"/>
        </w:rPr>
        <w:t xml:space="preserve">, it is quite small with a height of approximately 0.5m and </w:t>
      </w:r>
      <w:r w:rsidR="002D38C3">
        <w:rPr>
          <w:rFonts w:ascii="Times New Roman" w:hAnsi="Times New Roman" w:cs="Times New Roman"/>
        </w:rPr>
        <w:t>with its longest width of 0.45m at the top.</w:t>
      </w:r>
      <w:r w:rsidR="00174DB0">
        <w:rPr>
          <w:rStyle w:val="FootnoteReference"/>
          <w:rFonts w:ascii="Times New Roman" w:hAnsi="Times New Roman" w:cs="Times New Roman"/>
        </w:rPr>
        <w:footnoteReference w:id="4"/>
      </w:r>
      <w:r w:rsidR="003D63D3">
        <w:rPr>
          <w:rFonts w:ascii="Times New Roman" w:hAnsi="Times New Roman" w:cs="Times New Roman"/>
        </w:rPr>
        <w:t xml:space="preserve"> Comparing this to the superstructures of the Pyramids</w:t>
      </w:r>
      <w:r w:rsidR="00F72934">
        <w:rPr>
          <w:rFonts w:ascii="Times New Roman" w:hAnsi="Times New Roman" w:cs="Times New Roman"/>
        </w:rPr>
        <w:t xml:space="preserve"> of the Ra</w:t>
      </w:r>
      <w:r>
        <w:rPr>
          <w:rFonts w:ascii="Times New Roman" w:hAnsi="Times New Roman" w:cs="Times New Roman"/>
        </w:rPr>
        <w:t xml:space="preserve">messide period clearly shows that this niche was quite modest when looking at other superstructures. </w:t>
      </w:r>
      <w:r w:rsidR="009C3DF2">
        <w:rPr>
          <w:rFonts w:ascii="Times New Roman" w:hAnsi="Times New Roman" w:cs="Times New Roman"/>
        </w:rPr>
        <w:t xml:space="preserve">Although, the </w:t>
      </w:r>
      <w:r w:rsidR="00351E2E">
        <w:rPr>
          <w:rFonts w:ascii="Times New Roman" w:hAnsi="Times New Roman" w:cs="Times New Roman"/>
        </w:rPr>
        <w:t>Ramesside Period</w:t>
      </w:r>
      <w:r w:rsidR="00BE47DC">
        <w:rPr>
          <w:rFonts w:ascii="Times New Roman" w:hAnsi="Times New Roman" w:cs="Times New Roman"/>
        </w:rPr>
        <w:t xml:space="preserve"> took place in the 19</w:t>
      </w:r>
      <w:r w:rsidR="00BE47DC" w:rsidRPr="00BE47DC">
        <w:rPr>
          <w:rFonts w:ascii="Times New Roman" w:hAnsi="Times New Roman" w:cs="Times New Roman"/>
          <w:vertAlign w:val="superscript"/>
        </w:rPr>
        <w:t>th</w:t>
      </w:r>
      <w:r w:rsidR="00BE47DC">
        <w:rPr>
          <w:rFonts w:ascii="Times New Roman" w:hAnsi="Times New Roman" w:cs="Times New Roman"/>
        </w:rPr>
        <w:t xml:space="preserve"> (</w:t>
      </w:r>
      <w:r w:rsidR="00486869">
        <w:rPr>
          <w:rFonts w:ascii="Times New Roman" w:hAnsi="Times New Roman" w:cs="Times New Roman"/>
        </w:rPr>
        <w:t>1292-1190 BCE)</w:t>
      </w:r>
      <w:r w:rsidR="00BE47DC">
        <w:rPr>
          <w:rFonts w:ascii="Times New Roman" w:hAnsi="Times New Roman" w:cs="Times New Roman"/>
        </w:rPr>
        <w:t xml:space="preserve"> and 20</w:t>
      </w:r>
      <w:r w:rsidR="00BE47DC" w:rsidRPr="00BE47DC">
        <w:rPr>
          <w:rFonts w:ascii="Times New Roman" w:hAnsi="Times New Roman" w:cs="Times New Roman"/>
          <w:vertAlign w:val="superscript"/>
        </w:rPr>
        <w:t>th</w:t>
      </w:r>
      <w:r w:rsidR="00BE47DC">
        <w:rPr>
          <w:rFonts w:ascii="Times New Roman" w:hAnsi="Times New Roman" w:cs="Times New Roman"/>
        </w:rPr>
        <w:t xml:space="preserve"> </w:t>
      </w:r>
      <w:r w:rsidR="009345F4">
        <w:rPr>
          <w:rFonts w:ascii="Times New Roman" w:hAnsi="Times New Roman" w:cs="Times New Roman"/>
        </w:rPr>
        <w:t>D</w:t>
      </w:r>
      <w:r w:rsidR="00BE47DC">
        <w:rPr>
          <w:rFonts w:ascii="Times New Roman" w:hAnsi="Times New Roman" w:cs="Times New Roman"/>
        </w:rPr>
        <w:t>ynasties</w:t>
      </w:r>
      <w:r w:rsidR="00486869">
        <w:rPr>
          <w:rFonts w:ascii="Times New Roman" w:hAnsi="Times New Roman" w:cs="Times New Roman"/>
        </w:rPr>
        <w:t>(1190-</w:t>
      </w:r>
      <w:r w:rsidR="009345F4">
        <w:rPr>
          <w:rFonts w:ascii="Times New Roman" w:hAnsi="Times New Roman" w:cs="Times New Roman"/>
        </w:rPr>
        <w:t xml:space="preserve">1075 BCE) while Senneferi was buried within </w:t>
      </w:r>
      <w:r w:rsidR="009345F4">
        <w:rPr>
          <w:rFonts w:ascii="Times New Roman" w:hAnsi="Times New Roman" w:cs="Times New Roman"/>
        </w:rPr>
        <w:lastRenderedPageBreak/>
        <w:t>Tomb TT9</w:t>
      </w:r>
      <w:r w:rsidR="00A569EA">
        <w:rPr>
          <w:noProof/>
        </w:rPr>
        <mc:AlternateContent>
          <mc:Choice Requires="wps">
            <w:drawing>
              <wp:anchor distT="0" distB="0" distL="114300" distR="114300" simplePos="0" relativeHeight="251663360" behindDoc="0" locked="0" layoutInCell="1" allowOverlap="1" wp14:anchorId="43D412D2" wp14:editId="5E3522E6">
                <wp:simplePos x="0" y="0"/>
                <wp:positionH relativeFrom="column">
                  <wp:posOffset>3291840</wp:posOffset>
                </wp:positionH>
                <wp:positionV relativeFrom="paragraph">
                  <wp:posOffset>2268855</wp:posOffset>
                </wp:positionV>
                <wp:extent cx="2613660" cy="635"/>
                <wp:effectExtent l="0" t="0" r="0" b="0"/>
                <wp:wrapSquare wrapText="bothSides"/>
                <wp:docPr id="1550181281" name="Text Box 1"/>
                <wp:cNvGraphicFramePr/>
                <a:graphic xmlns:a="http://schemas.openxmlformats.org/drawingml/2006/main">
                  <a:graphicData uri="http://schemas.microsoft.com/office/word/2010/wordprocessingShape">
                    <wps:wsp>
                      <wps:cNvSpPr txBox="1"/>
                      <wps:spPr>
                        <a:xfrm>
                          <a:off x="0" y="0"/>
                          <a:ext cx="2613660" cy="635"/>
                        </a:xfrm>
                        <a:prstGeom prst="rect">
                          <a:avLst/>
                        </a:prstGeom>
                        <a:solidFill>
                          <a:prstClr val="white"/>
                        </a:solidFill>
                        <a:ln>
                          <a:noFill/>
                        </a:ln>
                      </wps:spPr>
                      <wps:txbx>
                        <w:txbxContent>
                          <w:p w14:paraId="0D0D2F79" w14:textId="0266F9C5" w:rsidR="00A569EA" w:rsidRDefault="00A569EA" w:rsidP="00A569EA">
                            <w:pPr>
                              <w:pStyle w:val="Caption"/>
                              <w:rPr>
                                <w:noProof/>
                              </w:rPr>
                            </w:pPr>
                            <w:r>
                              <w:t xml:space="preserve">Figure </w:t>
                            </w:r>
                            <w:fldSimple w:instr=" SEQ Figure \* ARABIC ">
                              <w:r w:rsidR="00891853">
                                <w:rPr>
                                  <w:noProof/>
                                </w:rPr>
                                <w:t>2</w:t>
                              </w:r>
                            </w:fldSimple>
                            <w:r>
                              <w:t xml:space="preserve"> Reconstruction of tomb, Kampp (1996)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D412D2" id="_x0000_s1027" type="#_x0000_t202" style="position:absolute;left:0;text-align:left;margin-left:259.2pt;margin-top:178.65pt;width:205.8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" stroked="f">
                <v:textbox style="mso-fit-shape-to-text:t" inset="0,0,0,0">
                  <w:txbxContent>
                    <w:p w14:paraId="0D0D2F79" w14:textId="0266F9C5" w:rsidR="00A569EA" w:rsidRDefault="00A569EA" w:rsidP="00A569EA">
                      <w:pPr>
                        <w:pStyle w:val="Caption"/>
                        <w:rPr>
                          <w:noProof/>
                        </w:rPr>
                      </w:pPr>
                      <w:r>
                        <w:t xml:space="preserve">Figure </w:t>
                      </w:r>
                      <w:fldSimple w:instr=" SEQ Figure \* ARABIC ">
                        <w:r w:rsidR="00891853">
                          <w:rPr>
                            <w:noProof/>
                          </w:rPr>
                          <w:t>2</w:t>
                        </w:r>
                      </w:fldSimple>
                      <w:r>
                        <w:t xml:space="preserve"> Reconstruction of tomb, Kampp (1996)</w:t>
                      </w:r>
                    </w:p>
                  </w:txbxContent>
                </v:textbox>
                <w10:wrap type="square"/>
              </v:shape>
            </w:pict>
          </mc:Fallback>
        </mc:AlternateContent>
      </w:r>
      <w:r w:rsidR="00A569EA">
        <w:rPr>
          <w:rFonts w:ascii="Times New Roman" w:hAnsi="Times New Roman" w:cs="Times New Roman"/>
          <w:b/>
          <w:bCs/>
          <w:noProof/>
        </w:rPr>
        <w:drawing>
          <wp:anchor distT="0" distB="0" distL="114300" distR="114300" simplePos="0" relativeHeight="251661312" behindDoc="0" locked="0" layoutInCell="1" allowOverlap="1" wp14:anchorId="44BCD65A" wp14:editId="3EFE7D12">
            <wp:simplePos x="0" y="0"/>
            <wp:positionH relativeFrom="margin">
              <wp:posOffset>3291840</wp:posOffset>
            </wp:positionH>
            <wp:positionV relativeFrom="paragraph">
              <wp:posOffset>205740</wp:posOffset>
            </wp:positionV>
            <wp:extent cx="2613660" cy="2005965"/>
            <wp:effectExtent l="0" t="0" r="0" b="0"/>
            <wp:wrapSquare wrapText="bothSides"/>
            <wp:docPr id="8539575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13660" cy="2005965"/>
                    </a:xfrm>
                    <a:prstGeom prst="rect">
                      <a:avLst/>
                    </a:prstGeom>
                    <a:noFill/>
                  </pic:spPr>
                </pic:pic>
              </a:graphicData>
            </a:graphic>
            <wp14:sizeRelH relativeFrom="margin">
              <wp14:pctWidth>0</wp14:pctWidth>
            </wp14:sizeRelH>
            <wp14:sizeRelV relativeFrom="margin">
              <wp14:pctHeight>0</wp14:pctHeight>
            </wp14:sizeRelV>
          </wp:anchor>
        </w:drawing>
      </w:r>
      <w:r w:rsidR="00D46E0E">
        <w:rPr>
          <w:rFonts w:ascii="Times New Roman" w:hAnsi="Times New Roman" w:cs="Times New Roman"/>
        </w:rPr>
        <w:t xml:space="preserve">9 </w:t>
      </w:r>
      <w:r w:rsidR="009345F4">
        <w:rPr>
          <w:rFonts w:ascii="Times New Roman" w:hAnsi="Times New Roman" w:cs="Times New Roman"/>
        </w:rPr>
        <w:t>in the 18</w:t>
      </w:r>
      <w:r w:rsidR="009345F4" w:rsidRPr="009345F4">
        <w:rPr>
          <w:rFonts w:ascii="Times New Roman" w:hAnsi="Times New Roman" w:cs="Times New Roman"/>
          <w:vertAlign w:val="superscript"/>
        </w:rPr>
        <w:t>th</w:t>
      </w:r>
      <w:r w:rsidR="009345F4">
        <w:rPr>
          <w:rFonts w:ascii="Times New Roman" w:hAnsi="Times New Roman" w:cs="Times New Roman"/>
        </w:rPr>
        <w:t xml:space="preserve"> Dynasty (</w:t>
      </w:r>
      <w:r w:rsidR="00674F55">
        <w:rPr>
          <w:rFonts w:ascii="Times New Roman" w:hAnsi="Times New Roman" w:cs="Times New Roman"/>
        </w:rPr>
        <w:t>1539-1292 BCE) and therefore these superstructures may have not been popularised by this point in time.</w:t>
      </w:r>
      <w:r w:rsidR="00811C40">
        <w:rPr>
          <w:rStyle w:val="FootnoteReference"/>
          <w:rFonts w:ascii="Times New Roman" w:hAnsi="Times New Roman" w:cs="Times New Roman"/>
        </w:rPr>
        <w:footnoteReference w:id="5"/>
      </w:r>
      <w:r w:rsidR="00BA3599">
        <w:rPr>
          <w:rFonts w:ascii="Times New Roman" w:hAnsi="Times New Roman" w:cs="Times New Roman"/>
        </w:rPr>
        <w:t xml:space="preserve"> However, while the Ramesside pyramids may have not been popularised by the </w:t>
      </w:r>
      <w:r w:rsidR="00EF159E">
        <w:rPr>
          <w:rFonts w:ascii="Times New Roman" w:hAnsi="Times New Roman" w:cs="Times New Roman"/>
        </w:rPr>
        <w:t>18</w:t>
      </w:r>
      <w:r w:rsidR="00EF159E" w:rsidRPr="00EF159E">
        <w:rPr>
          <w:rFonts w:ascii="Times New Roman" w:hAnsi="Times New Roman" w:cs="Times New Roman"/>
          <w:vertAlign w:val="superscript"/>
        </w:rPr>
        <w:t>th</w:t>
      </w:r>
      <w:r w:rsidR="00EF159E">
        <w:rPr>
          <w:rFonts w:ascii="Times New Roman" w:hAnsi="Times New Roman" w:cs="Times New Roman"/>
        </w:rPr>
        <w:t xml:space="preserve"> Dynasty, there was the Great Pyramid</w:t>
      </w:r>
      <w:r w:rsidR="00423286">
        <w:rPr>
          <w:rFonts w:ascii="Times New Roman" w:hAnsi="Times New Roman" w:cs="Times New Roman"/>
        </w:rPr>
        <w:t xml:space="preserve"> built in the 4</w:t>
      </w:r>
      <w:r w:rsidR="00423286" w:rsidRPr="00423286">
        <w:rPr>
          <w:rFonts w:ascii="Times New Roman" w:hAnsi="Times New Roman" w:cs="Times New Roman"/>
          <w:vertAlign w:val="superscript"/>
        </w:rPr>
        <w:t>th</w:t>
      </w:r>
      <w:r w:rsidR="00423286">
        <w:rPr>
          <w:rFonts w:ascii="Times New Roman" w:hAnsi="Times New Roman" w:cs="Times New Roman"/>
        </w:rPr>
        <w:t xml:space="preserve"> Dynasty by </w:t>
      </w:r>
      <w:r w:rsidR="00283871">
        <w:rPr>
          <w:rFonts w:ascii="Times New Roman" w:hAnsi="Times New Roman" w:cs="Times New Roman"/>
        </w:rPr>
        <w:t>Pharaoh Khufu</w:t>
      </w:r>
      <w:r w:rsidR="00E12D8F">
        <w:rPr>
          <w:rFonts w:ascii="Times New Roman" w:hAnsi="Times New Roman" w:cs="Times New Roman"/>
        </w:rPr>
        <w:t>.</w:t>
      </w:r>
      <w:r w:rsidR="00E12D8F">
        <w:rPr>
          <w:rStyle w:val="FootnoteReference"/>
          <w:rFonts w:ascii="Times New Roman" w:hAnsi="Times New Roman" w:cs="Times New Roman"/>
        </w:rPr>
        <w:footnoteReference w:id="6"/>
      </w:r>
      <w:r w:rsidR="00E12D8F">
        <w:rPr>
          <w:rFonts w:ascii="Times New Roman" w:hAnsi="Times New Roman" w:cs="Times New Roman"/>
        </w:rPr>
        <w:t xml:space="preserve"> The 4</w:t>
      </w:r>
      <w:r w:rsidR="00E12D8F" w:rsidRPr="00E12D8F">
        <w:rPr>
          <w:rFonts w:ascii="Times New Roman" w:hAnsi="Times New Roman" w:cs="Times New Roman"/>
          <w:vertAlign w:val="superscript"/>
        </w:rPr>
        <w:t>th</w:t>
      </w:r>
      <w:r w:rsidR="00E12D8F">
        <w:rPr>
          <w:rFonts w:ascii="Times New Roman" w:hAnsi="Times New Roman" w:cs="Times New Roman"/>
        </w:rPr>
        <w:t xml:space="preserve"> Dynasty was </w:t>
      </w:r>
      <w:r w:rsidR="00E84412">
        <w:rPr>
          <w:rFonts w:ascii="Times New Roman" w:hAnsi="Times New Roman" w:cs="Times New Roman"/>
        </w:rPr>
        <w:t>between 2625 BCE and 2500 BCE during the Old Kingdom of Egypt and therefore wa</w:t>
      </w:r>
      <w:r w:rsidR="00F51BAF">
        <w:rPr>
          <w:rFonts w:ascii="Times New Roman" w:hAnsi="Times New Roman" w:cs="Times New Roman"/>
        </w:rPr>
        <w:t>s over 1000 years before the 18</w:t>
      </w:r>
      <w:r w:rsidR="00F51BAF" w:rsidRPr="00F51BAF">
        <w:rPr>
          <w:rFonts w:ascii="Times New Roman" w:hAnsi="Times New Roman" w:cs="Times New Roman"/>
          <w:vertAlign w:val="superscript"/>
        </w:rPr>
        <w:t>th</w:t>
      </w:r>
      <w:r w:rsidR="00F51BAF">
        <w:rPr>
          <w:rFonts w:ascii="Times New Roman" w:hAnsi="Times New Roman" w:cs="Times New Roman"/>
        </w:rPr>
        <w:t xml:space="preserve"> Dynasty when Senneferi was buried. It would be clear to say that the ancient Egyptians did have superstructures before the death of Senneferi that could have been placed atop the tomb, however </w:t>
      </w:r>
      <w:r w:rsidR="00A569EA">
        <w:rPr>
          <w:rFonts w:ascii="Times New Roman" w:hAnsi="Times New Roman" w:cs="Times New Roman"/>
        </w:rPr>
        <w:t>Tomb TT99 merely has a niche.</w:t>
      </w:r>
      <w:r w:rsidR="00AC01D4">
        <w:rPr>
          <w:rFonts w:ascii="Times New Roman" w:hAnsi="Times New Roman" w:cs="Times New Roman"/>
        </w:rPr>
        <w:t xml:space="preserve"> This may suggest that </w:t>
      </w:r>
      <w:r w:rsidR="00D811C3">
        <w:rPr>
          <w:rFonts w:ascii="Times New Roman" w:hAnsi="Times New Roman" w:cs="Times New Roman"/>
        </w:rPr>
        <w:t>Senneferi was not a</w:t>
      </w:r>
      <w:r w:rsidR="0006664E">
        <w:rPr>
          <w:rFonts w:ascii="Times New Roman" w:hAnsi="Times New Roman" w:cs="Times New Roman"/>
        </w:rPr>
        <w:t>n</w:t>
      </w:r>
      <w:r w:rsidR="00D811C3">
        <w:rPr>
          <w:rFonts w:ascii="Times New Roman" w:hAnsi="Times New Roman" w:cs="Times New Roman"/>
        </w:rPr>
        <w:t xml:space="preserve"> overtly wealthy man, or perhaps merely a modest man. </w:t>
      </w:r>
    </w:p>
    <w:p w14:paraId="649357D1" w14:textId="2749A57A" w:rsidR="007807AF" w:rsidRDefault="007807AF">
      <w:pPr>
        <w:rPr>
          <w:rFonts w:ascii="Times New Roman" w:hAnsi="Times New Roman" w:cs="Times New Roman"/>
          <w:b/>
          <w:bCs/>
        </w:rPr>
      </w:pPr>
    </w:p>
    <w:p w14:paraId="0306082C" w14:textId="4B65502A" w:rsidR="009B21C2" w:rsidRDefault="009B21C2">
      <w:pPr>
        <w:rPr>
          <w:rFonts w:ascii="Times New Roman" w:hAnsi="Times New Roman" w:cs="Times New Roman"/>
          <w:b/>
          <w:bCs/>
        </w:rPr>
      </w:pPr>
      <w:r>
        <w:rPr>
          <w:rFonts w:ascii="Times New Roman" w:hAnsi="Times New Roman" w:cs="Times New Roman"/>
          <w:b/>
          <w:bCs/>
        </w:rPr>
        <w:t>The Finds of the Tomb:</w:t>
      </w:r>
    </w:p>
    <w:p w14:paraId="1060BC29" w14:textId="23765F89" w:rsidR="00CE76D2" w:rsidRDefault="00560BC4">
      <w:pPr>
        <w:rPr>
          <w:rFonts w:ascii="Times New Roman" w:hAnsi="Times New Roman" w:cs="Times New Roman"/>
          <w:b/>
          <w:bCs/>
        </w:rPr>
      </w:pPr>
      <w:r>
        <w:rPr>
          <w:rFonts w:ascii="Times New Roman" w:hAnsi="Times New Roman" w:cs="Times New Roman"/>
          <w:b/>
          <w:bCs/>
        </w:rPr>
        <w:tab/>
        <w:t>Papyri:</w:t>
      </w:r>
    </w:p>
    <w:p w14:paraId="0300C733" w14:textId="598B1E43" w:rsidR="009B21C2" w:rsidRDefault="00BA37E3" w:rsidP="00DF27FF">
      <w:pPr>
        <w:ind w:firstLine="720"/>
        <w:rPr>
          <w:rFonts w:ascii="Times New Roman" w:hAnsi="Times New Roman" w:cs="Times New Roman"/>
        </w:rPr>
      </w:pPr>
      <w:r>
        <w:rPr>
          <w:noProof/>
        </w:rPr>
        <mc:AlternateContent>
          <mc:Choice Requires="wps">
            <w:drawing>
              <wp:anchor distT="0" distB="0" distL="114300" distR="114300" simplePos="0" relativeHeight="251666432" behindDoc="0" locked="0" layoutInCell="1" allowOverlap="1" wp14:anchorId="650F37C2" wp14:editId="46CD208D">
                <wp:simplePos x="0" y="0"/>
                <wp:positionH relativeFrom="column">
                  <wp:posOffset>0</wp:posOffset>
                </wp:positionH>
                <wp:positionV relativeFrom="paragraph">
                  <wp:posOffset>3164205</wp:posOffset>
                </wp:positionV>
                <wp:extent cx="3556000" cy="635"/>
                <wp:effectExtent l="0" t="0" r="0" b="0"/>
                <wp:wrapSquare wrapText="bothSides"/>
                <wp:docPr id="710716758" name="Text Box 1"/>
                <wp:cNvGraphicFramePr/>
                <a:graphic xmlns:a="http://schemas.openxmlformats.org/drawingml/2006/main">
                  <a:graphicData uri="http://schemas.microsoft.com/office/word/2010/wordprocessingShape">
                    <wps:wsp>
                      <wps:cNvSpPr txBox="1"/>
                      <wps:spPr>
                        <a:xfrm>
                          <a:off x="0" y="0"/>
                          <a:ext cx="3556000" cy="635"/>
                        </a:xfrm>
                        <a:prstGeom prst="rect">
                          <a:avLst/>
                        </a:prstGeom>
                        <a:solidFill>
                          <a:prstClr val="white"/>
                        </a:solidFill>
                        <a:ln>
                          <a:noFill/>
                        </a:ln>
                      </wps:spPr>
                      <wps:txbx>
                        <w:txbxContent>
                          <w:p w14:paraId="119961CF" w14:textId="7E1E937A" w:rsidR="00BA37E3" w:rsidRPr="00E82962" w:rsidRDefault="00BA37E3" w:rsidP="00BA37E3">
                            <w:pPr>
                              <w:pStyle w:val="Caption"/>
                              <w:rPr>
                                <w:rFonts w:ascii="Times New Roman" w:hAnsi="Times New Roman" w:cs="Times New Roman"/>
                                <w:b/>
                                <w:bCs/>
                                <w:noProof/>
                              </w:rPr>
                            </w:pPr>
                            <w:r>
                              <w:t xml:space="preserve">Figure </w:t>
                            </w:r>
                            <w:fldSimple w:instr=" SEQ Figure \* ARABIC ">
                              <w:r w:rsidR="00891853">
                                <w:rPr>
                                  <w:noProof/>
                                </w:rPr>
                                <w:t>3</w:t>
                              </w:r>
                            </w:fldSimple>
                            <w:r>
                              <w:t xml:space="preserve"> Papyri Fragments, Strudwick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0F37C2" id="_x0000_s1028" type="#_x0000_t202" style="position:absolute;left:0;text-align:left;margin-left:0;margin-top:249.15pt;width:280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" stroked="f">
                <v:textbox style="mso-fit-shape-to-text:t" inset="0,0,0,0">
                  <w:txbxContent>
                    <w:p w14:paraId="119961CF" w14:textId="7E1E937A" w:rsidR="00BA37E3" w:rsidRPr="00E82962" w:rsidRDefault="00BA37E3" w:rsidP="00BA37E3">
                      <w:pPr>
                        <w:pStyle w:val="Caption"/>
                        <w:rPr>
                          <w:rFonts w:ascii="Times New Roman" w:hAnsi="Times New Roman" w:cs="Times New Roman"/>
                          <w:b/>
                          <w:bCs/>
                          <w:noProof/>
                        </w:rPr>
                      </w:pPr>
                      <w:r>
                        <w:t xml:space="preserve">Figure </w:t>
                      </w:r>
                      <w:fldSimple w:instr=" SEQ Figure \* ARABIC ">
                        <w:r w:rsidR="00891853">
                          <w:rPr>
                            <w:noProof/>
                          </w:rPr>
                          <w:t>3</w:t>
                        </w:r>
                      </w:fldSimple>
                      <w:r>
                        <w:t xml:space="preserve"> Papyri Fragments, Strudwick (2017)</w:t>
                      </w:r>
                    </w:p>
                  </w:txbxContent>
                </v:textbox>
                <w10:wrap type="square"/>
              </v:shape>
            </w:pict>
          </mc:Fallback>
        </mc:AlternateContent>
      </w:r>
      <w:r>
        <w:rPr>
          <w:rFonts w:ascii="Times New Roman" w:hAnsi="Times New Roman" w:cs="Times New Roman"/>
          <w:b/>
          <w:bCs/>
          <w:noProof/>
        </w:rPr>
        <w:drawing>
          <wp:anchor distT="0" distB="0" distL="114300" distR="114300" simplePos="0" relativeHeight="251664384" behindDoc="0" locked="0" layoutInCell="1" allowOverlap="1" wp14:anchorId="40871988" wp14:editId="0CC530FA">
            <wp:simplePos x="0" y="0"/>
            <wp:positionH relativeFrom="margin">
              <wp:align>left</wp:align>
            </wp:positionH>
            <wp:positionV relativeFrom="paragraph">
              <wp:posOffset>485775</wp:posOffset>
            </wp:positionV>
            <wp:extent cx="3556000" cy="2621280"/>
            <wp:effectExtent l="0" t="0" r="6350" b="7620"/>
            <wp:wrapSquare wrapText="bothSides"/>
            <wp:docPr id="5607297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56000" cy="2621280"/>
                    </a:xfrm>
                    <a:prstGeom prst="rect">
                      <a:avLst/>
                    </a:prstGeom>
                    <a:noFill/>
                  </pic:spPr>
                </pic:pic>
              </a:graphicData>
            </a:graphic>
          </wp:anchor>
        </w:drawing>
      </w:r>
      <w:r w:rsidR="009B21C2">
        <w:rPr>
          <w:rFonts w:ascii="Times New Roman" w:hAnsi="Times New Roman" w:cs="Times New Roman"/>
        </w:rPr>
        <w:t xml:space="preserve">Within </w:t>
      </w:r>
      <w:r w:rsidR="00920B4D">
        <w:rPr>
          <w:rFonts w:ascii="Times New Roman" w:hAnsi="Times New Roman" w:cs="Times New Roman"/>
        </w:rPr>
        <w:t>Tomb</w:t>
      </w:r>
      <w:r w:rsidR="009B21C2">
        <w:rPr>
          <w:rFonts w:ascii="Times New Roman" w:hAnsi="Times New Roman" w:cs="Times New Roman"/>
        </w:rPr>
        <w:t xml:space="preserve"> TT99, many burial objects were found. Discussed here are the papyri, inscribed and uninscribed Shabtis, and stelae. </w:t>
      </w:r>
      <w:r w:rsidR="008934DB">
        <w:rPr>
          <w:rFonts w:ascii="Times New Roman" w:hAnsi="Times New Roman" w:cs="Times New Roman"/>
        </w:rPr>
        <w:t>Briefly, many fragment pieces of Papyri were found within TT99</w:t>
      </w:r>
      <w:r w:rsidR="006904B2">
        <w:rPr>
          <w:rFonts w:ascii="Times New Roman" w:hAnsi="Times New Roman" w:cs="Times New Roman"/>
        </w:rPr>
        <w:t xml:space="preserve">, potentially from three different papyri but all containing the name of Senneferi according to Dr </w:t>
      </w:r>
      <w:proofErr w:type="spellStart"/>
      <w:r w:rsidR="00EB25BE">
        <w:rPr>
          <w:rFonts w:ascii="Times New Roman" w:hAnsi="Times New Roman" w:cs="Times New Roman"/>
        </w:rPr>
        <w:t>Irmtraut</w:t>
      </w:r>
      <w:proofErr w:type="spellEnd"/>
      <w:r w:rsidR="00EB25BE">
        <w:rPr>
          <w:rFonts w:ascii="Times New Roman" w:hAnsi="Times New Roman" w:cs="Times New Roman"/>
        </w:rPr>
        <w:t xml:space="preserve"> Munro.</w:t>
      </w:r>
      <w:r w:rsidR="0000113F">
        <w:rPr>
          <w:rStyle w:val="FootnoteReference"/>
          <w:rFonts w:ascii="Times New Roman" w:hAnsi="Times New Roman" w:cs="Times New Roman"/>
        </w:rPr>
        <w:footnoteReference w:id="7"/>
      </w:r>
      <w:r w:rsidR="0000113F">
        <w:rPr>
          <w:rFonts w:ascii="Times New Roman" w:hAnsi="Times New Roman" w:cs="Times New Roman"/>
        </w:rPr>
        <w:t xml:space="preserve"> </w:t>
      </w:r>
      <w:r w:rsidR="00F17628">
        <w:rPr>
          <w:rFonts w:ascii="Times New Roman" w:hAnsi="Times New Roman" w:cs="Times New Roman"/>
        </w:rPr>
        <w:t>The papyri are believed to contain spells from the book of the dead</w:t>
      </w:r>
      <w:r w:rsidR="008F556A">
        <w:rPr>
          <w:rFonts w:ascii="Times New Roman" w:hAnsi="Times New Roman" w:cs="Times New Roman"/>
        </w:rPr>
        <w:t xml:space="preserve">, Lucarelli states that </w:t>
      </w:r>
      <w:r w:rsidR="0005521A">
        <w:rPr>
          <w:rFonts w:ascii="Times New Roman" w:hAnsi="Times New Roman" w:cs="Times New Roman"/>
        </w:rPr>
        <w:t>“</w:t>
      </w:r>
      <w:r w:rsidR="0005521A" w:rsidRPr="0005521A">
        <w:rPr>
          <w:rFonts w:ascii="Times New Roman" w:hAnsi="Times New Roman" w:cs="Times New Roman"/>
        </w:rPr>
        <w:t>The main, explicit function of this corpus was the protection of the deceased after death and during her/his journey in the regions of the Duat, the ancient Egyptian netherworld</w:t>
      </w:r>
      <w:r w:rsidR="0005521A">
        <w:rPr>
          <w:rFonts w:ascii="Times New Roman" w:hAnsi="Times New Roman" w:cs="Times New Roman"/>
        </w:rPr>
        <w:t>”</w:t>
      </w:r>
      <w:r w:rsidR="0005521A">
        <w:rPr>
          <w:rStyle w:val="FootnoteReference"/>
          <w:rFonts w:ascii="Times New Roman" w:hAnsi="Times New Roman" w:cs="Times New Roman"/>
        </w:rPr>
        <w:footnoteReference w:id="8"/>
      </w:r>
      <w:r w:rsidR="00531E53">
        <w:rPr>
          <w:rFonts w:ascii="Times New Roman" w:hAnsi="Times New Roman" w:cs="Times New Roman"/>
        </w:rPr>
        <w:t xml:space="preserve"> </w:t>
      </w:r>
      <w:r w:rsidR="009E64F5">
        <w:rPr>
          <w:rFonts w:ascii="Times New Roman" w:hAnsi="Times New Roman" w:cs="Times New Roman"/>
        </w:rPr>
        <w:t xml:space="preserve">The Book of the Dead and the funerary texts were of great importance to the Ancient Egyptians, just as Lucarelli states. </w:t>
      </w:r>
      <w:r w:rsidR="000317BB">
        <w:rPr>
          <w:rFonts w:ascii="Times New Roman" w:hAnsi="Times New Roman" w:cs="Times New Roman"/>
        </w:rPr>
        <w:t xml:space="preserve">Senneferi would have wanted to </w:t>
      </w:r>
      <w:r w:rsidR="000317BB">
        <w:rPr>
          <w:rFonts w:ascii="Times New Roman" w:hAnsi="Times New Roman" w:cs="Times New Roman"/>
        </w:rPr>
        <w:lastRenderedPageBreak/>
        <w:t xml:space="preserve">be buried surrounded by the Book of the Dead in order to ensure his life in the afterlife. </w:t>
      </w:r>
      <w:r w:rsidR="00291858">
        <w:rPr>
          <w:rFonts w:ascii="Times New Roman" w:hAnsi="Times New Roman" w:cs="Times New Roman"/>
        </w:rPr>
        <w:t>This is further suggested by the three different papyri containing funerary texts</w:t>
      </w:r>
      <w:r w:rsidR="00DD4619">
        <w:rPr>
          <w:rFonts w:ascii="Times New Roman" w:hAnsi="Times New Roman" w:cs="Times New Roman"/>
        </w:rPr>
        <w:t xml:space="preserve">. Not only did he have the three different papyri, </w:t>
      </w:r>
      <w:r w:rsidR="00F6508D">
        <w:rPr>
          <w:rFonts w:ascii="Times New Roman" w:hAnsi="Times New Roman" w:cs="Times New Roman"/>
        </w:rPr>
        <w:t>but he</w:t>
      </w:r>
      <w:r w:rsidR="00DD4619">
        <w:rPr>
          <w:rFonts w:ascii="Times New Roman" w:hAnsi="Times New Roman" w:cs="Times New Roman"/>
        </w:rPr>
        <w:t xml:space="preserve"> also had a linen shroud </w:t>
      </w:r>
      <w:r w:rsidR="009473A9">
        <w:rPr>
          <w:rFonts w:ascii="Times New Roman" w:hAnsi="Times New Roman" w:cs="Times New Roman"/>
        </w:rPr>
        <w:t>that contained Book of the Dead texts.</w:t>
      </w:r>
      <w:r w:rsidR="00291858">
        <w:rPr>
          <w:rFonts w:ascii="Times New Roman" w:hAnsi="Times New Roman" w:cs="Times New Roman"/>
        </w:rPr>
        <w:t xml:space="preserve"> </w:t>
      </w:r>
      <w:r w:rsidR="00F6508D">
        <w:rPr>
          <w:rFonts w:ascii="Times New Roman" w:hAnsi="Times New Roman" w:cs="Times New Roman"/>
        </w:rPr>
        <w:t>Linen shrouds</w:t>
      </w:r>
      <w:r w:rsidR="00A440A4">
        <w:rPr>
          <w:rFonts w:ascii="Times New Roman" w:hAnsi="Times New Roman" w:cs="Times New Roman"/>
        </w:rPr>
        <w:t xml:space="preserve"> are no longer in use around the time of Thutmose III, which means that Senneferi was in a transitional period.</w:t>
      </w:r>
      <w:r w:rsidR="0056028C">
        <w:rPr>
          <w:rStyle w:val="FootnoteReference"/>
          <w:rFonts w:ascii="Times New Roman" w:hAnsi="Times New Roman" w:cs="Times New Roman"/>
        </w:rPr>
        <w:footnoteReference w:id="9"/>
      </w:r>
      <w:r w:rsidR="002B5073">
        <w:rPr>
          <w:rFonts w:ascii="Times New Roman" w:hAnsi="Times New Roman" w:cs="Times New Roman"/>
        </w:rPr>
        <w:t xml:space="preserve"> The general starting date of the reign of Thutmose III is usually given as </w:t>
      </w:r>
      <w:r w:rsidR="00990EA3">
        <w:rPr>
          <w:rFonts w:ascii="Times New Roman" w:hAnsi="Times New Roman" w:cs="Times New Roman"/>
        </w:rPr>
        <w:t xml:space="preserve">1490 BCE, although some scholars believe it to be </w:t>
      </w:r>
      <w:r w:rsidR="00204C6E">
        <w:rPr>
          <w:rFonts w:ascii="Times New Roman" w:hAnsi="Times New Roman" w:cs="Times New Roman"/>
        </w:rPr>
        <w:t>earlier</w:t>
      </w:r>
      <w:r w:rsidR="00990EA3">
        <w:rPr>
          <w:rFonts w:ascii="Times New Roman" w:hAnsi="Times New Roman" w:cs="Times New Roman"/>
        </w:rPr>
        <w:t xml:space="preserve"> in 1504</w:t>
      </w:r>
      <w:r w:rsidR="00204C6E">
        <w:rPr>
          <w:rFonts w:ascii="Times New Roman" w:hAnsi="Times New Roman" w:cs="Times New Roman"/>
        </w:rPr>
        <w:t xml:space="preserve"> BCE</w:t>
      </w:r>
      <w:r w:rsidR="00287772">
        <w:rPr>
          <w:rFonts w:ascii="Times New Roman" w:hAnsi="Times New Roman" w:cs="Times New Roman"/>
        </w:rPr>
        <w:t xml:space="preserve">, some scholars even believe that the beginning of Thutmose III’s reign could have been at any point between </w:t>
      </w:r>
      <w:r w:rsidR="00A45625">
        <w:rPr>
          <w:rFonts w:ascii="Times New Roman" w:hAnsi="Times New Roman" w:cs="Times New Roman"/>
        </w:rPr>
        <w:t xml:space="preserve">1524 – 1457 BCE. </w:t>
      </w:r>
      <w:r w:rsidR="00DA72C7">
        <w:rPr>
          <w:rFonts w:ascii="Times New Roman" w:hAnsi="Times New Roman" w:cs="Times New Roman"/>
        </w:rPr>
        <w:t>Senneferi was most likely working during the reign of Thutmose III, potentially having begun his role during the reign of Hatshepsut, but this i</w:t>
      </w:r>
      <w:r w:rsidR="009B3305">
        <w:rPr>
          <w:rFonts w:ascii="Times New Roman" w:hAnsi="Times New Roman" w:cs="Times New Roman"/>
        </w:rPr>
        <w:t>s under speculation by many scholars.</w:t>
      </w:r>
      <w:r w:rsidR="009B3305">
        <w:rPr>
          <w:rStyle w:val="FootnoteReference"/>
          <w:rFonts w:ascii="Times New Roman" w:hAnsi="Times New Roman" w:cs="Times New Roman"/>
        </w:rPr>
        <w:footnoteReference w:id="10"/>
      </w:r>
      <w:r w:rsidR="009B3305">
        <w:rPr>
          <w:rFonts w:ascii="Times New Roman" w:hAnsi="Times New Roman" w:cs="Times New Roman"/>
        </w:rPr>
        <w:t xml:space="preserve"> If Senneferi was principally </w:t>
      </w:r>
      <w:r w:rsidR="00116A97">
        <w:rPr>
          <w:rFonts w:ascii="Times New Roman" w:hAnsi="Times New Roman" w:cs="Times New Roman"/>
        </w:rPr>
        <w:t>a part of Thutmose III’s reign, then it would make sense that he would ha</w:t>
      </w:r>
      <w:r w:rsidR="00410033">
        <w:rPr>
          <w:rFonts w:ascii="Times New Roman" w:hAnsi="Times New Roman" w:cs="Times New Roman"/>
        </w:rPr>
        <w:t>ve</w:t>
      </w:r>
      <w:r w:rsidR="00116A97">
        <w:rPr>
          <w:rFonts w:ascii="Times New Roman" w:hAnsi="Times New Roman" w:cs="Times New Roman"/>
        </w:rPr>
        <w:t xml:space="preserve"> a decorated linen shroud, especially if he was also a part of the reign of Hatshepsut, he may have been </w:t>
      </w:r>
      <w:r w:rsidR="00001349">
        <w:rPr>
          <w:rFonts w:ascii="Times New Roman" w:hAnsi="Times New Roman" w:cs="Times New Roman"/>
        </w:rPr>
        <w:t>a more traditional figure who was honouring the tradition of a linen shroud.</w:t>
      </w:r>
      <w:r w:rsidR="00D75E79">
        <w:rPr>
          <w:rFonts w:ascii="Times New Roman" w:hAnsi="Times New Roman" w:cs="Times New Roman"/>
        </w:rPr>
        <w:t xml:space="preserve"> </w:t>
      </w:r>
      <w:r w:rsidR="009B3305">
        <w:rPr>
          <w:rFonts w:ascii="Times New Roman" w:hAnsi="Times New Roman" w:cs="Times New Roman"/>
        </w:rPr>
        <w:t xml:space="preserve"> </w:t>
      </w:r>
      <w:r w:rsidR="00ED7011">
        <w:rPr>
          <w:rFonts w:ascii="Times New Roman" w:hAnsi="Times New Roman" w:cs="Times New Roman"/>
        </w:rPr>
        <w:t xml:space="preserve">Papyrus is made from the </w:t>
      </w:r>
      <w:r w:rsidR="000214EA">
        <w:rPr>
          <w:rFonts w:ascii="Times New Roman" w:hAnsi="Times New Roman" w:cs="Times New Roman"/>
        </w:rPr>
        <w:t>C</w:t>
      </w:r>
      <w:r w:rsidR="00B548E9">
        <w:rPr>
          <w:rFonts w:ascii="Times New Roman" w:hAnsi="Times New Roman" w:cs="Times New Roman"/>
        </w:rPr>
        <w:t xml:space="preserve">yperus Papyrus plant and had been used in Ancient Egypt </w:t>
      </w:r>
      <w:r w:rsidR="0017267E">
        <w:rPr>
          <w:rFonts w:ascii="Times New Roman" w:hAnsi="Times New Roman" w:cs="Times New Roman"/>
        </w:rPr>
        <w:t xml:space="preserve">since the early third millennium BCE, with a blank scroll being found in Tomb </w:t>
      </w:r>
      <w:r w:rsidR="006940B2">
        <w:rPr>
          <w:rFonts w:ascii="Times New Roman" w:hAnsi="Times New Roman" w:cs="Times New Roman"/>
        </w:rPr>
        <w:t>3035</w:t>
      </w:r>
      <w:r w:rsidR="00DF27FF">
        <w:rPr>
          <w:rFonts w:ascii="Times New Roman" w:hAnsi="Times New Roman" w:cs="Times New Roman"/>
        </w:rPr>
        <w:t xml:space="preserve"> </w:t>
      </w:r>
      <w:r w:rsidR="003D3BD5">
        <w:rPr>
          <w:rFonts w:ascii="Times New Roman" w:hAnsi="Times New Roman" w:cs="Times New Roman"/>
        </w:rPr>
        <w:t>(</w:t>
      </w:r>
      <w:r w:rsidR="006940B2">
        <w:rPr>
          <w:rFonts w:ascii="Times New Roman" w:hAnsi="Times New Roman" w:cs="Times New Roman"/>
        </w:rPr>
        <w:t xml:space="preserve">the early dynastic tomb of </w:t>
      </w:r>
      <w:proofErr w:type="spellStart"/>
      <w:r w:rsidR="006940B2">
        <w:rPr>
          <w:rFonts w:ascii="Times New Roman" w:hAnsi="Times New Roman" w:cs="Times New Roman"/>
        </w:rPr>
        <w:t>Hemaka</w:t>
      </w:r>
      <w:proofErr w:type="spellEnd"/>
      <w:r w:rsidR="003D3BD5">
        <w:rPr>
          <w:rFonts w:ascii="Times New Roman" w:hAnsi="Times New Roman" w:cs="Times New Roman"/>
        </w:rPr>
        <w:t>)</w:t>
      </w:r>
      <w:r w:rsidR="006940B2">
        <w:rPr>
          <w:rFonts w:ascii="Times New Roman" w:hAnsi="Times New Roman" w:cs="Times New Roman"/>
        </w:rPr>
        <w:t>.</w:t>
      </w:r>
      <w:r w:rsidR="006940B2">
        <w:rPr>
          <w:rStyle w:val="FootnoteReference"/>
          <w:rFonts w:ascii="Times New Roman" w:hAnsi="Times New Roman" w:cs="Times New Roman"/>
        </w:rPr>
        <w:footnoteReference w:id="11"/>
      </w:r>
      <w:r w:rsidR="00C2401B">
        <w:rPr>
          <w:rFonts w:ascii="Times New Roman" w:hAnsi="Times New Roman" w:cs="Times New Roman"/>
        </w:rPr>
        <w:t xml:space="preserve"> </w:t>
      </w:r>
      <w:r w:rsidR="00DF27FF">
        <w:rPr>
          <w:rFonts w:ascii="Times New Roman" w:hAnsi="Times New Roman" w:cs="Times New Roman"/>
        </w:rPr>
        <w:t xml:space="preserve">Clearly papyri have a long and important history to Ancient Egypt and this find within Tomb TT99 shows that it has continued on into the New Kingdom as well. </w:t>
      </w:r>
    </w:p>
    <w:p w14:paraId="03E6F294" w14:textId="4EF38325" w:rsidR="00560BC4" w:rsidRPr="00560BC4" w:rsidRDefault="00560BC4" w:rsidP="00DF27FF">
      <w:pPr>
        <w:ind w:firstLine="720"/>
        <w:rPr>
          <w:rFonts w:ascii="Times New Roman" w:hAnsi="Times New Roman" w:cs="Times New Roman"/>
          <w:b/>
          <w:bCs/>
        </w:rPr>
      </w:pPr>
      <w:r>
        <w:rPr>
          <w:rFonts w:ascii="Times New Roman" w:hAnsi="Times New Roman" w:cs="Times New Roman"/>
          <w:b/>
          <w:bCs/>
        </w:rPr>
        <w:t>Stelae:</w:t>
      </w:r>
    </w:p>
    <w:p w14:paraId="70B30C7B" w14:textId="6EC43C9C" w:rsidR="00DF27FF" w:rsidRDefault="00151FE1" w:rsidP="00203031">
      <w:pPr>
        <w:spacing w:line="240" w:lineRule="auto"/>
        <w:rPr>
          <w:rFonts w:ascii="Times New Roman" w:hAnsi="Times New Roman" w:cs="Times New Roman"/>
        </w:rPr>
      </w:pPr>
      <w:r>
        <w:rPr>
          <w:noProof/>
        </w:rPr>
        <mc:AlternateContent>
          <mc:Choice Requires="wps">
            <w:drawing>
              <wp:anchor distT="0" distB="0" distL="114300" distR="114300" simplePos="0" relativeHeight="251657216" behindDoc="0" locked="0" layoutInCell="1" allowOverlap="1" wp14:anchorId="18160439" wp14:editId="207CB71E">
                <wp:simplePos x="0" y="0"/>
                <wp:positionH relativeFrom="column">
                  <wp:posOffset>2626360</wp:posOffset>
                </wp:positionH>
                <wp:positionV relativeFrom="paragraph">
                  <wp:posOffset>1837690</wp:posOffset>
                </wp:positionV>
                <wp:extent cx="3103880" cy="635"/>
                <wp:effectExtent l="0" t="0" r="0" b="0"/>
                <wp:wrapSquare wrapText="bothSides"/>
                <wp:docPr id="1689078141" name="Text Box 1"/>
                <wp:cNvGraphicFramePr/>
                <a:graphic xmlns:a="http://schemas.openxmlformats.org/drawingml/2006/main">
                  <a:graphicData uri="http://schemas.microsoft.com/office/word/2010/wordprocessingShape">
                    <wps:wsp>
                      <wps:cNvSpPr txBox="1"/>
                      <wps:spPr>
                        <a:xfrm>
                          <a:off x="0" y="0"/>
                          <a:ext cx="3103880" cy="635"/>
                        </a:xfrm>
                        <a:prstGeom prst="rect">
                          <a:avLst/>
                        </a:prstGeom>
                        <a:solidFill>
                          <a:prstClr val="white"/>
                        </a:solidFill>
                        <a:ln>
                          <a:noFill/>
                        </a:ln>
                      </wps:spPr>
                      <wps:txbx>
                        <w:txbxContent>
                          <w:p w14:paraId="6A08F4A6" w14:textId="6E336BD3" w:rsidR="00151FE1" w:rsidRPr="00BD07AB" w:rsidRDefault="00151FE1" w:rsidP="00151FE1">
                            <w:pPr>
                              <w:pStyle w:val="Caption"/>
                              <w:rPr>
                                <w:rFonts w:ascii="Times New Roman" w:hAnsi="Times New Roman" w:cs="Times New Roman"/>
                                <w:b/>
                                <w:bCs/>
                                <w:noProof/>
                              </w:rPr>
                            </w:pPr>
                            <w:r>
                              <w:t xml:space="preserve">Figure </w:t>
                            </w:r>
                            <w:fldSimple w:instr=" SEQ Figure \* ARABIC ">
                              <w:r w:rsidR="00891853">
                                <w:rPr>
                                  <w:noProof/>
                                </w:rPr>
                                <w:t>4</w:t>
                              </w:r>
                            </w:fldSimple>
                            <w:r>
                              <w:t xml:space="preserve"> Stela reconstruction, Strudwick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160439" id="_x0000_s1029" type="#_x0000_t202" style="position:absolute;margin-left:206.8pt;margin-top:144.7pt;width:244.4pt;height:.0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" stroked="f">
                <v:textbox style="mso-fit-shape-to-text:t" inset="0,0,0,0">
                  <w:txbxContent>
                    <w:p w14:paraId="6A08F4A6" w14:textId="6E336BD3" w:rsidR="00151FE1" w:rsidRPr="00BD07AB" w:rsidRDefault="00151FE1" w:rsidP="00151FE1">
                      <w:pPr>
                        <w:pStyle w:val="Caption"/>
                        <w:rPr>
                          <w:rFonts w:ascii="Times New Roman" w:hAnsi="Times New Roman" w:cs="Times New Roman"/>
                          <w:b/>
                          <w:bCs/>
                          <w:noProof/>
                        </w:rPr>
                      </w:pPr>
                      <w:r>
                        <w:t xml:space="preserve">Figure </w:t>
                      </w:r>
                      <w:fldSimple w:instr=" SEQ Figure \* ARABIC ">
                        <w:r w:rsidR="00891853">
                          <w:rPr>
                            <w:noProof/>
                          </w:rPr>
                          <w:t>4</w:t>
                        </w:r>
                      </w:fldSimple>
                      <w:r>
                        <w:t xml:space="preserve"> Stela reconstruction, Strudwick (2017)</w:t>
                      </w:r>
                    </w:p>
                  </w:txbxContent>
                </v:textbox>
                <w10:wrap type="square"/>
              </v:shape>
            </w:pict>
          </mc:Fallback>
        </mc:AlternateContent>
      </w:r>
      <w:r>
        <w:rPr>
          <w:rFonts w:ascii="Times New Roman" w:hAnsi="Times New Roman" w:cs="Times New Roman"/>
          <w:b/>
          <w:bCs/>
          <w:noProof/>
        </w:rPr>
        <w:drawing>
          <wp:anchor distT="0" distB="0" distL="114300" distR="114300" simplePos="0" relativeHeight="251656192" behindDoc="0" locked="0" layoutInCell="1" allowOverlap="1" wp14:anchorId="7061BD56" wp14:editId="65ECBB24">
            <wp:simplePos x="0" y="0"/>
            <wp:positionH relativeFrom="margin">
              <wp:align>right</wp:align>
            </wp:positionH>
            <wp:positionV relativeFrom="paragraph">
              <wp:posOffset>11430</wp:posOffset>
            </wp:positionV>
            <wp:extent cx="3103880" cy="1769110"/>
            <wp:effectExtent l="0" t="0" r="1270" b="2540"/>
            <wp:wrapSquare wrapText="bothSides"/>
            <wp:docPr id="4507737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03880" cy="1769110"/>
                    </a:xfrm>
                    <a:prstGeom prst="rect">
                      <a:avLst/>
                    </a:prstGeom>
                    <a:noFill/>
                  </pic:spPr>
                </pic:pic>
              </a:graphicData>
            </a:graphic>
            <wp14:sizeRelH relativeFrom="margin">
              <wp14:pctWidth>0</wp14:pctWidth>
            </wp14:sizeRelH>
            <wp14:sizeRelV relativeFrom="margin">
              <wp14:pctHeight>0</wp14:pctHeight>
            </wp14:sizeRelV>
          </wp:anchor>
        </w:drawing>
      </w:r>
      <w:r w:rsidR="00DF27FF">
        <w:rPr>
          <w:rFonts w:ascii="Times New Roman" w:hAnsi="Times New Roman" w:cs="Times New Roman"/>
        </w:rPr>
        <w:tab/>
      </w:r>
      <w:r w:rsidR="00896074">
        <w:rPr>
          <w:rFonts w:ascii="Times New Roman" w:hAnsi="Times New Roman" w:cs="Times New Roman"/>
        </w:rPr>
        <w:t xml:space="preserve">A </w:t>
      </w:r>
      <w:r w:rsidR="000E0086">
        <w:rPr>
          <w:rFonts w:ascii="Times New Roman" w:hAnsi="Times New Roman" w:cs="Times New Roman"/>
        </w:rPr>
        <w:t>stela</w:t>
      </w:r>
      <w:r w:rsidR="00896074">
        <w:rPr>
          <w:rFonts w:ascii="Times New Roman" w:hAnsi="Times New Roman" w:cs="Times New Roman"/>
        </w:rPr>
        <w:t xml:space="preserve"> was also found within Tomb TT99. </w:t>
      </w:r>
      <w:r w:rsidR="00C33DFB">
        <w:rPr>
          <w:rFonts w:ascii="Times New Roman" w:hAnsi="Times New Roman" w:cs="Times New Roman"/>
        </w:rPr>
        <w:t>Fragments were found throughout the tomb</w:t>
      </w:r>
      <w:r w:rsidR="00ED04C9">
        <w:rPr>
          <w:rFonts w:ascii="Times New Roman" w:hAnsi="Times New Roman" w:cs="Times New Roman"/>
        </w:rPr>
        <w:t>, with a fragment being found in Tomb TT29.</w:t>
      </w:r>
      <w:r w:rsidR="002C28B6">
        <w:rPr>
          <w:rFonts w:ascii="Times New Roman" w:hAnsi="Times New Roman" w:cs="Times New Roman"/>
        </w:rPr>
        <w:t xml:space="preserve"> A reconstruction of the potential Stela at Tomb TT99 can be found to the right, it is believed that it was a complex Stela</w:t>
      </w:r>
      <w:r w:rsidR="00FA31F8">
        <w:rPr>
          <w:rFonts w:ascii="Times New Roman" w:hAnsi="Times New Roman" w:cs="Times New Roman"/>
        </w:rPr>
        <w:t>, with an offering scene where Senneferi is waiting upon the King.</w:t>
      </w:r>
      <w:r w:rsidR="00FA31F8">
        <w:rPr>
          <w:rStyle w:val="FootnoteReference"/>
          <w:rFonts w:ascii="Times New Roman" w:hAnsi="Times New Roman" w:cs="Times New Roman"/>
        </w:rPr>
        <w:footnoteReference w:id="12"/>
      </w:r>
      <w:r w:rsidR="00FA31F8">
        <w:rPr>
          <w:rFonts w:ascii="Times New Roman" w:hAnsi="Times New Roman" w:cs="Times New Roman"/>
        </w:rPr>
        <w:t xml:space="preserve"> </w:t>
      </w:r>
      <w:r w:rsidR="00203031">
        <w:rPr>
          <w:rFonts w:ascii="Times New Roman" w:hAnsi="Times New Roman" w:cs="Times New Roman"/>
        </w:rPr>
        <w:t>Strudwick states that “A</w:t>
      </w:r>
      <w:r w:rsidR="00203031" w:rsidRPr="00203031">
        <w:rPr>
          <w:rFonts w:ascii="Times New Roman" w:hAnsi="Times New Roman" w:cs="Times New Roman"/>
        </w:rPr>
        <w:t>t least 146 fragments of limestone stela have been</w:t>
      </w:r>
      <w:r w:rsidR="00203031">
        <w:rPr>
          <w:rFonts w:ascii="Times New Roman" w:hAnsi="Times New Roman" w:cs="Times New Roman"/>
        </w:rPr>
        <w:t xml:space="preserve"> </w:t>
      </w:r>
      <w:r w:rsidR="00203031" w:rsidRPr="00203031">
        <w:rPr>
          <w:rFonts w:ascii="Times New Roman" w:hAnsi="Times New Roman" w:cs="Times New Roman"/>
        </w:rPr>
        <w:t>identified from the excavations. Of these, 15% came from</w:t>
      </w:r>
      <w:r w:rsidR="00203031">
        <w:rPr>
          <w:rFonts w:ascii="Times New Roman" w:hAnsi="Times New Roman" w:cs="Times New Roman"/>
        </w:rPr>
        <w:t xml:space="preserve"> </w:t>
      </w:r>
      <w:r w:rsidR="00203031" w:rsidRPr="00203031">
        <w:rPr>
          <w:rFonts w:ascii="Times New Roman" w:hAnsi="Times New Roman" w:cs="Times New Roman"/>
        </w:rPr>
        <w:t>the Courtyard, and 83% from the shafts in the Courtyard,</w:t>
      </w:r>
      <w:r w:rsidR="00203031">
        <w:rPr>
          <w:rFonts w:ascii="Times New Roman" w:hAnsi="Times New Roman" w:cs="Times New Roman"/>
        </w:rPr>
        <w:t xml:space="preserve"> </w:t>
      </w:r>
      <w:r w:rsidR="007F658D">
        <w:rPr>
          <w:rFonts w:ascii="Times New Roman" w:hAnsi="Times New Roman" w:cs="Times New Roman"/>
        </w:rPr>
        <w:t>t</w:t>
      </w:r>
      <w:r w:rsidR="00203031" w:rsidRPr="00203031">
        <w:rPr>
          <w:rFonts w:ascii="Times New Roman" w:hAnsi="Times New Roman" w:cs="Times New Roman"/>
        </w:rPr>
        <w:t>he majority from Shaft I</w:t>
      </w:r>
      <w:r w:rsidR="00203031">
        <w:rPr>
          <w:rFonts w:ascii="Times New Roman" w:hAnsi="Times New Roman" w:cs="Times New Roman"/>
        </w:rPr>
        <w:t>”</w:t>
      </w:r>
      <w:r w:rsidR="00AF04B1">
        <w:rPr>
          <w:rStyle w:val="FootnoteReference"/>
          <w:rFonts w:ascii="Times New Roman" w:hAnsi="Times New Roman" w:cs="Times New Roman"/>
        </w:rPr>
        <w:footnoteReference w:id="13"/>
      </w:r>
      <w:r w:rsidR="00B93077">
        <w:rPr>
          <w:rFonts w:ascii="Times New Roman" w:hAnsi="Times New Roman" w:cs="Times New Roman"/>
        </w:rPr>
        <w:t xml:space="preserve"> The Stela depicted here, that is thought to represent the Stela in </w:t>
      </w:r>
      <w:proofErr w:type="spellStart"/>
      <w:r w:rsidR="00B93077">
        <w:rPr>
          <w:rFonts w:ascii="Times New Roman" w:hAnsi="Times New Roman" w:cs="Times New Roman"/>
        </w:rPr>
        <w:t>Senneferi’s</w:t>
      </w:r>
      <w:proofErr w:type="spellEnd"/>
      <w:r w:rsidR="00B93077">
        <w:rPr>
          <w:rFonts w:ascii="Times New Roman" w:hAnsi="Times New Roman" w:cs="Times New Roman"/>
        </w:rPr>
        <w:t xml:space="preserve"> tomb, is a round topped Stela</w:t>
      </w:r>
      <w:r w:rsidR="00F05E1C">
        <w:rPr>
          <w:rFonts w:ascii="Times New Roman" w:hAnsi="Times New Roman" w:cs="Times New Roman"/>
        </w:rPr>
        <w:t xml:space="preserve">. Round topped Stela often represented the </w:t>
      </w:r>
      <w:r w:rsidR="00483DD5">
        <w:rPr>
          <w:rFonts w:ascii="Times New Roman" w:hAnsi="Times New Roman" w:cs="Times New Roman"/>
        </w:rPr>
        <w:t>“curved roof of a vaulted chapel”</w:t>
      </w:r>
      <w:r w:rsidR="00813047">
        <w:rPr>
          <w:rStyle w:val="FootnoteReference"/>
          <w:rFonts w:ascii="Times New Roman" w:hAnsi="Times New Roman" w:cs="Times New Roman"/>
        </w:rPr>
        <w:footnoteReference w:id="14"/>
      </w:r>
      <w:r w:rsidR="00813047">
        <w:rPr>
          <w:rFonts w:ascii="Times New Roman" w:hAnsi="Times New Roman" w:cs="Times New Roman"/>
        </w:rPr>
        <w:t xml:space="preserve"> </w:t>
      </w:r>
      <w:r w:rsidR="00C966CF">
        <w:rPr>
          <w:rFonts w:ascii="Times New Roman" w:hAnsi="Times New Roman" w:cs="Times New Roman"/>
        </w:rPr>
        <w:t xml:space="preserve">Stela often “seem to touch </w:t>
      </w:r>
      <w:r w:rsidR="00C966CF">
        <w:rPr>
          <w:rFonts w:ascii="Times New Roman" w:hAnsi="Times New Roman" w:cs="Times New Roman"/>
        </w:rPr>
        <w:lastRenderedPageBreak/>
        <w:t>every imaginable aspect of the civilisation</w:t>
      </w:r>
      <w:r w:rsidR="0077303F">
        <w:rPr>
          <w:rFonts w:ascii="Times New Roman" w:hAnsi="Times New Roman" w:cs="Times New Roman"/>
        </w:rPr>
        <w:t xml:space="preserve"> that created them: not only religious beliefs and practices but also history and geography, kingship and administration, trade and industry, tradition and innovations, visual arts and literature.”</w:t>
      </w:r>
      <w:r w:rsidR="002F53AB">
        <w:rPr>
          <w:rStyle w:val="FootnoteReference"/>
          <w:rFonts w:ascii="Times New Roman" w:hAnsi="Times New Roman" w:cs="Times New Roman"/>
        </w:rPr>
        <w:footnoteReference w:id="15"/>
      </w:r>
      <w:r w:rsidR="00913397">
        <w:rPr>
          <w:rFonts w:ascii="Times New Roman" w:hAnsi="Times New Roman" w:cs="Times New Roman"/>
        </w:rPr>
        <w:t xml:space="preserve"> </w:t>
      </w:r>
      <w:r w:rsidR="00956DA8">
        <w:rPr>
          <w:rFonts w:ascii="Times New Roman" w:hAnsi="Times New Roman" w:cs="Times New Roman"/>
        </w:rPr>
        <w:t xml:space="preserve">Stela had a significant place within Ancient Egyptian culture. They reflected the </w:t>
      </w:r>
      <w:r w:rsidR="004E2F49">
        <w:rPr>
          <w:rFonts w:ascii="Times New Roman" w:hAnsi="Times New Roman" w:cs="Times New Roman"/>
        </w:rPr>
        <w:t>life of the person buried and allowed their name and deed</w:t>
      </w:r>
      <w:r w:rsidR="00385A03">
        <w:rPr>
          <w:rFonts w:ascii="Times New Roman" w:hAnsi="Times New Roman" w:cs="Times New Roman"/>
        </w:rPr>
        <w:t xml:space="preserve">s </w:t>
      </w:r>
      <w:r w:rsidR="004E2F49">
        <w:rPr>
          <w:rFonts w:ascii="Times New Roman" w:hAnsi="Times New Roman" w:cs="Times New Roman"/>
        </w:rPr>
        <w:t xml:space="preserve">to </w:t>
      </w:r>
      <w:r w:rsidR="00AB3C67">
        <w:rPr>
          <w:rFonts w:ascii="Times New Roman" w:hAnsi="Times New Roman" w:cs="Times New Roman"/>
        </w:rPr>
        <w:t>continue</w:t>
      </w:r>
      <w:r w:rsidR="004E2F49">
        <w:rPr>
          <w:rFonts w:ascii="Times New Roman" w:hAnsi="Times New Roman" w:cs="Times New Roman"/>
        </w:rPr>
        <w:t xml:space="preserve"> to the next life. </w:t>
      </w:r>
      <w:r w:rsidR="00920121">
        <w:rPr>
          <w:rFonts w:ascii="Times New Roman" w:hAnsi="Times New Roman" w:cs="Times New Roman"/>
        </w:rPr>
        <w:t>The Ancient Egyptians believe the</w:t>
      </w:r>
      <w:r w:rsidR="00920121" w:rsidRPr="00920121">
        <w:rPr>
          <w:rFonts w:ascii="Times New Roman" w:hAnsi="Times New Roman" w:cs="Times New Roman"/>
        </w:rPr>
        <w:t xml:space="preserve"> </w:t>
      </w:r>
      <w:r w:rsidR="007655EE">
        <w:rPr>
          <w:rFonts w:ascii="Times New Roman" w:hAnsi="Times New Roman" w:cs="Times New Roman"/>
        </w:rPr>
        <w:t>“I</w:t>
      </w:r>
      <w:r w:rsidR="00920121" w:rsidRPr="00920121">
        <w:rPr>
          <w:rFonts w:ascii="Times New Roman" w:hAnsi="Times New Roman" w:cs="Times New Roman"/>
        </w:rPr>
        <w:t>deal was that in death people should be buried in a</w:t>
      </w:r>
      <w:r w:rsidR="007655EE">
        <w:rPr>
          <w:rFonts w:ascii="Times New Roman" w:hAnsi="Times New Roman" w:cs="Times New Roman"/>
        </w:rPr>
        <w:t xml:space="preserve"> </w:t>
      </w:r>
      <w:r w:rsidR="00920121" w:rsidRPr="00920121">
        <w:rPr>
          <w:rFonts w:ascii="Times New Roman" w:hAnsi="Times New Roman" w:cs="Times New Roman"/>
        </w:rPr>
        <w:t>splendid and everlasting tomb that supplied a visible memorial to them</w:t>
      </w:r>
      <w:r w:rsidR="00920121">
        <w:rPr>
          <w:rFonts w:ascii="Times New Roman" w:hAnsi="Times New Roman" w:cs="Times New Roman"/>
        </w:rPr>
        <w:t>”</w:t>
      </w:r>
      <w:r w:rsidR="00995AE6">
        <w:rPr>
          <w:rStyle w:val="FootnoteReference"/>
          <w:rFonts w:ascii="Times New Roman" w:hAnsi="Times New Roman" w:cs="Times New Roman"/>
        </w:rPr>
        <w:footnoteReference w:id="16"/>
      </w:r>
      <w:r w:rsidR="00995AE6">
        <w:rPr>
          <w:rFonts w:ascii="Times New Roman" w:hAnsi="Times New Roman" w:cs="Times New Roman"/>
        </w:rPr>
        <w:t xml:space="preserve"> This clearly shows that the Ancient Egyptians believed in the need to continue their legacy after death </w:t>
      </w:r>
      <w:proofErr w:type="gramStart"/>
      <w:r w:rsidR="00995AE6">
        <w:rPr>
          <w:rFonts w:ascii="Times New Roman" w:hAnsi="Times New Roman" w:cs="Times New Roman"/>
        </w:rPr>
        <w:t>as a way to</w:t>
      </w:r>
      <w:proofErr w:type="gramEnd"/>
      <w:r w:rsidR="00995AE6">
        <w:rPr>
          <w:rFonts w:ascii="Times New Roman" w:hAnsi="Times New Roman" w:cs="Times New Roman"/>
        </w:rPr>
        <w:t xml:space="preserve"> immortalise them.</w:t>
      </w:r>
    </w:p>
    <w:p w14:paraId="2D73AA6B" w14:textId="7D96FD5A" w:rsidR="00560BC4" w:rsidRPr="00560BC4" w:rsidRDefault="00873258" w:rsidP="00203031">
      <w:pPr>
        <w:spacing w:line="240" w:lineRule="auto"/>
        <w:rPr>
          <w:rFonts w:ascii="Times New Roman" w:hAnsi="Times New Roman" w:cs="Times New Roman"/>
          <w:b/>
          <w:bCs/>
        </w:rPr>
      </w:pPr>
      <w:r>
        <w:rPr>
          <w:rFonts w:ascii="Times New Roman" w:hAnsi="Times New Roman" w:cs="Times New Roman"/>
          <w:b/>
          <w:bCs/>
        </w:rPr>
        <w:tab/>
        <w:t>Inscribed and Uninscribed Shabtis:</w:t>
      </w:r>
    </w:p>
    <w:p w14:paraId="7ABC56D7" w14:textId="1E96D2AD" w:rsidR="00995AE6" w:rsidRPr="009B21C2" w:rsidRDefault="00EA7F3A" w:rsidP="00873258">
      <w:pPr>
        <w:spacing w:line="240" w:lineRule="auto"/>
        <w:ind w:firstLine="720"/>
        <w:rPr>
          <w:rFonts w:ascii="Times New Roman" w:hAnsi="Times New Roman" w:cs="Times New Roman"/>
        </w:rPr>
      </w:pPr>
      <w:r>
        <w:rPr>
          <w:noProof/>
        </w:rPr>
        <mc:AlternateContent>
          <mc:Choice Requires="wps">
            <w:drawing>
              <wp:anchor distT="0" distB="0" distL="114300" distR="114300" simplePos="0" relativeHeight="251672576" behindDoc="0" locked="0" layoutInCell="1" allowOverlap="1" wp14:anchorId="01010870" wp14:editId="7BCCBD52">
                <wp:simplePos x="0" y="0"/>
                <wp:positionH relativeFrom="column">
                  <wp:posOffset>3921760</wp:posOffset>
                </wp:positionH>
                <wp:positionV relativeFrom="paragraph">
                  <wp:posOffset>3267710</wp:posOffset>
                </wp:positionV>
                <wp:extent cx="1802130" cy="635"/>
                <wp:effectExtent l="0" t="0" r="0" b="0"/>
                <wp:wrapSquare wrapText="bothSides"/>
                <wp:docPr id="1427692981" name="Text Box 1"/>
                <wp:cNvGraphicFramePr/>
                <a:graphic xmlns:a="http://schemas.openxmlformats.org/drawingml/2006/main">
                  <a:graphicData uri="http://schemas.microsoft.com/office/word/2010/wordprocessingShape">
                    <wps:wsp>
                      <wps:cNvSpPr txBox="1"/>
                      <wps:spPr>
                        <a:xfrm>
                          <a:off x="0" y="0"/>
                          <a:ext cx="1802130" cy="635"/>
                        </a:xfrm>
                        <a:prstGeom prst="rect">
                          <a:avLst/>
                        </a:prstGeom>
                        <a:solidFill>
                          <a:prstClr val="white"/>
                        </a:solidFill>
                        <a:ln>
                          <a:noFill/>
                        </a:ln>
                      </wps:spPr>
                      <wps:txbx>
                        <w:txbxContent>
                          <w:p w14:paraId="189F9E81" w14:textId="1D3E9F45" w:rsidR="00EA7F3A" w:rsidRPr="00D42375" w:rsidRDefault="00EA7F3A" w:rsidP="00EA7F3A">
                            <w:pPr>
                              <w:pStyle w:val="Caption"/>
                              <w:rPr>
                                <w:rFonts w:ascii="Times New Roman" w:hAnsi="Times New Roman" w:cs="Times New Roman"/>
                                <w:noProof/>
                              </w:rPr>
                            </w:pPr>
                            <w:r>
                              <w:t xml:space="preserve">Figure </w:t>
                            </w:r>
                            <w:fldSimple w:instr=" SEQ Figure \* ARABIC ">
                              <w:r w:rsidR="00891853">
                                <w:rPr>
                                  <w:noProof/>
                                </w:rPr>
                                <w:t>5</w:t>
                              </w:r>
                            </w:fldSimple>
                            <w:r>
                              <w:t xml:space="preserve"> Inscribed Shabti, Strudwick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010870" id="_x0000_s1030" type="#_x0000_t202" style="position:absolute;left:0;text-align:left;margin-left:308.8pt;margin-top:257.3pt;width:141.9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" stroked="f">
                <v:textbox style="mso-fit-shape-to-text:t" inset="0,0,0,0">
                  <w:txbxContent>
                    <w:p w14:paraId="189F9E81" w14:textId="1D3E9F45" w:rsidR="00EA7F3A" w:rsidRPr="00D42375" w:rsidRDefault="00EA7F3A" w:rsidP="00EA7F3A">
                      <w:pPr>
                        <w:pStyle w:val="Caption"/>
                        <w:rPr>
                          <w:rFonts w:ascii="Times New Roman" w:hAnsi="Times New Roman" w:cs="Times New Roman"/>
                          <w:noProof/>
                        </w:rPr>
                      </w:pPr>
                      <w:r>
                        <w:t xml:space="preserve">Figure </w:t>
                      </w:r>
                      <w:fldSimple w:instr=" SEQ Figure \* ARABIC ">
                        <w:r w:rsidR="00891853">
                          <w:rPr>
                            <w:noProof/>
                          </w:rPr>
                          <w:t>5</w:t>
                        </w:r>
                      </w:fldSimple>
                      <w:r>
                        <w:t xml:space="preserve"> Inscribed Shabti, Strudwick (2017)</w:t>
                      </w:r>
                    </w:p>
                  </w:txbxContent>
                </v:textbox>
                <w10:wrap type="square"/>
              </v:shape>
            </w:pict>
          </mc:Fallback>
        </mc:AlternateContent>
      </w:r>
      <w:r>
        <w:rPr>
          <w:rFonts w:ascii="Times New Roman" w:hAnsi="Times New Roman" w:cs="Times New Roman"/>
          <w:noProof/>
        </w:rPr>
        <w:drawing>
          <wp:anchor distT="0" distB="0" distL="114300" distR="114300" simplePos="0" relativeHeight="251658240" behindDoc="0" locked="0" layoutInCell="1" allowOverlap="1" wp14:anchorId="41335A35" wp14:editId="046EA0BE">
            <wp:simplePos x="0" y="0"/>
            <wp:positionH relativeFrom="margin">
              <wp:align>right</wp:align>
            </wp:positionH>
            <wp:positionV relativeFrom="paragraph">
              <wp:posOffset>217382</wp:posOffset>
            </wp:positionV>
            <wp:extent cx="1802130" cy="2993390"/>
            <wp:effectExtent l="0" t="0" r="7620" b="0"/>
            <wp:wrapSquare wrapText="bothSides"/>
            <wp:docPr id="13306232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02130" cy="2993390"/>
                    </a:xfrm>
                    <a:prstGeom prst="rect">
                      <a:avLst/>
                    </a:prstGeom>
                    <a:noFill/>
                  </pic:spPr>
                </pic:pic>
              </a:graphicData>
            </a:graphic>
            <wp14:sizeRelH relativeFrom="margin">
              <wp14:pctWidth>0</wp14:pctWidth>
            </wp14:sizeRelH>
            <wp14:sizeRelV relativeFrom="margin">
              <wp14:pctHeight>0</wp14:pctHeight>
            </wp14:sizeRelV>
          </wp:anchor>
        </w:drawing>
      </w:r>
      <w:r w:rsidR="00995AE6">
        <w:rPr>
          <w:rFonts w:ascii="Times New Roman" w:hAnsi="Times New Roman" w:cs="Times New Roman"/>
        </w:rPr>
        <w:t xml:space="preserve">Also </w:t>
      </w:r>
      <w:r w:rsidR="00A7361D">
        <w:rPr>
          <w:rFonts w:ascii="Times New Roman" w:hAnsi="Times New Roman" w:cs="Times New Roman"/>
        </w:rPr>
        <w:t xml:space="preserve">found within tomb TT99 were Inscribed and uninscribed Shabtis </w:t>
      </w:r>
      <w:r w:rsidR="00D1433B">
        <w:rPr>
          <w:rFonts w:ascii="Times New Roman" w:hAnsi="Times New Roman" w:cs="Times New Roman"/>
        </w:rPr>
        <w:t>that</w:t>
      </w:r>
      <w:r w:rsidR="00A7361D">
        <w:rPr>
          <w:rFonts w:ascii="Times New Roman" w:hAnsi="Times New Roman" w:cs="Times New Roman"/>
        </w:rPr>
        <w:t xml:space="preserve"> originated in the Third Intermediate Period.</w:t>
      </w:r>
      <w:r w:rsidR="00D1433B">
        <w:rPr>
          <w:rStyle w:val="FootnoteReference"/>
          <w:rFonts w:ascii="Times New Roman" w:hAnsi="Times New Roman" w:cs="Times New Roman"/>
        </w:rPr>
        <w:footnoteReference w:id="17"/>
      </w:r>
      <w:r w:rsidR="00D1433B">
        <w:rPr>
          <w:rFonts w:ascii="Times New Roman" w:hAnsi="Times New Roman" w:cs="Times New Roman"/>
        </w:rPr>
        <w:t xml:space="preserve"> The Third Intermediate Period consisted of </w:t>
      </w:r>
      <w:r w:rsidR="00887655">
        <w:rPr>
          <w:rFonts w:ascii="Times New Roman" w:hAnsi="Times New Roman" w:cs="Times New Roman"/>
        </w:rPr>
        <w:t>Dynasties 21 to 25, ranging from 1075 to 656</w:t>
      </w:r>
      <w:r w:rsidR="001556C7">
        <w:rPr>
          <w:rFonts w:ascii="Times New Roman" w:hAnsi="Times New Roman" w:cs="Times New Roman"/>
        </w:rPr>
        <w:t xml:space="preserve"> BCE.</w:t>
      </w:r>
      <w:r w:rsidR="001556C7">
        <w:rPr>
          <w:rStyle w:val="FootnoteReference"/>
          <w:rFonts w:ascii="Times New Roman" w:hAnsi="Times New Roman" w:cs="Times New Roman"/>
        </w:rPr>
        <w:footnoteReference w:id="18"/>
      </w:r>
      <w:r w:rsidR="001556C7">
        <w:rPr>
          <w:rFonts w:ascii="Times New Roman" w:hAnsi="Times New Roman" w:cs="Times New Roman"/>
        </w:rPr>
        <w:t xml:space="preserve"> </w:t>
      </w:r>
      <w:r w:rsidR="005B607F">
        <w:rPr>
          <w:rFonts w:ascii="Times New Roman" w:hAnsi="Times New Roman" w:cs="Times New Roman"/>
        </w:rPr>
        <w:t xml:space="preserve">To begin, </w:t>
      </w:r>
      <w:r w:rsidR="00BA73F4">
        <w:rPr>
          <w:rFonts w:ascii="Times New Roman" w:hAnsi="Times New Roman" w:cs="Times New Roman"/>
        </w:rPr>
        <w:t xml:space="preserve">the tomb was clearly reused for other burials after Senneferi, as Senneferi was buried during the New Kingdom, </w:t>
      </w:r>
      <w:r w:rsidR="00A47BAF">
        <w:rPr>
          <w:rFonts w:ascii="Times New Roman" w:hAnsi="Times New Roman" w:cs="Times New Roman"/>
        </w:rPr>
        <w:t>many centuries before the start of the Third Intermediate Period</w:t>
      </w:r>
      <w:r w:rsidR="0089673E">
        <w:rPr>
          <w:rFonts w:ascii="Times New Roman" w:hAnsi="Times New Roman" w:cs="Times New Roman"/>
        </w:rPr>
        <w:t xml:space="preserve"> which these objects are dated to. Firstly, only one </w:t>
      </w:r>
      <w:r w:rsidR="008761F5">
        <w:rPr>
          <w:rFonts w:ascii="Times New Roman" w:hAnsi="Times New Roman" w:cs="Times New Roman"/>
        </w:rPr>
        <w:t xml:space="preserve">set of inscribed shabtis </w:t>
      </w:r>
      <w:r w:rsidR="005D1EE0">
        <w:rPr>
          <w:rFonts w:ascii="Times New Roman" w:hAnsi="Times New Roman" w:cs="Times New Roman"/>
        </w:rPr>
        <w:t xml:space="preserve">were </w:t>
      </w:r>
      <w:r w:rsidR="008761F5">
        <w:rPr>
          <w:rFonts w:ascii="Times New Roman" w:hAnsi="Times New Roman" w:cs="Times New Roman"/>
        </w:rPr>
        <w:t>found within the tomb, bearing the name of Ne</w:t>
      </w:r>
      <w:r w:rsidR="00EA4CEB">
        <w:rPr>
          <w:rFonts w:ascii="Times New Roman" w:hAnsi="Times New Roman" w:cs="Times New Roman"/>
        </w:rPr>
        <w:t>shathor.</w:t>
      </w:r>
      <w:r w:rsidR="00C6650B">
        <w:rPr>
          <w:rStyle w:val="FootnoteReference"/>
          <w:rFonts w:ascii="Times New Roman" w:hAnsi="Times New Roman" w:cs="Times New Roman"/>
        </w:rPr>
        <w:footnoteReference w:id="19"/>
      </w:r>
      <w:r w:rsidR="00C6650B">
        <w:rPr>
          <w:rFonts w:ascii="Times New Roman" w:hAnsi="Times New Roman" w:cs="Times New Roman"/>
        </w:rPr>
        <w:t xml:space="preserve"> </w:t>
      </w:r>
      <w:r w:rsidR="000241AF">
        <w:rPr>
          <w:rFonts w:ascii="Times New Roman" w:hAnsi="Times New Roman" w:cs="Times New Roman"/>
        </w:rPr>
        <w:t>There is the potential that more inscribed shabtis were in Tomb TT99</w:t>
      </w:r>
      <w:r w:rsidR="006517E7">
        <w:rPr>
          <w:rFonts w:ascii="Times New Roman" w:hAnsi="Times New Roman" w:cs="Times New Roman"/>
        </w:rPr>
        <w:t xml:space="preserve">, as the shabtis were made of fired silt which is not a </w:t>
      </w:r>
      <w:r w:rsidR="00550EE7">
        <w:rPr>
          <w:rFonts w:ascii="Times New Roman" w:hAnsi="Times New Roman" w:cs="Times New Roman"/>
        </w:rPr>
        <w:t>sturdy material and is prone to breaking.</w:t>
      </w:r>
      <w:r w:rsidR="00550EE7">
        <w:rPr>
          <w:rStyle w:val="FootnoteReference"/>
          <w:rFonts w:ascii="Times New Roman" w:hAnsi="Times New Roman" w:cs="Times New Roman"/>
        </w:rPr>
        <w:footnoteReference w:id="20"/>
      </w:r>
      <w:r w:rsidR="00550EE7">
        <w:rPr>
          <w:rFonts w:ascii="Times New Roman" w:hAnsi="Times New Roman" w:cs="Times New Roman"/>
        </w:rPr>
        <w:t xml:space="preserve"> </w:t>
      </w:r>
      <w:r w:rsidR="005E0DA8">
        <w:rPr>
          <w:rFonts w:ascii="Times New Roman" w:hAnsi="Times New Roman" w:cs="Times New Roman"/>
        </w:rPr>
        <w:t>“</w:t>
      </w:r>
      <w:r w:rsidR="00500CC0">
        <w:rPr>
          <w:rFonts w:ascii="Times New Roman" w:hAnsi="Times New Roman" w:cs="Times New Roman"/>
        </w:rPr>
        <w:t xml:space="preserve">A </w:t>
      </w:r>
      <w:r w:rsidR="00500CC0" w:rsidRPr="00500CC0">
        <w:rPr>
          <w:rFonts w:ascii="Times New Roman" w:hAnsi="Times New Roman" w:cs="Times New Roman"/>
        </w:rPr>
        <w:t>shabti represented the deceased, functioning as a vehicle for the ka-soul in order to receive offerings. And a shabti substituted the deceased, functioning as a servant involved in food production</w:t>
      </w:r>
      <w:r w:rsidR="00500CC0">
        <w:rPr>
          <w:rFonts w:ascii="Times New Roman" w:hAnsi="Times New Roman" w:cs="Times New Roman"/>
        </w:rPr>
        <w:t>”</w:t>
      </w:r>
      <w:r w:rsidR="00E44E24">
        <w:rPr>
          <w:rStyle w:val="FootnoteReference"/>
          <w:rFonts w:ascii="Times New Roman" w:hAnsi="Times New Roman" w:cs="Times New Roman"/>
        </w:rPr>
        <w:footnoteReference w:id="21"/>
      </w:r>
      <w:r w:rsidR="00C87EC6">
        <w:rPr>
          <w:rFonts w:ascii="Times New Roman" w:hAnsi="Times New Roman" w:cs="Times New Roman"/>
        </w:rPr>
        <w:t xml:space="preserve"> </w:t>
      </w:r>
      <w:r w:rsidR="00AD130B">
        <w:rPr>
          <w:rFonts w:ascii="Times New Roman" w:hAnsi="Times New Roman" w:cs="Times New Roman"/>
        </w:rPr>
        <w:t xml:space="preserve">Shabtis were therefore important to the afterlife of the person they served and were meant to make the afterlife easier for the deceased. </w:t>
      </w:r>
      <w:r w:rsidR="00BB3830">
        <w:rPr>
          <w:rFonts w:ascii="Times New Roman" w:hAnsi="Times New Roman" w:cs="Times New Roman"/>
        </w:rPr>
        <w:t xml:space="preserve">Several examples of uninscribed shabtis were also found in Tomb TT99, these were generally </w:t>
      </w:r>
      <w:r w:rsidR="002B5A13">
        <w:rPr>
          <w:rFonts w:ascii="Times New Roman" w:hAnsi="Times New Roman" w:cs="Times New Roman"/>
        </w:rPr>
        <w:t>quite small and were of a poor quality, probably due to the mass production of them in the Third Intermediate Period.</w:t>
      </w:r>
      <w:r w:rsidR="00901029">
        <w:rPr>
          <w:rStyle w:val="FootnoteReference"/>
          <w:rFonts w:ascii="Times New Roman" w:hAnsi="Times New Roman" w:cs="Times New Roman"/>
        </w:rPr>
        <w:footnoteReference w:id="22"/>
      </w:r>
    </w:p>
    <w:p w14:paraId="3613DEBB" w14:textId="78E11FE3" w:rsidR="007807AF" w:rsidRDefault="007807AF">
      <w:pPr>
        <w:rPr>
          <w:rFonts w:ascii="Times New Roman" w:hAnsi="Times New Roman" w:cs="Times New Roman"/>
          <w:b/>
          <w:bCs/>
        </w:rPr>
      </w:pPr>
    </w:p>
    <w:p w14:paraId="4A7F6CEF" w14:textId="6979B852" w:rsidR="000C5BCB" w:rsidRDefault="000C5BCB">
      <w:pPr>
        <w:rPr>
          <w:rFonts w:ascii="Times New Roman" w:hAnsi="Times New Roman" w:cs="Times New Roman"/>
          <w:b/>
          <w:bCs/>
        </w:rPr>
      </w:pPr>
      <w:r>
        <w:rPr>
          <w:rFonts w:ascii="Times New Roman" w:hAnsi="Times New Roman" w:cs="Times New Roman"/>
          <w:b/>
          <w:bCs/>
        </w:rPr>
        <w:t>What this says about the person buried:</w:t>
      </w:r>
    </w:p>
    <w:p w14:paraId="24A2B87F" w14:textId="2BC553D3" w:rsidR="00355BF0" w:rsidRDefault="00E9418F">
      <w:pPr>
        <w:rPr>
          <w:rFonts w:ascii="Times New Roman" w:hAnsi="Times New Roman" w:cs="Times New Roman"/>
          <w:b/>
          <w:bCs/>
        </w:rPr>
      </w:pPr>
      <w:r>
        <w:rPr>
          <w:rFonts w:ascii="Times New Roman" w:hAnsi="Times New Roman" w:cs="Times New Roman"/>
          <w:b/>
          <w:bCs/>
        </w:rPr>
        <w:tab/>
      </w:r>
      <w:r w:rsidR="00D75C31">
        <w:rPr>
          <w:rFonts w:ascii="Times New Roman" w:hAnsi="Times New Roman" w:cs="Times New Roman"/>
          <w:b/>
          <w:bCs/>
        </w:rPr>
        <w:t>Papyri</w:t>
      </w:r>
      <w:r>
        <w:rPr>
          <w:rFonts w:ascii="Times New Roman" w:hAnsi="Times New Roman" w:cs="Times New Roman"/>
          <w:b/>
          <w:bCs/>
        </w:rPr>
        <w:t>:</w:t>
      </w:r>
    </w:p>
    <w:p w14:paraId="737AB26A" w14:textId="6FE35F86" w:rsidR="00E9418F" w:rsidRDefault="00D75C31">
      <w:pPr>
        <w:rPr>
          <w:rFonts w:ascii="Times New Roman" w:hAnsi="Times New Roman" w:cs="Times New Roman"/>
        </w:rPr>
      </w:pPr>
      <w:r>
        <w:rPr>
          <w:rFonts w:ascii="Times New Roman" w:hAnsi="Times New Roman" w:cs="Times New Roman"/>
        </w:rPr>
        <w:tab/>
        <w:t xml:space="preserve">As with many finds in Tomb TT99 and all Ancient Egyptian Tombs, </w:t>
      </w:r>
      <w:r w:rsidR="0098551E">
        <w:rPr>
          <w:rFonts w:ascii="Times New Roman" w:hAnsi="Times New Roman" w:cs="Times New Roman"/>
        </w:rPr>
        <w:t xml:space="preserve">the objects found within aim to serve the deceased in the afterlife. The Papyri do this in </w:t>
      </w:r>
      <w:proofErr w:type="gramStart"/>
      <w:r w:rsidR="0098551E">
        <w:rPr>
          <w:rFonts w:ascii="Times New Roman" w:hAnsi="Times New Roman" w:cs="Times New Roman"/>
        </w:rPr>
        <w:t>a number of</w:t>
      </w:r>
      <w:proofErr w:type="gramEnd"/>
      <w:r w:rsidR="0098551E">
        <w:rPr>
          <w:rFonts w:ascii="Times New Roman" w:hAnsi="Times New Roman" w:cs="Times New Roman"/>
        </w:rPr>
        <w:t xml:space="preserve"> ways. Firstly, they recite the Book of the Dead and bring the </w:t>
      </w:r>
      <w:r w:rsidR="00AD41E9">
        <w:rPr>
          <w:rFonts w:ascii="Times New Roman" w:hAnsi="Times New Roman" w:cs="Times New Roman"/>
        </w:rPr>
        <w:t xml:space="preserve">rites into existence by having them </w:t>
      </w:r>
      <w:r w:rsidR="00AD41E9">
        <w:rPr>
          <w:rFonts w:ascii="Times New Roman" w:hAnsi="Times New Roman" w:cs="Times New Roman"/>
        </w:rPr>
        <w:lastRenderedPageBreak/>
        <w:t xml:space="preserve">written. This therefore allows the deceased </w:t>
      </w:r>
      <w:r w:rsidR="00AD41E9" w:rsidRPr="007E171A">
        <w:rPr>
          <w:rFonts w:ascii="Times New Roman" w:hAnsi="Times New Roman" w:cs="Times New Roman"/>
        </w:rPr>
        <w:t>to pass judgement and enter the afterlife</w:t>
      </w:r>
      <w:r w:rsidR="00AD41E9">
        <w:rPr>
          <w:rFonts w:ascii="Times New Roman" w:hAnsi="Times New Roman" w:cs="Times New Roman"/>
        </w:rPr>
        <w:t>.</w:t>
      </w:r>
      <w:r w:rsidR="007E171A">
        <w:rPr>
          <w:rStyle w:val="FootnoteReference"/>
          <w:rFonts w:ascii="Times New Roman" w:hAnsi="Times New Roman" w:cs="Times New Roman"/>
        </w:rPr>
        <w:footnoteReference w:id="23"/>
      </w:r>
      <w:r w:rsidR="00AD41E9">
        <w:rPr>
          <w:rFonts w:ascii="Times New Roman" w:hAnsi="Times New Roman" w:cs="Times New Roman"/>
        </w:rPr>
        <w:t xml:space="preserve"> </w:t>
      </w:r>
      <w:r w:rsidR="00EE154E">
        <w:rPr>
          <w:rFonts w:ascii="Times New Roman" w:hAnsi="Times New Roman" w:cs="Times New Roman"/>
        </w:rPr>
        <w:t xml:space="preserve">The Papyri also serve the purpose of continuing the name of Senneferi, </w:t>
      </w:r>
      <w:proofErr w:type="gramStart"/>
      <w:r w:rsidR="00EE154E">
        <w:rPr>
          <w:rFonts w:ascii="Times New Roman" w:hAnsi="Times New Roman" w:cs="Times New Roman"/>
        </w:rPr>
        <w:t>in order to</w:t>
      </w:r>
      <w:proofErr w:type="gramEnd"/>
      <w:r w:rsidR="00EE154E">
        <w:rPr>
          <w:rFonts w:ascii="Times New Roman" w:hAnsi="Times New Roman" w:cs="Times New Roman"/>
        </w:rPr>
        <w:t xml:space="preserve"> continue the memory of him and keep him alive in the eyes of Egypt. </w:t>
      </w:r>
      <w:r w:rsidR="00617EB3">
        <w:rPr>
          <w:rFonts w:ascii="Times New Roman" w:hAnsi="Times New Roman" w:cs="Times New Roman"/>
        </w:rPr>
        <w:t>The combination of both the papyri and the linen shroud containing verses from the Book of the Dead could suggest that Senneferi was a very traditional man who was attempting to ensure is acceptance into the afterlife in multiple ways instead of merely relying upon either the papyri or the shroud.</w:t>
      </w:r>
    </w:p>
    <w:p w14:paraId="1D8EE800" w14:textId="2650FCCE" w:rsidR="0072019E" w:rsidRDefault="0072019E">
      <w:pPr>
        <w:rPr>
          <w:rFonts w:ascii="Times New Roman" w:hAnsi="Times New Roman" w:cs="Times New Roman"/>
          <w:b/>
          <w:bCs/>
        </w:rPr>
      </w:pPr>
      <w:r>
        <w:rPr>
          <w:rFonts w:ascii="Times New Roman" w:hAnsi="Times New Roman" w:cs="Times New Roman"/>
        </w:rPr>
        <w:tab/>
      </w:r>
      <w:r>
        <w:rPr>
          <w:rFonts w:ascii="Times New Roman" w:hAnsi="Times New Roman" w:cs="Times New Roman"/>
          <w:b/>
          <w:bCs/>
        </w:rPr>
        <w:t>Stelae:</w:t>
      </w:r>
    </w:p>
    <w:p w14:paraId="59BB60E0" w14:textId="168BD3E7" w:rsidR="0072019E" w:rsidRDefault="0072019E">
      <w:pPr>
        <w:rPr>
          <w:rFonts w:ascii="Times New Roman" w:hAnsi="Times New Roman" w:cs="Times New Roman"/>
          <w:color w:val="EE0000"/>
        </w:rPr>
      </w:pPr>
      <w:r>
        <w:rPr>
          <w:rFonts w:ascii="Times New Roman" w:hAnsi="Times New Roman" w:cs="Times New Roman"/>
          <w:b/>
          <w:bCs/>
        </w:rPr>
        <w:tab/>
      </w:r>
      <w:r>
        <w:rPr>
          <w:rFonts w:ascii="Times New Roman" w:hAnsi="Times New Roman" w:cs="Times New Roman"/>
        </w:rPr>
        <w:t xml:space="preserve">The Stelae also serve the purpose of continuing </w:t>
      </w:r>
      <w:proofErr w:type="spellStart"/>
      <w:r w:rsidR="007E713B">
        <w:rPr>
          <w:rFonts w:ascii="Times New Roman" w:hAnsi="Times New Roman" w:cs="Times New Roman"/>
        </w:rPr>
        <w:t>Senneferi’s</w:t>
      </w:r>
      <w:proofErr w:type="spellEnd"/>
      <w:r w:rsidR="007E713B">
        <w:rPr>
          <w:rFonts w:ascii="Times New Roman" w:hAnsi="Times New Roman" w:cs="Times New Roman"/>
        </w:rPr>
        <w:t xml:space="preserve"> legacy in the form of his name. It contains his name and depictions of him serving the King </w:t>
      </w:r>
      <w:proofErr w:type="gramStart"/>
      <w:r w:rsidR="007E713B">
        <w:rPr>
          <w:rFonts w:ascii="Times New Roman" w:hAnsi="Times New Roman" w:cs="Times New Roman"/>
        </w:rPr>
        <w:t>so as to</w:t>
      </w:r>
      <w:proofErr w:type="gramEnd"/>
      <w:r w:rsidR="007E713B">
        <w:rPr>
          <w:rFonts w:ascii="Times New Roman" w:hAnsi="Times New Roman" w:cs="Times New Roman"/>
        </w:rPr>
        <w:t xml:space="preserve"> preserve the memory of him and his duties within the court. It also serves to protect the memory of his work and the importance of his role and the </w:t>
      </w:r>
      <w:proofErr w:type="gramStart"/>
      <w:r w:rsidR="007E713B">
        <w:rPr>
          <w:rFonts w:ascii="Times New Roman" w:hAnsi="Times New Roman" w:cs="Times New Roman"/>
        </w:rPr>
        <w:t>close proximity</w:t>
      </w:r>
      <w:proofErr w:type="gramEnd"/>
      <w:r w:rsidR="007E713B">
        <w:rPr>
          <w:rFonts w:ascii="Times New Roman" w:hAnsi="Times New Roman" w:cs="Times New Roman"/>
        </w:rPr>
        <w:t xml:space="preserve"> that he held with the King. This may suggest that he was proud of his work in service of the King, and by extension all of Egypt. </w:t>
      </w:r>
      <w:r w:rsidR="000D05D6" w:rsidRPr="00444F43">
        <w:rPr>
          <w:rFonts w:ascii="Times New Roman" w:hAnsi="Times New Roman" w:cs="Times New Roman"/>
        </w:rPr>
        <w:t xml:space="preserve">Stela </w:t>
      </w:r>
      <w:proofErr w:type="gramStart"/>
      <w:r w:rsidR="000D05D6" w:rsidRPr="00444F43">
        <w:rPr>
          <w:rFonts w:ascii="Times New Roman" w:hAnsi="Times New Roman" w:cs="Times New Roman"/>
        </w:rPr>
        <w:t>are</w:t>
      </w:r>
      <w:proofErr w:type="gramEnd"/>
      <w:r w:rsidR="000D05D6" w:rsidRPr="00444F43">
        <w:rPr>
          <w:rFonts w:ascii="Times New Roman" w:hAnsi="Times New Roman" w:cs="Times New Roman"/>
        </w:rPr>
        <w:t xml:space="preserve"> also usually found </w:t>
      </w:r>
      <w:proofErr w:type="gramStart"/>
      <w:r w:rsidR="000D05D6" w:rsidRPr="00444F43">
        <w:rPr>
          <w:rFonts w:ascii="Times New Roman" w:hAnsi="Times New Roman" w:cs="Times New Roman"/>
        </w:rPr>
        <w:t>in close proximity to</w:t>
      </w:r>
      <w:proofErr w:type="gramEnd"/>
      <w:r w:rsidR="000D05D6" w:rsidRPr="00444F43">
        <w:rPr>
          <w:rFonts w:ascii="Times New Roman" w:hAnsi="Times New Roman" w:cs="Times New Roman"/>
        </w:rPr>
        <w:t xml:space="preserve"> false doors which may suggest his further desire to be granted access to the afterlife and to be able to return </w:t>
      </w:r>
      <w:r w:rsidR="00652B16" w:rsidRPr="00444F43">
        <w:rPr>
          <w:rFonts w:ascii="Times New Roman" w:hAnsi="Times New Roman" w:cs="Times New Roman"/>
        </w:rPr>
        <w:t>to the mortal plane through the false door.</w:t>
      </w:r>
      <w:r w:rsidR="00444F43">
        <w:rPr>
          <w:rStyle w:val="FootnoteReference"/>
          <w:rFonts w:ascii="Times New Roman" w:hAnsi="Times New Roman" w:cs="Times New Roman"/>
        </w:rPr>
        <w:footnoteReference w:id="24"/>
      </w:r>
      <w:r w:rsidR="000D05D6" w:rsidRPr="00444F43">
        <w:rPr>
          <w:rFonts w:ascii="Times New Roman" w:hAnsi="Times New Roman" w:cs="Times New Roman"/>
          <w:color w:val="EE0000"/>
        </w:rPr>
        <w:t xml:space="preserve"> </w:t>
      </w:r>
    </w:p>
    <w:p w14:paraId="281056FE" w14:textId="2276AFF8" w:rsidR="00652B16" w:rsidRDefault="00652B16">
      <w:pPr>
        <w:rPr>
          <w:rFonts w:ascii="Times New Roman" w:hAnsi="Times New Roman" w:cs="Times New Roman"/>
          <w:b/>
          <w:bCs/>
        </w:rPr>
      </w:pPr>
      <w:r>
        <w:rPr>
          <w:rFonts w:ascii="Times New Roman" w:hAnsi="Times New Roman" w:cs="Times New Roman"/>
          <w:b/>
          <w:bCs/>
          <w:color w:val="EE0000"/>
        </w:rPr>
        <w:tab/>
      </w:r>
      <w:r>
        <w:rPr>
          <w:rFonts w:ascii="Times New Roman" w:hAnsi="Times New Roman" w:cs="Times New Roman"/>
          <w:b/>
          <w:bCs/>
        </w:rPr>
        <w:t>Inscribed and Uninscribed Shabtis</w:t>
      </w:r>
      <w:r w:rsidR="00EC37E6">
        <w:rPr>
          <w:rFonts w:ascii="Times New Roman" w:hAnsi="Times New Roman" w:cs="Times New Roman"/>
          <w:b/>
          <w:bCs/>
        </w:rPr>
        <w:t>:</w:t>
      </w:r>
    </w:p>
    <w:p w14:paraId="2A2A76F0" w14:textId="38316B8B" w:rsidR="00853E74" w:rsidRPr="008F3881" w:rsidRDefault="00853E74">
      <w:pPr>
        <w:rPr>
          <w:rFonts w:ascii="Times New Roman" w:hAnsi="Times New Roman" w:cs="Times New Roman"/>
        </w:rPr>
      </w:pPr>
      <w:r>
        <w:rPr>
          <w:rFonts w:ascii="Times New Roman" w:hAnsi="Times New Roman" w:cs="Times New Roman"/>
          <w:b/>
          <w:bCs/>
        </w:rPr>
        <w:tab/>
      </w:r>
      <w:r w:rsidR="008F3881">
        <w:rPr>
          <w:rFonts w:ascii="Times New Roman" w:hAnsi="Times New Roman" w:cs="Times New Roman"/>
        </w:rPr>
        <w:t xml:space="preserve">Both the inscribed and uninscribed shabtis </w:t>
      </w:r>
      <w:r w:rsidR="00181CC2">
        <w:rPr>
          <w:rFonts w:ascii="Times New Roman" w:hAnsi="Times New Roman" w:cs="Times New Roman"/>
        </w:rPr>
        <w:t>are from a burial many centuries after the burial of Senneferi</w:t>
      </w:r>
      <w:r w:rsidR="00A85F68">
        <w:rPr>
          <w:rFonts w:ascii="Times New Roman" w:hAnsi="Times New Roman" w:cs="Times New Roman"/>
        </w:rPr>
        <w:t xml:space="preserve">. The Shabtis themselves may suggest that </w:t>
      </w:r>
      <w:r w:rsidR="00553524">
        <w:rPr>
          <w:rFonts w:ascii="Times New Roman" w:hAnsi="Times New Roman" w:cs="Times New Roman"/>
        </w:rPr>
        <w:t xml:space="preserve">the owner of them </w:t>
      </w:r>
      <w:r w:rsidR="00BF2909">
        <w:rPr>
          <w:rFonts w:ascii="Times New Roman" w:hAnsi="Times New Roman" w:cs="Times New Roman"/>
        </w:rPr>
        <w:t xml:space="preserve">was of a high status who could afford a vast number of servants. If we assume that </w:t>
      </w:r>
      <w:r w:rsidR="00DC7E2E">
        <w:rPr>
          <w:rFonts w:ascii="Times New Roman" w:hAnsi="Times New Roman" w:cs="Times New Roman"/>
        </w:rPr>
        <w:t xml:space="preserve">Neshathor was the owner of at least a few of the uninscribed shabtis as well as the inscribed shabtis that bear his name, then we can assume that eh was quite powerful and wished to continue the amount of service that he enjoyed during life into the afterlife. </w:t>
      </w:r>
      <w:r w:rsidR="00F40F38">
        <w:rPr>
          <w:rFonts w:ascii="Times New Roman" w:hAnsi="Times New Roman" w:cs="Times New Roman"/>
        </w:rPr>
        <w:t xml:space="preserve">However, if we also look at the </w:t>
      </w:r>
      <w:r w:rsidR="001E17D6">
        <w:rPr>
          <w:rFonts w:ascii="Times New Roman" w:hAnsi="Times New Roman" w:cs="Times New Roman"/>
        </w:rPr>
        <w:t xml:space="preserve">fact that </w:t>
      </w:r>
      <w:r w:rsidR="00492F1F">
        <w:rPr>
          <w:rFonts w:ascii="Times New Roman" w:hAnsi="Times New Roman" w:cs="Times New Roman"/>
        </w:rPr>
        <w:t xml:space="preserve">Neshathor was buried many years after Senneferi, </w:t>
      </w:r>
      <w:r w:rsidR="00AA7045">
        <w:rPr>
          <w:rFonts w:ascii="Times New Roman" w:hAnsi="Times New Roman" w:cs="Times New Roman"/>
        </w:rPr>
        <w:t xml:space="preserve">it could suggest that both Senneferi and Neshathor were not </w:t>
      </w:r>
      <w:r w:rsidR="00C435C1">
        <w:rPr>
          <w:rFonts w:ascii="Times New Roman" w:hAnsi="Times New Roman" w:cs="Times New Roman"/>
        </w:rPr>
        <w:t xml:space="preserve">overly important to the Ancient Egyptian people. If </w:t>
      </w:r>
      <w:proofErr w:type="spellStart"/>
      <w:r w:rsidR="00C435C1">
        <w:rPr>
          <w:rFonts w:ascii="Times New Roman" w:hAnsi="Times New Roman" w:cs="Times New Roman"/>
        </w:rPr>
        <w:t>Senneferi’s</w:t>
      </w:r>
      <w:proofErr w:type="spellEnd"/>
      <w:r w:rsidR="00C435C1">
        <w:rPr>
          <w:rFonts w:ascii="Times New Roman" w:hAnsi="Times New Roman" w:cs="Times New Roman"/>
        </w:rPr>
        <w:t xml:space="preserve"> tomb could be </w:t>
      </w:r>
      <w:r w:rsidR="0006224C">
        <w:rPr>
          <w:rFonts w:ascii="Times New Roman" w:hAnsi="Times New Roman" w:cs="Times New Roman"/>
        </w:rPr>
        <w:t>reused,</w:t>
      </w:r>
      <w:r w:rsidR="00C435C1">
        <w:rPr>
          <w:rFonts w:ascii="Times New Roman" w:hAnsi="Times New Roman" w:cs="Times New Roman"/>
        </w:rPr>
        <w:t xml:space="preserve"> then he was not important enough to retain a tomb to himself. If Neshathor was reusing an old tomb, then he was not wealthy or powerful enough to have a tomb built for himself. </w:t>
      </w:r>
    </w:p>
    <w:p w14:paraId="5D96CB33" w14:textId="6BD7E215" w:rsidR="00355BF0" w:rsidRDefault="00355BF0">
      <w:pPr>
        <w:rPr>
          <w:rFonts w:ascii="Times New Roman" w:hAnsi="Times New Roman" w:cs="Times New Roman"/>
          <w:b/>
          <w:bCs/>
        </w:rPr>
      </w:pPr>
    </w:p>
    <w:p w14:paraId="7D572B6C" w14:textId="6428837D" w:rsidR="00C435C1" w:rsidRDefault="00C435C1">
      <w:pPr>
        <w:rPr>
          <w:rFonts w:ascii="Times New Roman" w:hAnsi="Times New Roman" w:cs="Times New Roman"/>
          <w:b/>
          <w:bCs/>
        </w:rPr>
      </w:pPr>
      <w:r>
        <w:rPr>
          <w:rFonts w:ascii="Times New Roman" w:hAnsi="Times New Roman" w:cs="Times New Roman"/>
          <w:b/>
          <w:bCs/>
        </w:rPr>
        <w:tab/>
        <w:t>Architecture</w:t>
      </w:r>
      <w:r w:rsidR="0006224C">
        <w:rPr>
          <w:rFonts w:ascii="Times New Roman" w:hAnsi="Times New Roman" w:cs="Times New Roman"/>
          <w:b/>
          <w:bCs/>
        </w:rPr>
        <w:t>:</w:t>
      </w:r>
    </w:p>
    <w:p w14:paraId="720D8412" w14:textId="4213AF0E" w:rsidR="0006224C" w:rsidRDefault="0006224C">
      <w:pPr>
        <w:rPr>
          <w:rFonts w:ascii="Times New Roman" w:hAnsi="Times New Roman" w:cs="Times New Roman"/>
        </w:rPr>
      </w:pPr>
      <w:r>
        <w:rPr>
          <w:rFonts w:ascii="Times New Roman" w:hAnsi="Times New Roman" w:cs="Times New Roman"/>
          <w:b/>
          <w:bCs/>
        </w:rPr>
        <w:tab/>
      </w:r>
      <w:r w:rsidR="002B7A51">
        <w:rPr>
          <w:rFonts w:ascii="Times New Roman" w:hAnsi="Times New Roman" w:cs="Times New Roman"/>
        </w:rPr>
        <w:t xml:space="preserve">As stated before, the architecture of Tomb TT99 could suggest that Senneferi was a modest man. The tomb does not have a great </w:t>
      </w:r>
      <w:r w:rsidR="006333B4">
        <w:rPr>
          <w:rFonts w:ascii="Times New Roman" w:hAnsi="Times New Roman" w:cs="Times New Roman"/>
        </w:rPr>
        <w:t>superstructure;</w:t>
      </w:r>
      <w:r w:rsidR="002B7A51">
        <w:rPr>
          <w:rFonts w:ascii="Times New Roman" w:hAnsi="Times New Roman" w:cs="Times New Roman"/>
        </w:rPr>
        <w:t xml:space="preserve"> it only has a niche</w:t>
      </w:r>
      <w:r w:rsidR="00917FCB">
        <w:rPr>
          <w:rFonts w:ascii="Times New Roman" w:hAnsi="Times New Roman" w:cs="Times New Roman"/>
        </w:rPr>
        <w:t>. In comparison with the superstructures such as the pyramids</w:t>
      </w:r>
      <w:r w:rsidR="00B664C1">
        <w:rPr>
          <w:rFonts w:ascii="Times New Roman" w:hAnsi="Times New Roman" w:cs="Times New Roman"/>
        </w:rPr>
        <w:t xml:space="preserve">, it makes tomb TT99 </w:t>
      </w:r>
      <w:r w:rsidR="00EE211F">
        <w:rPr>
          <w:rFonts w:ascii="Times New Roman" w:hAnsi="Times New Roman" w:cs="Times New Roman"/>
        </w:rPr>
        <w:t xml:space="preserve">seem a much smaller tomb, for someone who was less important. This obviously is the case, as Senneferi was a chancellor and not a King himself. </w:t>
      </w:r>
    </w:p>
    <w:p w14:paraId="2DBD64B4" w14:textId="77777777" w:rsidR="006333B4" w:rsidRPr="0006224C" w:rsidRDefault="006333B4">
      <w:pPr>
        <w:rPr>
          <w:rFonts w:ascii="Times New Roman" w:hAnsi="Times New Roman" w:cs="Times New Roman"/>
        </w:rPr>
      </w:pPr>
    </w:p>
    <w:p w14:paraId="42ACF7FD" w14:textId="46630AC2" w:rsidR="00355BF0" w:rsidRDefault="00355BF0">
      <w:pPr>
        <w:rPr>
          <w:rFonts w:ascii="Times New Roman" w:hAnsi="Times New Roman" w:cs="Times New Roman"/>
          <w:b/>
          <w:bCs/>
        </w:rPr>
      </w:pPr>
      <w:r>
        <w:rPr>
          <w:rFonts w:ascii="Times New Roman" w:hAnsi="Times New Roman" w:cs="Times New Roman"/>
          <w:b/>
          <w:bCs/>
        </w:rPr>
        <w:t>Conclusion:</w:t>
      </w:r>
    </w:p>
    <w:p w14:paraId="4538C6AB" w14:textId="331EF2DD" w:rsidR="006333B4" w:rsidRDefault="006333B4">
      <w:pPr>
        <w:rPr>
          <w:rFonts w:ascii="Times New Roman" w:hAnsi="Times New Roman" w:cs="Times New Roman"/>
        </w:rPr>
      </w:pPr>
      <w:r>
        <w:rPr>
          <w:rFonts w:ascii="Times New Roman" w:hAnsi="Times New Roman" w:cs="Times New Roman"/>
        </w:rPr>
        <w:tab/>
        <w:t xml:space="preserve">To conclude, </w:t>
      </w:r>
      <w:r w:rsidR="00F143BD">
        <w:rPr>
          <w:rFonts w:ascii="Times New Roman" w:hAnsi="Times New Roman" w:cs="Times New Roman"/>
        </w:rPr>
        <w:t xml:space="preserve">the tomb of Senneferi holds many interesting artifacts in an interesting building. It suggests that he is a modest, </w:t>
      </w:r>
      <w:r w:rsidR="008B2C0D">
        <w:rPr>
          <w:rFonts w:ascii="Times New Roman" w:hAnsi="Times New Roman" w:cs="Times New Roman"/>
        </w:rPr>
        <w:t xml:space="preserve">proud man who was perhaps not as important as he would have wished. </w:t>
      </w:r>
    </w:p>
    <w:p w14:paraId="18D5948A" w14:textId="6D3F5544" w:rsidR="00444F43" w:rsidRDefault="00444F43">
      <w:pPr>
        <w:rPr>
          <w:rFonts w:ascii="Times New Roman" w:hAnsi="Times New Roman" w:cs="Times New Roman"/>
        </w:rPr>
      </w:pPr>
    </w:p>
    <w:p w14:paraId="31B713A1" w14:textId="77777777" w:rsidR="00444F43" w:rsidRDefault="00444F43">
      <w:pPr>
        <w:rPr>
          <w:rFonts w:ascii="Times New Roman" w:hAnsi="Times New Roman" w:cs="Times New Roman"/>
        </w:rPr>
      </w:pPr>
      <w:r>
        <w:rPr>
          <w:rFonts w:ascii="Times New Roman" w:hAnsi="Times New Roman" w:cs="Times New Roman"/>
        </w:rPr>
        <w:br w:type="page"/>
      </w:r>
    </w:p>
    <w:p w14:paraId="062C5180" w14:textId="5351878D" w:rsidR="00444F43" w:rsidRDefault="00444F43" w:rsidP="00444F43">
      <w:pPr>
        <w:jc w:val="center"/>
        <w:rPr>
          <w:rFonts w:ascii="Times New Roman" w:hAnsi="Times New Roman" w:cs="Times New Roman"/>
          <w:b/>
          <w:bCs/>
        </w:rPr>
      </w:pPr>
      <w:r>
        <w:rPr>
          <w:rFonts w:ascii="Times New Roman" w:hAnsi="Times New Roman" w:cs="Times New Roman"/>
          <w:b/>
          <w:bCs/>
        </w:rPr>
        <w:lastRenderedPageBreak/>
        <w:t>Bibliography</w:t>
      </w:r>
    </w:p>
    <w:p w14:paraId="599EBFB8" w14:textId="77777777" w:rsidR="00444F43" w:rsidRDefault="00444F43" w:rsidP="00444F43">
      <w:pPr>
        <w:jc w:val="center"/>
        <w:rPr>
          <w:rFonts w:ascii="Times New Roman" w:hAnsi="Times New Roman" w:cs="Times New Roman"/>
          <w:b/>
          <w:bCs/>
        </w:rPr>
      </w:pPr>
    </w:p>
    <w:p w14:paraId="7C5F4BB1" w14:textId="77777777" w:rsidR="00444F43" w:rsidRPr="00444F43" w:rsidRDefault="00444F43" w:rsidP="00444F43">
      <w:pPr>
        <w:pStyle w:val="Bibliography"/>
        <w:rPr>
          <w:rFonts w:ascii="Times New Roman" w:hAnsi="Times New Roman" w:cs="Times New Roman"/>
        </w:rPr>
      </w:pPr>
      <w:r>
        <w:fldChar w:fldCharType="begin"/>
      </w:r>
      <w:r>
        <w:instrText xml:space="preserve"> ADDIN ZOTERO_BIBL {"uncited":[],"omitted":[],"custom":[]} CSL_BIBLIOGRAPHY </w:instrText>
      </w:r>
      <w:r>
        <w:fldChar w:fldCharType="separate"/>
      </w:r>
      <w:r w:rsidRPr="00444F43">
        <w:rPr>
          <w:rFonts w:ascii="Times New Roman" w:hAnsi="Times New Roman" w:cs="Times New Roman"/>
        </w:rPr>
        <w:t>‘19th Dynasty Papyri’, n.d. &lt;https://tt99.fitz.ms/finds/papyri_D18.html&gt; [accessed 18 March 2026]</w:t>
      </w:r>
    </w:p>
    <w:p w14:paraId="6EE7D29D" w14:textId="77777777" w:rsidR="00444F43" w:rsidRPr="00444F43" w:rsidRDefault="00444F43" w:rsidP="00444F43">
      <w:pPr>
        <w:pStyle w:val="Bibliography"/>
        <w:rPr>
          <w:rFonts w:ascii="Times New Roman" w:hAnsi="Times New Roman" w:cs="Times New Roman"/>
        </w:rPr>
      </w:pPr>
      <w:r w:rsidRPr="00444F43">
        <w:rPr>
          <w:rFonts w:ascii="Times New Roman" w:hAnsi="Times New Roman" w:cs="Times New Roman"/>
        </w:rPr>
        <w:t>‘Burial and the Dead in Ancient Egyptian Society’, n.d., doi:10.1177/1469605302002001595</w:t>
      </w:r>
    </w:p>
    <w:p w14:paraId="4E87C10D" w14:textId="77777777" w:rsidR="00444F43" w:rsidRPr="00444F43" w:rsidRDefault="00444F43" w:rsidP="00444F43">
      <w:pPr>
        <w:pStyle w:val="Bibliography"/>
        <w:rPr>
          <w:rFonts w:ascii="Times New Roman" w:hAnsi="Times New Roman" w:cs="Times New Roman"/>
        </w:rPr>
      </w:pPr>
      <w:r w:rsidRPr="00444F43">
        <w:rPr>
          <w:rFonts w:ascii="Times New Roman" w:hAnsi="Times New Roman" w:cs="Times New Roman"/>
        </w:rPr>
        <w:t>‘Facade and Superstructure’, n.d. &lt;https://tt99.fitz.ms/architecture/super.html&gt; [accessed 16 March 2026]</w:t>
      </w:r>
    </w:p>
    <w:p w14:paraId="4905FED7" w14:textId="77777777" w:rsidR="00444F43" w:rsidRPr="00444F43" w:rsidRDefault="00444F43" w:rsidP="00444F43">
      <w:pPr>
        <w:pStyle w:val="Bibliography"/>
        <w:rPr>
          <w:rFonts w:ascii="Times New Roman" w:hAnsi="Times New Roman" w:cs="Times New Roman"/>
        </w:rPr>
      </w:pPr>
      <w:r w:rsidRPr="00444F43">
        <w:rPr>
          <w:rFonts w:ascii="Times New Roman" w:hAnsi="Times New Roman" w:cs="Times New Roman"/>
        </w:rPr>
        <w:t>‘False Door and Stela’, n.d. &lt;https://tt99.fitz.ms/finds/fdstela.html&gt; [accessed 19 March 2026]</w:t>
      </w:r>
    </w:p>
    <w:p w14:paraId="060E6642" w14:textId="77777777" w:rsidR="00444F43" w:rsidRPr="00444F43" w:rsidRDefault="00444F43" w:rsidP="00444F43">
      <w:pPr>
        <w:pStyle w:val="Bibliography"/>
        <w:rPr>
          <w:rFonts w:ascii="Times New Roman" w:hAnsi="Times New Roman" w:cs="Times New Roman"/>
        </w:rPr>
      </w:pPr>
      <w:r w:rsidRPr="00444F43">
        <w:rPr>
          <w:rFonts w:ascii="Times New Roman" w:hAnsi="Times New Roman" w:cs="Times New Roman"/>
        </w:rPr>
        <w:t>‘Finds from TT99’, n.d. &lt;https://tt99.fitz.ms/finds.html&gt; [accessed 9 March 2026]</w:t>
      </w:r>
    </w:p>
    <w:p w14:paraId="7175B7E2" w14:textId="77777777" w:rsidR="00444F43" w:rsidRPr="00444F43" w:rsidRDefault="00444F43" w:rsidP="00444F43">
      <w:pPr>
        <w:pStyle w:val="Bibliography"/>
        <w:rPr>
          <w:rFonts w:ascii="Times New Roman" w:hAnsi="Times New Roman" w:cs="Times New Roman"/>
        </w:rPr>
      </w:pPr>
      <w:r w:rsidRPr="00444F43">
        <w:rPr>
          <w:rFonts w:ascii="Times New Roman" w:hAnsi="Times New Roman" w:cs="Times New Roman"/>
        </w:rPr>
        <w:t>‘Great Pyramid | History | Research Starters | EBSCO Research’, EBSCO, n.d. &lt;https://www.ebsco.com&gt; [accessed 16 March 2026]</w:t>
      </w:r>
    </w:p>
    <w:p w14:paraId="4C1C44FF" w14:textId="77777777" w:rsidR="00444F43" w:rsidRPr="00444F43" w:rsidRDefault="00444F43" w:rsidP="00444F43">
      <w:pPr>
        <w:pStyle w:val="Bibliography"/>
        <w:rPr>
          <w:rFonts w:ascii="Times New Roman" w:hAnsi="Times New Roman" w:cs="Times New Roman"/>
        </w:rPr>
      </w:pPr>
      <w:r w:rsidRPr="00444F43">
        <w:rPr>
          <w:rFonts w:ascii="Times New Roman" w:hAnsi="Times New Roman" w:cs="Times New Roman"/>
        </w:rPr>
        <w:t>‘Inscribed Shabtis’, n.d. &lt;https://tt99.fitz.ms/finds/shabtis.html&gt; [accessed 9 March 2026]</w:t>
      </w:r>
    </w:p>
    <w:p w14:paraId="738FDA0D" w14:textId="77777777" w:rsidR="00444F43" w:rsidRPr="00444F43" w:rsidRDefault="00444F43" w:rsidP="00444F43">
      <w:pPr>
        <w:pStyle w:val="Bibliography"/>
        <w:rPr>
          <w:rFonts w:ascii="Times New Roman" w:hAnsi="Times New Roman" w:cs="Times New Roman"/>
        </w:rPr>
      </w:pPr>
      <w:r w:rsidRPr="00444F43">
        <w:rPr>
          <w:rFonts w:ascii="Times New Roman" w:hAnsi="Times New Roman" w:cs="Times New Roman"/>
        </w:rPr>
        <w:t xml:space="preserve">Jock, </w:t>
      </w:r>
      <w:proofErr w:type="spellStart"/>
      <w:r w:rsidRPr="00444F43">
        <w:rPr>
          <w:rFonts w:ascii="Times New Roman" w:hAnsi="Times New Roman" w:cs="Times New Roman"/>
        </w:rPr>
        <w:t>Agai</w:t>
      </w:r>
      <w:proofErr w:type="spellEnd"/>
      <w:r w:rsidRPr="00444F43">
        <w:rPr>
          <w:rFonts w:ascii="Times New Roman" w:hAnsi="Times New Roman" w:cs="Times New Roman"/>
        </w:rPr>
        <w:t xml:space="preserve"> Matthew, and Kinya Nelson Kingsley, ‘Judgment and Afterlife in Ancient Egypt: The Principle of Ma’at, Osirian Tradition, and the Comparative Context of Eternal Punishment’, </w:t>
      </w:r>
      <w:r w:rsidRPr="00444F43">
        <w:rPr>
          <w:rFonts w:ascii="Times New Roman" w:hAnsi="Times New Roman" w:cs="Times New Roman"/>
          <w:i/>
          <w:iCs/>
        </w:rPr>
        <w:t>Journal of Contemporary Rituals and Traditions</w:t>
      </w:r>
      <w:r w:rsidRPr="00444F43">
        <w:rPr>
          <w:rFonts w:ascii="Times New Roman" w:hAnsi="Times New Roman" w:cs="Times New Roman"/>
        </w:rPr>
        <w:t>, 3.1 (2025), pp. 39–58, doi:10.15575/jcrt.718</w:t>
      </w:r>
    </w:p>
    <w:p w14:paraId="70AD28BE" w14:textId="77777777" w:rsidR="00444F43" w:rsidRPr="00444F43" w:rsidRDefault="00444F43" w:rsidP="00444F43">
      <w:pPr>
        <w:pStyle w:val="Bibliography"/>
        <w:rPr>
          <w:rFonts w:ascii="Times New Roman" w:hAnsi="Times New Roman" w:cs="Times New Roman"/>
        </w:rPr>
      </w:pPr>
      <w:r w:rsidRPr="00444F43">
        <w:rPr>
          <w:rFonts w:ascii="Times New Roman" w:hAnsi="Times New Roman" w:cs="Times New Roman"/>
        </w:rPr>
        <w:t xml:space="preserve">Lucarelli, Rita, ‘The Materiality of the Ancient Egyptian Book of the Dead’, </w:t>
      </w:r>
      <w:r w:rsidRPr="00444F43">
        <w:rPr>
          <w:rFonts w:ascii="Times New Roman" w:hAnsi="Times New Roman" w:cs="Times New Roman"/>
          <w:i/>
          <w:iCs/>
        </w:rPr>
        <w:t>Maarav</w:t>
      </w:r>
      <w:r w:rsidRPr="00444F43">
        <w:rPr>
          <w:rFonts w:ascii="Times New Roman" w:hAnsi="Times New Roman" w:cs="Times New Roman"/>
        </w:rPr>
        <w:t>, 23.1 (2019), pp. 137–50, doi:10.1086/MAR201923108</w:t>
      </w:r>
    </w:p>
    <w:p w14:paraId="3E010353" w14:textId="77777777" w:rsidR="00444F43" w:rsidRPr="00444F43" w:rsidRDefault="00444F43" w:rsidP="00444F43">
      <w:pPr>
        <w:pStyle w:val="Bibliography"/>
        <w:rPr>
          <w:rFonts w:ascii="Times New Roman" w:hAnsi="Times New Roman" w:cs="Times New Roman"/>
        </w:rPr>
      </w:pPr>
      <w:r w:rsidRPr="00444F43">
        <w:rPr>
          <w:rFonts w:ascii="Times New Roman" w:hAnsi="Times New Roman" w:cs="Times New Roman"/>
        </w:rPr>
        <w:t xml:space="preserve">Milde, Henk, ‘Shabtis’, </w:t>
      </w:r>
      <w:r w:rsidRPr="00444F43">
        <w:rPr>
          <w:rFonts w:ascii="Times New Roman" w:hAnsi="Times New Roman" w:cs="Times New Roman"/>
          <w:i/>
          <w:iCs/>
        </w:rPr>
        <w:t xml:space="preserve">UCLA </w:t>
      </w:r>
      <w:proofErr w:type="spellStart"/>
      <w:r w:rsidRPr="00444F43">
        <w:rPr>
          <w:rFonts w:ascii="Times New Roman" w:hAnsi="Times New Roman" w:cs="Times New Roman"/>
          <w:i/>
          <w:iCs/>
        </w:rPr>
        <w:t>Encyclopedia</w:t>
      </w:r>
      <w:proofErr w:type="spellEnd"/>
      <w:r w:rsidRPr="00444F43">
        <w:rPr>
          <w:rFonts w:ascii="Times New Roman" w:hAnsi="Times New Roman" w:cs="Times New Roman"/>
          <w:i/>
          <w:iCs/>
        </w:rPr>
        <w:t xml:space="preserve"> of Egyptology</w:t>
      </w:r>
      <w:r w:rsidRPr="00444F43">
        <w:rPr>
          <w:rFonts w:ascii="Times New Roman" w:hAnsi="Times New Roman" w:cs="Times New Roman"/>
        </w:rPr>
        <w:t>, 1.1 (2012) &lt;https://escholarship.org/uc/item/6cx744kk&gt; [accessed 19 March 2026]</w:t>
      </w:r>
    </w:p>
    <w:p w14:paraId="47E95C32" w14:textId="77777777" w:rsidR="00444F43" w:rsidRPr="00444F43" w:rsidRDefault="00444F43" w:rsidP="00444F43">
      <w:pPr>
        <w:pStyle w:val="Bibliography"/>
        <w:rPr>
          <w:rFonts w:ascii="Times New Roman" w:hAnsi="Times New Roman" w:cs="Times New Roman"/>
        </w:rPr>
      </w:pPr>
      <w:r w:rsidRPr="00444F43">
        <w:rPr>
          <w:rFonts w:ascii="Times New Roman" w:hAnsi="Times New Roman" w:cs="Times New Roman"/>
        </w:rPr>
        <w:t>‘Mummy Shroud’, n.d. &lt;https://tt99.fitz.ms/finds/shrouds.html&gt; [accessed 18 March 2026]</w:t>
      </w:r>
    </w:p>
    <w:p w14:paraId="5E82CA38" w14:textId="77777777" w:rsidR="00444F43" w:rsidRPr="00444F43" w:rsidRDefault="00444F43" w:rsidP="00444F43">
      <w:pPr>
        <w:pStyle w:val="Bibliography"/>
        <w:rPr>
          <w:rFonts w:ascii="Times New Roman" w:hAnsi="Times New Roman" w:cs="Times New Roman"/>
        </w:rPr>
      </w:pPr>
      <w:r w:rsidRPr="00444F43">
        <w:rPr>
          <w:rFonts w:ascii="Times New Roman" w:hAnsi="Times New Roman" w:cs="Times New Roman"/>
        </w:rPr>
        <w:t xml:space="preserve">Nicholson, Paul T., and Ian Shaw, </w:t>
      </w:r>
      <w:r w:rsidRPr="00444F43">
        <w:rPr>
          <w:rFonts w:ascii="Times New Roman" w:hAnsi="Times New Roman" w:cs="Times New Roman"/>
          <w:i/>
          <w:iCs/>
        </w:rPr>
        <w:t>Ancient Egyptian Materials and Technology</w:t>
      </w:r>
      <w:r w:rsidRPr="00444F43">
        <w:rPr>
          <w:rFonts w:ascii="Times New Roman" w:hAnsi="Times New Roman" w:cs="Times New Roman"/>
        </w:rPr>
        <w:t xml:space="preserve"> (Cambridge University Press, 2000)</w:t>
      </w:r>
    </w:p>
    <w:p w14:paraId="5A94C14D" w14:textId="77777777" w:rsidR="00444F43" w:rsidRPr="00444F43" w:rsidRDefault="00444F43" w:rsidP="00444F43">
      <w:pPr>
        <w:pStyle w:val="Bibliography"/>
        <w:rPr>
          <w:rFonts w:ascii="Times New Roman" w:hAnsi="Times New Roman" w:cs="Times New Roman"/>
        </w:rPr>
      </w:pPr>
      <w:r w:rsidRPr="00444F43">
        <w:rPr>
          <w:rFonts w:ascii="Times New Roman" w:hAnsi="Times New Roman" w:cs="Times New Roman"/>
        </w:rPr>
        <w:t>‘Schematic Diagram of TT99’, n.d. &lt;https://tt99.fitz.ms/architecture/schematic.html&gt; [accessed 16 March 2026]</w:t>
      </w:r>
    </w:p>
    <w:p w14:paraId="17C88396" w14:textId="77777777" w:rsidR="00444F43" w:rsidRPr="00444F43" w:rsidRDefault="00444F43" w:rsidP="00444F43">
      <w:pPr>
        <w:pStyle w:val="Bibliography"/>
        <w:rPr>
          <w:rFonts w:ascii="Times New Roman" w:hAnsi="Times New Roman" w:cs="Times New Roman"/>
        </w:rPr>
      </w:pPr>
      <w:r w:rsidRPr="00444F43">
        <w:rPr>
          <w:rFonts w:ascii="Times New Roman" w:hAnsi="Times New Roman" w:cs="Times New Roman"/>
        </w:rPr>
        <w:t>‘Small Uninscribed Shabtis’, n.d. &lt;https://tt99.fitz.ms/finds/shabti1.html&gt; [accessed 9 March 2026]</w:t>
      </w:r>
    </w:p>
    <w:p w14:paraId="026CD874" w14:textId="77777777" w:rsidR="00444F43" w:rsidRPr="00444F43" w:rsidRDefault="00444F43" w:rsidP="00444F43">
      <w:pPr>
        <w:pStyle w:val="Bibliography"/>
        <w:rPr>
          <w:rFonts w:ascii="Times New Roman" w:hAnsi="Times New Roman" w:cs="Times New Roman"/>
        </w:rPr>
      </w:pPr>
      <w:r w:rsidRPr="00444F43">
        <w:rPr>
          <w:rFonts w:ascii="Times New Roman" w:hAnsi="Times New Roman" w:cs="Times New Roman"/>
        </w:rPr>
        <w:t xml:space="preserve">Strudwick, Nigel, and others, ‘Senneferi, His Family and Related Monuments’, in </w:t>
      </w:r>
      <w:r w:rsidRPr="00444F43">
        <w:rPr>
          <w:rFonts w:ascii="Times New Roman" w:hAnsi="Times New Roman" w:cs="Times New Roman"/>
          <w:i/>
          <w:iCs/>
        </w:rPr>
        <w:t>The Tomb of Pharaoh’s Chancellor Senneferi at Thebes (TT99)</w:t>
      </w:r>
      <w:r w:rsidRPr="00444F43">
        <w:rPr>
          <w:rFonts w:ascii="Times New Roman" w:hAnsi="Times New Roman" w:cs="Times New Roman"/>
        </w:rPr>
        <w:t xml:space="preserve">, ed. by Nigel Strudwick, 1st </w:t>
      </w:r>
      <w:proofErr w:type="spellStart"/>
      <w:r w:rsidRPr="00444F43">
        <w:rPr>
          <w:rFonts w:ascii="Times New Roman" w:hAnsi="Times New Roman" w:cs="Times New Roman"/>
        </w:rPr>
        <w:t>edn</w:t>
      </w:r>
      <w:proofErr w:type="spellEnd"/>
      <w:r w:rsidRPr="00444F43">
        <w:rPr>
          <w:rFonts w:ascii="Times New Roman" w:hAnsi="Times New Roman" w:cs="Times New Roman"/>
        </w:rPr>
        <w:t xml:space="preserve"> (Oxbow Books, 2016), pp. 8–36 &lt;https://www.jstor.org/stable/j.ctt1kw2b9v.11&gt; [accessed 18 March 2026]</w:t>
      </w:r>
    </w:p>
    <w:p w14:paraId="24B88E25" w14:textId="77777777" w:rsidR="00444F43" w:rsidRPr="00444F43" w:rsidRDefault="00444F43" w:rsidP="00444F43">
      <w:pPr>
        <w:pStyle w:val="Bibliography"/>
        <w:rPr>
          <w:rFonts w:ascii="Times New Roman" w:hAnsi="Times New Roman" w:cs="Times New Roman"/>
        </w:rPr>
      </w:pPr>
      <w:r w:rsidRPr="00444F43">
        <w:rPr>
          <w:rFonts w:ascii="Times New Roman" w:hAnsi="Times New Roman" w:cs="Times New Roman"/>
        </w:rPr>
        <w:t xml:space="preserve">——, and others, ‘The Decoration of the Chapel’, in </w:t>
      </w:r>
      <w:r w:rsidRPr="00444F43">
        <w:rPr>
          <w:rFonts w:ascii="Times New Roman" w:hAnsi="Times New Roman" w:cs="Times New Roman"/>
          <w:i/>
          <w:iCs/>
        </w:rPr>
        <w:t>The Tomb of Pharaoh’s Chancellor Senneferi at Thebes (TT99)</w:t>
      </w:r>
      <w:r w:rsidRPr="00444F43">
        <w:rPr>
          <w:rFonts w:ascii="Times New Roman" w:hAnsi="Times New Roman" w:cs="Times New Roman"/>
        </w:rPr>
        <w:t xml:space="preserve">, ed. by Nigel Strudwick, 1st </w:t>
      </w:r>
      <w:proofErr w:type="spellStart"/>
      <w:r w:rsidRPr="00444F43">
        <w:rPr>
          <w:rFonts w:ascii="Times New Roman" w:hAnsi="Times New Roman" w:cs="Times New Roman"/>
        </w:rPr>
        <w:t>edn</w:t>
      </w:r>
      <w:proofErr w:type="spellEnd"/>
      <w:r w:rsidRPr="00444F43">
        <w:rPr>
          <w:rFonts w:ascii="Times New Roman" w:hAnsi="Times New Roman" w:cs="Times New Roman"/>
        </w:rPr>
        <w:t xml:space="preserve"> (Oxbow Books, 2016), pp. 84–160 &lt;https://www.jstor.org/stable/j.ctt1kw2b9v.14&gt; [accessed 19 March 2026]</w:t>
      </w:r>
    </w:p>
    <w:p w14:paraId="5731D72B" w14:textId="77777777" w:rsidR="00444F43" w:rsidRPr="00444F43" w:rsidRDefault="00444F43" w:rsidP="00444F43">
      <w:pPr>
        <w:pStyle w:val="Bibliography"/>
        <w:rPr>
          <w:rFonts w:ascii="Times New Roman" w:hAnsi="Times New Roman" w:cs="Times New Roman"/>
        </w:rPr>
      </w:pPr>
      <w:proofErr w:type="spellStart"/>
      <w:r w:rsidRPr="00444F43">
        <w:rPr>
          <w:rFonts w:ascii="Times New Roman" w:hAnsi="Times New Roman" w:cs="Times New Roman"/>
        </w:rPr>
        <w:lastRenderedPageBreak/>
        <w:t>Takenoshota</w:t>
      </w:r>
      <w:proofErr w:type="spellEnd"/>
      <w:r w:rsidRPr="00444F43">
        <w:rPr>
          <w:rFonts w:ascii="Times New Roman" w:hAnsi="Times New Roman" w:cs="Times New Roman"/>
        </w:rPr>
        <w:t xml:space="preserve">, Junko, </w:t>
      </w:r>
      <w:r w:rsidRPr="00444F43">
        <w:rPr>
          <w:rFonts w:ascii="Times New Roman" w:hAnsi="Times New Roman" w:cs="Times New Roman"/>
          <w:i/>
          <w:iCs/>
        </w:rPr>
        <w:t>When the Living Met the Dead: The Social Functions of False Doors in Non-Royal Funerary Culture with References to Examples from the First Intermediate Period and Middle Kingdom</w:t>
      </w:r>
      <w:r w:rsidRPr="00444F43">
        <w:rPr>
          <w:rFonts w:ascii="Times New Roman" w:hAnsi="Times New Roman" w:cs="Times New Roman"/>
        </w:rPr>
        <w:t>, n.d.</w:t>
      </w:r>
    </w:p>
    <w:p w14:paraId="2E18602B" w14:textId="77777777" w:rsidR="00444F43" w:rsidRPr="00444F43" w:rsidRDefault="00444F43" w:rsidP="00444F43">
      <w:pPr>
        <w:pStyle w:val="Bibliography"/>
        <w:rPr>
          <w:rFonts w:ascii="Times New Roman" w:hAnsi="Times New Roman" w:cs="Times New Roman"/>
        </w:rPr>
      </w:pPr>
      <w:r w:rsidRPr="00444F43">
        <w:rPr>
          <w:rFonts w:ascii="Times New Roman" w:hAnsi="Times New Roman" w:cs="Times New Roman"/>
        </w:rPr>
        <w:t>‘The Elements of TT99’, n.d. &lt;https://tt99.fitz.ms/architecture/plan.html&gt; [accessed 9 March 2026]</w:t>
      </w:r>
    </w:p>
    <w:p w14:paraId="782E1966" w14:textId="77777777" w:rsidR="00444F43" w:rsidRPr="00444F43" w:rsidRDefault="00444F43" w:rsidP="00444F43">
      <w:pPr>
        <w:pStyle w:val="Bibliography"/>
        <w:rPr>
          <w:rFonts w:ascii="Times New Roman" w:hAnsi="Times New Roman" w:cs="Times New Roman"/>
        </w:rPr>
      </w:pPr>
      <w:r w:rsidRPr="00444F43">
        <w:rPr>
          <w:rFonts w:ascii="Times New Roman" w:hAnsi="Times New Roman" w:cs="Times New Roman"/>
        </w:rPr>
        <w:t>‘Timeline of Ancient Egypt - Institute of Egyptian Art &amp; Archaeology’, n.d. &lt;https://www.memphis.edu/egypt/resources/timeline.php&gt; [accessed 16 March 2026]</w:t>
      </w:r>
    </w:p>
    <w:p w14:paraId="1B915EB6" w14:textId="77777777" w:rsidR="00444F43" w:rsidRPr="00444F43" w:rsidRDefault="00444F43" w:rsidP="00444F43">
      <w:pPr>
        <w:pStyle w:val="Bibliography"/>
        <w:rPr>
          <w:rFonts w:ascii="Times New Roman" w:hAnsi="Times New Roman" w:cs="Times New Roman"/>
        </w:rPr>
      </w:pPr>
      <w:r w:rsidRPr="00444F43">
        <w:rPr>
          <w:rFonts w:ascii="Times New Roman" w:hAnsi="Times New Roman" w:cs="Times New Roman"/>
        </w:rPr>
        <w:t xml:space="preserve">Yamamoto, Kei, and others, ‘The Art of the Stela An Appeal to the Living’, in </w:t>
      </w:r>
      <w:r w:rsidRPr="00444F43">
        <w:rPr>
          <w:rFonts w:ascii="Times New Roman" w:hAnsi="Times New Roman" w:cs="Times New Roman"/>
          <w:i/>
          <w:iCs/>
        </w:rPr>
        <w:t>Ancient Egypt Transformed: The Middle Kingdom</w:t>
      </w:r>
      <w:r w:rsidRPr="00444F43">
        <w:rPr>
          <w:rFonts w:ascii="Times New Roman" w:hAnsi="Times New Roman" w:cs="Times New Roman"/>
        </w:rPr>
        <w:t xml:space="preserve"> (Metropolitan Museum of Art, 2015), pp. 33–37</w:t>
      </w:r>
    </w:p>
    <w:p w14:paraId="0E1D14DD" w14:textId="3C1DEDFF" w:rsidR="00444F43" w:rsidRPr="00444F43" w:rsidRDefault="00444F43" w:rsidP="00444F43">
      <w:pPr>
        <w:rPr>
          <w:rFonts w:ascii="Times New Roman" w:hAnsi="Times New Roman" w:cs="Times New Roman"/>
        </w:rPr>
      </w:pPr>
      <w:r>
        <w:rPr>
          <w:rFonts w:ascii="Times New Roman" w:hAnsi="Times New Roman" w:cs="Times New Roman"/>
        </w:rPr>
        <w:fldChar w:fldCharType="end"/>
      </w:r>
    </w:p>
    <w:sectPr w:rsidR="00444F43" w:rsidRPr="00444F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1C35AB" w14:textId="77777777" w:rsidR="00FF18FE" w:rsidRDefault="00FF18FE" w:rsidP="00646B84">
      <w:pPr>
        <w:spacing w:after="0" w:line="240" w:lineRule="auto"/>
      </w:pPr>
      <w:r>
        <w:separator/>
      </w:r>
    </w:p>
  </w:endnote>
  <w:endnote w:type="continuationSeparator" w:id="0">
    <w:p w14:paraId="640F508E" w14:textId="77777777" w:rsidR="00FF18FE" w:rsidRDefault="00FF18FE" w:rsidP="00646B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3626AE" w14:textId="77777777" w:rsidR="00FF18FE" w:rsidRDefault="00FF18FE" w:rsidP="00646B84">
      <w:pPr>
        <w:spacing w:after="0" w:line="240" w:lineRule="auto"/>
      </w:pPr>
      <w:r>
        <w:separator/>
      </w:r>
    </w:p>
  </w:footnote>
  <w:footnote w:type="continuationSeparator" w:id="0">
    <w:p w14:paraId="0D50B5A8" w14:textId="77777777" w:rsidR="00FF18FE" w:rsidRDefault="00FF18FE" w:rsidP="00646B84">
      <w:pPr>
        <w:spacing w:after="0" w:line="240" w:lineRule="auto"/>
      </w:pPr>
      <w:r>
        <w:continuationSeparator/>
      </w:r>
    </w:p>
  </w:footnote>
  <w:footnote w:id="1">
    <w:p w14:paraId="6960EC7A" w14:textId="11C236F9" w:rsidR="00646B84" w:rsidRDefault="00646B84">
      <w:pPr>
        <w:pStyle w:val="FootnoteText"/>
      </w:pPr>
      <w:r>
        <w:rPr>
          <w:rStyle w:val="FootnoteReference"/>
        </w:rPr>
        <w:footnoteRef/>
      </w:r>
      <w:r>
        <w:t xml:space="preserve"> </w:t>
      </w:r>
      <w:r>
        <w:fldChar w:fldCharType="begin"/>
      </w:r>
      <w:r>
        <w:instrText xml:space="preserve"> ADDIN ZOTERO_ITEM CSL_CITATION {"citationID":"k19geg1d","properties":{"formattedCitation":"\\uc0\\u8216{}The Elements of TT99\\uc0\\u8217{}, n.d. &lt;https://tt99.fitz.ms/architecture/plan.html&gt; [accessed 9 March 2026].","plainCitation":"‘The Elements of TT99’, n.d. &lt;https://tt99.fitz.ms/architecture/plan.html&gt; [accessed 9 March 2026].","noteIndex":1},"citationItems":[{"id":135,"uris":["http://zotero.org/users/local/iOIivr2j/items/AATJ2EDN"],"itemData":{"id":135,"type":"webpage","title":"The elements of TT99","URL":"https://tt99.fitz.ms/architecture/plan.html","accessed":{"date-parts":[["2026",3,9]]}}}],"schema":"https://github.com/citation-style-language/schema/raw/master/csl-citation.json"} </w:instrText>
      </w:r>
      <w:r>
        <w:fldChar w:fldCharType="separate"/>
      </w:r>
      <w:r w:rsidRPr="00646B84">
        <w:rPr>
          <w:rFonts w:ascii="Aptos" w:hAnsi="Aptos" w:cs="Times New Roman"/>
          <w:kern w:val="0"/>
        </w:rPr>
        <w:t>‘The Elements of TT99’, n.d. &lt;https://tt99.fitz.ms/architecture/plan.html&gt; [accessed 9 March 2026].</w:t>
      </w:r>
      <w:r>
        <w:fldChar w:fldCharType="end"/>
      </w:r>
    </w:p>
  </w:footnote>
  <w:footnote w:id="2">
    <w:p w14:paraId="53B3C834" w14:textId="5494179B" w:rsidR="007E7C99" w:rsidRDefault="007E7C99">
      <w:pPr>
        <w:pStyle w:val="FootnoteText"/>
      </w:pPr>
      <w:r>
        <w:rPr>
          <w:rStyle w:val="FootnoteReference"/>
        </w:rPr>
        <w:footnoteRef/>
      </w:r>
      <w:r>
        <w:t xml:space="preserve"> </w:t>
      </w:r>
      <w:r>
        <w:fldChar w:fldCharType="begin"/>
      </w:r>
      <w:r>
        <w:instrText xml:space="preserve"> ADDIN ZOTERO_ITEM CSL_CITATION {"citationID":"stutqDrj","properties":{"formattedCitation":"\\uc0\\u8216{}Finds from TT99\\uc0\\u8217{}, n.d. &lt;https://tt99.fitz.ms/finds.html&gt; [accessed 9 March 2026].","plainCitation":"‘Finds from TT99’, n.d. &lt;https://tt99.fitz.ms/finds.html&gt; [accessed 9 March 2026].","noteIndex":2},"citationItems":[{"id":147,"uris":["http://zotero.org/users/local/iOIivr2j/items/NJ63HN4N"],"itemData":{"id":147,"type":"webpage","title":"Finds from TT99","URL":"https://tt99.fitz.ms/finds.html","accessed":{"date-parts":[["2026",3,9]]}}}],"schema":"https://github.com/citation-style-language/schema/raw/master/csl-citation.json"} </w:instrText>
      </w:r>
      <w:r>
        <w:fldChar w:fldCharType="separate"/>
      </w:r>
      <w:r w:rsidRPr="007E7C99">
        <w:rPr>
          <w:rFonts w:ascii="Aptos" w:hAnsi="Aptos" w:cs="Times New Roman"/>
          <w:kern w:val="0"/>
        </w:rPr>
        <w:t>‘Finds from TT99’, n.d. &lt;https://tt99.fitz.ms/finds.html&gt; [accessed 9 March 2026].</w:t>
      </w:r>
      <w:r>
        <w:fldChar w:fldCharType="end"/>
      </w:r>
    </w:p>
  </w:footnote>
  <w:footnote w:id="3">
    <w:p w14:paraId="1BEBF467" w14:textId="4C35A58B" w:rsidR="00B85F60" w:rsidRDefault="00B85F60">
      <w:pPr>
        <w:pStyle w:val="FootnoteText"/>
      </w:pPr>
      <w:r>
        <w:rPr>
          <w:rStyle w:val="FootnoteReference"/>
        </w:rPr>
        <w:footnoteRef/>
      </w:r>
      <w:r>
        <w:t xml:space="preserve"> </w:t>
      </w:r>
      <w:r>
        <w:fldChar w:fldCharType="begin"/>
      </w:r>
      <w:r>
        <w:instrText xml:space="preserve"> ADDIN ZOTERO_ITEM CSL_CITATION {"citationID":"qND3yPPd","properties":{"formattedCitation":"\\uc0\\u8216{}Schematic Diagram of TT99\\uc0\\u8217{}, n.d. &lt;https://tt99.fitz.ms/architecture/schematic.html&gt; [accessed 16 March 2026].","plainCitation":"‘Schematic Diagram of TT99’, n.d. &lt;https://tt99.fitz.ms/architecture/schematic.html&gt; [accessed 16 March 2026].","noteIndex":3},"citationItems":[{"id":154,"uris":["http://zotero.org/users/local/iOIivr2j/items/7288A4L4"],"itemData":{"id":154,"type":"webpage","title":"Schematic diagram of TT99","URL":"https://tt99.fitz.ms/architecture/schematic.html","accessed":{"date-parts":[["2026",3,16]]}}}],"schema":"https://github.com/citation-style-language/schema/raw/master/csl-citation.json"} </w:instrText>
      </w:r>
      <w:r>
        <w:fldChar w:fldCharType="separate"/>
      </w:r>
      <w:r w:rsidRPr="00B85F60">
        <w:rPr>
          <w:rFonts w:ascii="Aptos" w:hAnsi="Aptos" w:cs="Times New Roman"/>
          <w:kern w:val="0"/>
        </w:rPr>
        <w:t>‘Schematic Diagram of TT99’, n.d. &lt;https://tt99.fitz.ms/architecture/schematic.html&gt; [accessed 16 March 2026].</w:t>
      </w:r>
      <w:r>
        <w:fldChar w:fldCharType="end"/>
      </w:r>
    </w:p>
  </w:footnote>
  <w:footnote w:id="4">
    <w:p w14:paraId="496357F2" w14:textId="5C201634" w:rsidR="00174DB0" w:rsidRDefault="00174DB0">
      <w:pPr>
        <w:pStyle w:val="FootnoteText"/>
      </w:pPr>
      <w:r>
        <w:rPr>
          <w:rStyle w:val="FootnoteReference"/>
        </w:rPr>
        <w:footnoteRef/>
      </w:r>
      <w:r>
        <w:t xml:space="preserve"> </w:t>
      </w:r>
      <w:r>
        <w:fldChar w:fldCharType="begin"/>
      </w:r>
      <w:r>
        <w:instrText xml:space="preserve"> ADDIN ZOTERO_ITEM CSL_CITATION {"citationID":"6rAL0aEJ","properties":{"formattedCitation":"\\uc0\\u8216{}Facade and Superstructure\\uc0\\u8217{}, n.d. &lt;https://tt99.fitz.ms/architecture/super.html&gt; [accessed 16 March 2026].","plainCitation":"‘Facade and Superstructure’, n.d. &lt;https://tt99.fitz.ms/architecture/super.html&gt; [accessed 16 March 2026].","noteIndex":4},"citationItems":[{"id":156,"uris":["http://zotero.org/users/local/iOIivr2j/items/V2SGQPFF"],"itemData":{"id":156,"type":"webpage","title":"Facade and superstructure","URL":"https://tt99.fitz.ms/architecture/super.html","accessed":{"date-parts":[["2026",3,16]]}}}],"schema":"https://github.com/citation-style-language/schema/raw/master/csl-citation.json"} </w:instrText>
      </w:r>
      <w:r>
        <w:fldChar w:fldCharType="separate"/>
      </w:r>
      <w:r w:rsidRPr="00174DB0">
        <w:rPr>
          <w:rFonts w:ascii="Aptos" w:hAnsi="Aptos" w:cs="Times New Roman"/>
          <w:kern w:val="0"/>
        </w:rPr>
        <w:t>‘Facade and Superstructure’, n.d. &lt;https://tt99.fitz.ms/architecture/super.html&gt; [accessed 16 March 2026].</w:t>
      </w:r>
      <w:r>
        <w:fldChar w:fldCharType="end"/>
      </w:r>
    </w:p>
  </w:footnote>
  <w:footnote w:id="5">
    <w:p w14:paraId="521B7FB4" w14:textId="4D210A5E" w:rsidR="00811C40" w:rsidRDefault="00811C40">
      <w:pPr>
        <w:pStyle w:val="FootnoteText"/>
      </w:pPr>
      <w:r>
        <w:rPr>
          <w:rStyle w:val="FootnoteReference"/>
        </w:rPr>
        <w:footnoteRef/>
      </w:r>
      <w:r>
        <w:t xml:space="preserve"> </w:t>
      </w:r>
      <w:r>
        <w:fldChar w:fldCharType="begin"/>
      </w:r>
      <w:r>
        <w:instrText xml:space="preserve"> ADDIN ZOTERO_ITEM CSL_CITATION {"citationID":"1OKgFywi","properties":{"formattedCitation":"\\uc0\\u8216{}Timeline of Ancient Egypt - Institute of Egyptian Art &amp; Archaeology\\uc0\\u8217{}, n.d. &lt;https://www.memphis.edu/egypt/resources/timeline.php&gt; [accessed 16 March 2026].","plainCitation":"‘Timeline of Ancient Egypt - Institute of Egyptian Art &amp; Archaeology’, n.d. &lt;https://www.memphis.edu/egypt/resources/timeline.php&gt; [accessed 16 March 2026].","noteIndex":5},"citationItems":[{"id":158,"uris":["http://zotero.org/users/local/iOIivr2j/items/GNB46KKJ"],"itemData":{"id":158,"type":"webpage","title":"Timeline of Ancient Egypt - Institute of Egyptian Art &amp; Archaeology","URL":"https://www.memphis.edu/egypt/resources/timeline.php","accessed":{"date-parts":[["2026",3,16]]}}}],"schema":"https://github.com/citation-style-language/schema/raw/master/csl-citation.json"} </w:instrText>
      </w:r>
      <w:r>
        <w:fldChar w:fldCharType="separate"/>
      </w:r>
      <w:r w:rsidRPr="00811C40">
        <w:rPr>
          <w:rFonts w:ascii="Aptos" w:hAnsi="Aptos" w:cs="Times New Roman"/>
          <w:kern w:val="0"/>
        </w:rPr>
        <w:t>‘Timeline of Ancient Egypt - Institute of Egyptian Art &amp; Archaeology’, n.d. &lt;https://www.memphis.edu/egypt/resources/timeline.php&gt; [accessed 16 March 2026].</w:t>
      </w:r>
      <w:r>
        <w:fldChar w:fldCharType="end"/>
      </w:r>
    </w:p>
  </w:footnote>
  <w:footnote w:id="6">
    <w:p w14:paraId="2F75F5E4" w14:textId="514A3F98" w:rsidR="00E12D8F" w:rsidRDefault="00E12D8F">
      <w:pPr>
        <w:pStyle w:val="FootnoteText"/>
      </w:pPr>
      <w:r>
        <w:rPr>
          <w:rStyle w:val="FootnoteReference"/>
        </w:rPr>
        <w:footnoteRef/>
      </w:r>
      <w:r>
        <w:t xml:space="preserve"> </w:t>
      </w:r>
      <w:r>
        <w:fldChar w:fldCharType="begin"/>
      </w:r>
      <w:r>
        <w:instrText xml:space="preserve"> ADDIN ZOTERO_ITEM CSL_CITATION {"citationID":"sGwJrKAg","properties":{"formattedCitation":"\\uc0\\u8216{}Great Pyramid | History | Research Starters | EBSCO Research\\uc0\\u8217{}, EBSCO, n.d. &lt;https://www.ebsco.com&gt; [accessed 16 March 2026].","plainCitation":"‘Great Pyramid | History | Research Starters | EBSCO Research’, EBSCO, n.d. &lt;https://www.ebsco.com&gt; [accessed 16 March 2026].","noteIndex":6},"citationItems":[{"id":160,"uris":["http://zotero.org/users/local/iOIivr2j/items/IAKEVI65"],"itemData":{"id":160,"type":"webpage","abstract":"&lt;p&gt;The Great Pyramid of Giza, built for Pharaoh Khufu, is part of the remarkable trio of pyramids located at Giza, Egypt, alongside those of Khafre and Menkaure. Dating back to the Old Kingdom, specifically between 2687 and 2125 BCE, the Great Pyramid is renowned for its monumental size and the precision of its construction. Originally standing at 482 feet (147 meters) high, it is composed of approximately 2.3 million limestone blocks, each averaging 2.5 tons, showcasing the advanced engineering skills of ancient Egyptians. &lt;/p&gt;\n&lt;p&gt;The construction process has been a subject of debate, with theories suggesting the use of ramps and a significant workforce, though modern estimates indicate that a few thousand workers at a time were likely involved. The pyramid complex included not just the pyramid itself but also associated structures like the valley temple and a funerary temple, reflecting the Egyptians&amp;#039; deep beliefs in the afterlife and the importance of burial practices. &lt;/p&gt;\n&lt;p&gt;Despite the losses from erosion and stone removal over the centuries, the Great Pyramid remains a powerful symbol of ancient Egyptian civilization and its architectural legacy. It continues to draw interest from scholars and visitors alike as an enduring testament to the cultural and spiritual values of the time.&lt;/p&gt;","container-title":"EBSCO","language":"en","title":"Great Pyramid | History | Research Starters | EBSCO Research","URL":"https://www.ebsco.com","accessed":{"date-parts":[["2026",3,16]]}}}],"schema":"https://github.com/citation-style-language/schema/raw/master/csl-citation.json"} </w:instrText>
      </w:r>
      <w:r>
        <w:fldChar w:fldCharType="separate"/>
      </w:r>
      <w:r w:rsidRPr="00E12D8F">
        <w:rPr>
          <w:rFonts w:ascii="Aptos" w:hAnsi="Aptos" w:cs="Times New Roman"/>
          <w:kern w:val="0"/>
        </w:rPr>
        <w:t>‘Great Pyramid | History | Research Starters | EBSCO Research’, EBSCO, n.d. &lt;https://www.ebsco.com&gt; [accessed 16 March 2026].</w:t>
      </w:r>
      <w:r>
        <w:fldChar w:fldCharType="end"/>
      </w:r>
    </w:p>
  </w:footnote>
  <w:footnote w:id="7">
    <w:p w14:paraId="6E0A29F1" w14:textId="34689892" w:rsidR="0000113F" w:rsidRDefault="0000113F">
      <w:pPr>
        <w:pStyle w:val="FootnoteText"/>
      </w:pPr>
      <w:r>
        <w:rPr>
          <w:rStyle w:val="FootnoteReference"/>
        </w:rPr>
        <w:footnoteRef/>
      </w:r>
      <w:r>
        <w:t xml:space="preserve"> </w:t>
      </w:r>
      <w:r>
        <w:fldChar w:fldCharType="begin"/>
      </w:r>
      <w:r>
        <w:instrText xml:space="preserve"> ADDIN ZOTERO_ITEM CSL_CITATION {"citationID":"wVg6sJGp","properties":{"formattedCitation":"\\uc0\\u8216{}19th Dynasty Papyri\\uc0\\u8217{}, n.d. &lt;https://tt99.fitz.ms/finds/papyri_D18.html&gt; [accessed 18 March 2026].","plainCitation":"‘19th Dynasty Papyri’, n.d. &lt;https://tt99.fitz.ms/finds/papyri_D18.html&gt; [accessed 18 March 2026].","noteIndex":7},"citationItems":[{"id":164,"uris":["http://zotero.org/users/local/iOIivr2j/items/IF6ZQVGB"],"itemData":{"id":164,"type":"webpage","title":"19th dynasty papyri","URL":"https://tt99.fitz.ms/finds/papyri_D18.html","accessed":{"date-parts":[["2026",3,18]]}}}],"schema":"https://github.com/citation-style-language/schema/raw/master/csl-citation.json"} </w:instrText>
      </w:r>
      <w:r>
        <w:fldChar w:fldCharType="separate"/>
      </w:r>
      <w:r w:rsidRPr="0000113F">
        <w:rPr>
          <w:rFonts w:ascii="Aptos" w:hAnsi="Aptos" w:cs="Times New Roman"/>
          <w:kern w:val="0"/>
        </w:rPr>
        <w:t>‘19th Dynasty Papyri’, n.d. &lt;https://tt99.fitz.ms/finds/papyri_D18.html&gt; [accessed 18 March 2026].</w:t>
      </w:r>
      <w:r>
        <w:fldChar w:fldCharType="end"/>
      </w:r>
    </w:p>
  </w:footnote>
  <w:footnote w:id="8">
    <w:p w14:paraId="6D8EE609" w14:textId="42DC07CD" w:rsidR="0005521A" w:rsidRDefault="0005521A">
      <w:pPr>
        <w:pStyle w:val="FootnoteText"/>
      </w:pPr>
      <w:r>
        <w:rPr>
          <w:rStyle w:val="FootnoteReference"/>
        </w:rPr>
        <w:footnoteRef/>
      </w:r>
      <w:r>
        <w:t xml:space="preserve"> </w:t>
      </w:r>
      <w:r>
        <w:fldChar w:fldCharType="begin"/>
      </w:r>
      <w:r>
        <w:instrText xml:space="preserve"> ADDIN ZOTERO_ITEM CSL_CITATION {"citationID":"Y5nKYrOK","properties":{"formattedCitation":"Rita Lucarelli, \\uc0\\u8216{}The Materiality of the Ancient Egyptian Book of the Dead\\uc0\\u8217{}, {\\i{}Maarav}, 23.1 (2019), pp. 137\\uc0\\u8211{}50 (p. 138), doi:10.1086/MAR201923108.","plainCitation":"Rita Lucarelli, ‘The Materiality of the Ancient Egyptian Book of the Dead’, Maarav, 23.1 (2019), pp. 137–50 (p. 138), doi:10.1086/MAR201923108.","noteIndex":8},"citationItems":[{"id":167,"uris":["http://zotero.org/users/local/iOIivr2j/items/YB7M4UI4"],"itemData":{"id":167,"type":"article-journal","container-title":"Maarav","DOI":"10.1086/MAR201923108","ISSN":"0149-5712, 2836-7103","issue":"1","journalAbbreviation":"Maarav","language":"en","page":"137-150","source":"DOI.org (Crossref)","title":"The Materiality of the Ancient Egyptian Book of the Dead","volume":"23","author":[{"family":"Lucarelli","given":"Rita"}],"issued":{"date-parts":[["2019",1,1]]}},"locator":"138","label":"page"}],"schema":"https://github.com/citation-style-language/schema/raw/master/csl-citation.json"} </w:instrText>
      </w:r>
      <w:r>
        <w:fldChar w:fldCharType="separate"/>
      </w:r>
      <w:r w:rsidRPr="0005521A">
        <w:rPr>
          <w:rFonts w:ascii="Aptos" w:hAnsi="Aptos" w:cs="Times New Roman"/>
          <w:kern w:val="0"/>
        </w:rPr>
        <w:t xml:space="preserve">Rita Lucarelli, ‘The Materiality of the Ancient Egyptian Book of the Dead’, </w:t>
      </w:r>
      <w:r w:rsidRPr="0005521A">
        <w:rPr>
          <w:rFonts w:ascii="Aptos" w:hAnsi="Aptos" w:cs="Times New Roman"/>
          <w:i/>
          <w:iCs/>
          <w:kern w:val="0"/>
        </w:rPr>
        <w:t>Maarav</w:t>
      </w:r>
      <w:r w:rsidRPr="0005521A">
        <w:rPr>
          <w:rFonts w:ascii="Aptos" w:hAnsi="Aptos" w:cs="Times New Roman"/>
          <w:kern w:val="0"/>
        </w:rPr>
        <w:t>, 23.1 (2019), pp. 137–50 (p. 138), doi:10.1086/MAR201923108.</w:t>
      </w:r>
      <w:r>
        <w:fldChar w:fldCharType="end"/>
      </w:r>
    </w:p>
  </w:footnote>
  <w:footnote w:id="9">
    <w:p w14:paraId="299B0D34" w14:textId="0CD1F1B7" w:rsidR="0056028C" w:rsidRDefault="0056028C">
      <w:pPr>
        <w:pStyle w:val="FootnoteText"/>
      </w:pPr>
      <w:r>
        <w:rPr>
          <w:rStyle w:val="FootnoteReference"/>
        </w:rPr>
        <w:footnoteRef/>
      </w:r>
      <w:r>
        <w:t xml:space="preserve"> </w:t>
      </w:r>
      <w:r>
        <w:fldChar w:fldCharType="begin"/>
      </w:r>
      <w:r>
        <w:instrText xml:space="preserve"> ADDIN ZOTERO_ITEM CSL_CITATION {"citationID":"LMNUxmjG","properties":{"formattedCitation":"\\uc0\\u8216{}Mummy Shroud\\uc0\\u8217{}, n.d. &lt;https://tt99.fitz.ms/finds/shrouds.html&gt; [accessed 18 March 2026].","plainCitation":"‘Mummy Shroud’, n.d. &lt;https://tt99.fitz.ms/finds/shrouds.html&gt; [accessed 18 March 2026].","noteIndex":9},"citationItems":[{"id":170,"uris":["http://zotero.org/users/local/iOIivr2j/items/ZZYZNRF3"],"itemData":{"id":170,"type":"webpage","title":"Mummy shroud","URL":"https://tt99.fitz.ms/finds/shrouds.html","accessed":{"date-parts":[["2026",3,18]]}}}],"schema":"https://github.com/citation-style-language/schema/raw/master/csl-citation.json"} </w:instrText>
      </w:r>
      <w:r>
        <w:fldChar w:fldCharType="separate"/>
      </w:r>
      <w:r w:rsidRPr="0056028C">
        <w:rPr>
          <w:rFonts w:ascii="Aptos" w:hAnsi="Aptos" w:cs="Times New Roman"/>
          <w:kern w:val="0"/>
        </w:rPr>
        <w:t>‘Mummy Shroud’, n.d. &lt;https://tt99.fitz.ms/finds/shrouds.html&gt; [accessed 18 March 2026].</w:t>
      </w:r>
      <w:r>
        <w:fldChar w:fldCharType="end"/>
      </w:r>
    </w:p>
  </w:footnote>
  <w:footnote w:id="10">
    <w:p w14:paraId="54242EB7" w14:textId="65BDEAC3" w:rsidR="009B3305" w:rsidRDefault="009B3305">
      <w:pPr>
        <w:pStyle w:val="FootnoteText"/>
      </w:pPr>
      <w:r>
        <w:rPr>
          <w:rStyle w:val="FootnoteReference"/>
        </w:rPr>
        <w:footnoteRef/>
      </w:r>
      <w:r>
        <w:t xml:space="preserve"> </w:t>
      </w:r>
      <w:r>
        <w:fldChar w:fldCharType="begin"/>
      </w:r>
      <w:r>
        <w:instrText xml:space="preserve"> ADDIN ZOTERO_ITEM CSL_CITATION {"citationID":"5xK9BApx","properties":{"formattedCitation":"Nigel Strudwick and others, \\uc0\\u8216{}Senneferi, His Family and Related Monuments\\uc0\\u8217{}, in {\\i{}The Tomb of Pharaoh\\uc0\\u8217{}s Chancellor Senneferi at Thebes (TT99)}, ed. by Nigel Strudwick, 1st edn (Oxbow Books, 2016), pp. 8\\uc0\\u8211{}36 (p. 17) &lt;https://www.jstor.org/stable/j.ctt1kw2b9v.11&gt; [accessed 18 March 2026].","plainCitation":"Nigel Strudwick and others, ‘Senneferi, His Family and Related Monuments’, in The Tomb of Pharaoh’s Chancellor Senneferi at Thebes (TT99), ed. by Nigel Strudwick, 1st edn (Oxbow Books, 2016), pp. 8–36 (p. 17) &lt;https://www.jstor.org/stable/j.ctt1kw2b9v.11&gt; [accessed 18 March 2026].","noteIndex":10},"citationItems":[{"id":173,"uris":["http://zotero.org/users/local/iOIivr2j/items/Q99IIPDQ"],"itemData":{"id":173,"type":"chapter","abstract":"This chapter principally considers what is known about Senneferi and his family (§ 2.1–§ 2.2). Evidence for his career in particular requires reference to material in addition to that from TT99 (§ 2.3–§ 2.5).  The phonetic elements of the name of the tomb-owner are written in two ways [symbol] and [symbol]; these will be consistently transliterated as &lt;i&gt;sn-nfr&lt;/i&gt; and &lt;i&gt;sn-nfri&lt;/i&gt; , and translated ‘Sennefer’ and ‘Senneferi’ respectively. In non-specific references I write ‘Senneferi’, primarily as it is the more common writing, and to make as clear as possible a distinction between the owners of TT99 and TT96.¹  The distribution","container-title":"The Tomb of Pharaoh’s Chancellor Senneferi at Thebes (TT99)","edition":"1st","ISBN":"978-1-78570-331-7","page":"8-36","publisher":"Oxbow Books","source":"JSTOR","title":"Senneferi, his family and related monuments","URL":"https://www.jstor.org/stable/j.ctt1kw2b9v.11","author":[{"family":"Strudwick","given":"Nigel"},{"family":"Strudwick","given":"Helen"},{"family":"Emmett","given":"Trevor F."},{"family":"Munro","given":"Irmtraut"},{"family":"Taylor","given":"John H."},{"family":"Rose","given":"Pamela"},{"family":"Bohleke","given":"B."},{"family":"Waldron","given":"Tony"},{"family":"Dawson","given":"Julie"},{"family":"Leach","given":"Bridget"}],"editor":[{"family":"Strudwick","given":"Nigel"}],"accessed":{"date-parts":[["2026",3,18]]},"issued":{"date-parts":[["2016"]]}},"locator":"17","label":"page"}],"schema":"https://github.com/citation-style-language/schema/raw/master/csl-citation.json"} </w:instrText>
      </w:r>
      <w:r>
        <w:fldChar w:fldCharType="separate"/>
      </w:r>
      <w:r w:rsidRPr="009B3305">
        <w:rPr>
          <w:rFonts w:ascii="Aptos" w:hAnsi="Aptos" w:cs="Times New Roman"/>
          <w:kern w:val="0"/>
        </w:rPr>
        <w:t xml:space="preserve">Nigel Strudwick and others, ‘Senneferi, His Family and Related Monuments’, in </w:t>
      </w:r>
      <w:r w:rsidRPr="009B3305">
        <w:rPr>
          <w:rFonts w:ascii="Aptos" w:hAnsi="Aptos" w:cs="Times New Roman"/>
          <w:i/>
          <w:iCs/>
          <w:kern w:val="0"/>
        </w:rPr>
        <w:t>The Tomb of Pharaoh’s Chancellor Senneferi at Thebes (TT99)</w:t>
      </w:r>
      <w:r w:rsidRPr="009B3305">
        <w:rPr>
          <w:rFonts w:ascii="Aptos" w:hAnsi="Aptos" w:cs="Times New Roman"/>
          <w:kern w:val="0"/>
        </w:rPr>
        <w:t>, ed. by Nigel Strudwick, 1st edn (Oxbow Books, 2016), pp. 8–36 (p. 17) &lt;https://www.jstor.org/stable/j.ctt1kw2b9v.11&gt; [accessed 18 March 2026].</w:t>
      </w:r>
      <w:r>
        <w:fldChar w:fldCharType="end"/>
      </w:r>
    </w:p>
  </w:footnote>
  <w:footnote w:id="11">
    <w:p w14:paraId="10DB33C6" w14:textId="7B3CD1DE" w:rsidR="006940B2" w:rsidRDefault="006940B2">
      <w:pPr>
        <w:pStyle w:val="FootnoteText"/>
      </w:pPr>
      <w:r>
        <w:rPr>
          <w:rStyle w:val="FootnoteReference"/>
        </w:rPr>
        <w:footnoteRef/>
      </w:r>
      <w:r>
        <w:t xml:space="preserve"> </w:t>
      </w:r>
      <w:r>
        <w:fldChar w:fldCharType="begin"/>
      </w:r>
      <w:r>
        <w:instrText xml:space="preserve"> ADDIN ZOTERO_ITEM CSL_CITATION {"citationID":"c9UMX6fg","properties":{"formattedCitation":"Paul T. Nicholson and Ian Shaw, {\\i{}Ancient Egyptian Materials and Technology} (Cambridge University Press, 2000), p. 227.","plainCitation":"Paul T. Nicholson and Ian Shaw, Ancient Egyptian Materials and Technology (Cambridge University Press, 2000), p. 227.","noteIndex":9},"citationItems":[{"id":168,"uris":["http://zotero.org/users/local/iOIivr2j/items/NDRJB2WR"],"itemData":{"id":168,"type":"book","abstract":"Stone / Barbara G. Aston, James A. Harrell, Ian Shaw -- Soil (including mud-brick architecture) / Barry Kemp -- Painting materials / Lorna Lee, Stephen Quirke -- Pottery / Janine D. Bourriau, Paul T. Nicholson, Pamela J. Rose -- Metals / Jack Ogden -- Egyptian faience / Paul T. Nicholson, Edgar Peltenburg -- Glass / Paul T. Nicholson, Julian Henderson -- Papyrus / Bridget Leach, John Tait -- Basketry / Willemina Z. Wendrich -- Textiles / Gillian Vogelsang-Eastwood -- Leatherwork and skin products / Carol Van Driel-Murray -- Ivory and related materials / Olga Krzyszkowska, Robert Morkot -- Ostrich eggshells / Jacke Phillips -- Wood / Rowena Gale, Peter Gasson, Nigel Hepper, Geoffrey Killen -- Mummification / A. Rosalie David -- Oil, fat and wax / Margaret Serpico, Raymond White -- Resins, amber and bitumen / Margaret Serpico, Raymond White -- Adhesives and binders / Richard Newman, Margaret Serpico -- Hair / Joann Fletcher -- Cereal production and processing / Mary Anne Murray -- Brewing and baking / Delwen Samuel -- Viticulture and wine production / Mary Anne Murray, Neil Boulton, Carl Heron -- Fruits, vegetables, pulses and condiments / Mary Anne Murray -- Meat processing / Salima Ikram","ISBN":"978-0-521-45257-1","language":"en","note":"Google-Books-ID: Vj7A9jJrZP0C","number-of-pages":"740","publisher":"Cambridge University Press","source":"Google Books","title":"Ancient Egyptian Materials and Technology","author":[{"family":"Nicholson","given":"Paul T."},{"family":"Shaw","given":"Ian"}],"issued":{"date-parts":[["2000",3,23]]}},"locator":"227","label":"page"}],"schema":"https://github.com/citation-style-language/schema/raw/master/csl-citation.json"} </w:instrText>
      </w:r>
      <w:r>
        <w:fldChar w:fldCharType="separate"/>
      </w:r>
      <w:r w:rsidRPr="006940B2">
        <w:rPr>
          <w:rFonts w:ascii="Aptos" w:hAnsi="Aptos" w:cs="Times New Roman"/>
          <w:kern w:val="0"/>
        </w:rPr>
        <w:t xml:space="preserve">Paul T. Nicholson and Ian Shaw, </w:t>
      </w:r>
      <w:r w:rsidRPr="006940B2">
        <w:rPr>
          <w:rFonts w:ascii="Aptos" w:hAnsi="Aptos" w:cs="Times New Roman"/>
          <w:i/>
          <w:iCs/>
          <w:kern w:val="0"/>
        </w:rPr>
        <w:t>Ancient Egyptian Materials and Technology</w:t>
      </w:r>
      <w:r w:rsidRPr="006940B2">
        <w:rPr>
          <w:rFonts w:ascii="Aptos" w:hAnsi="Aptos" w:cs="Times New Roman"/>
          <w:kern w:val="0"/>
        </w:rPr>
        <w:t xml:space="preserve"> (Cambridge University Press, 2000), p. 227.</w:t>
      </w:r>
      <w:r>
        <w:fldChar w:fldCharType="end"/>
      </w:r>
    </w:p>
  </w:footnote>
  <w:footnote w:id="12">
    <w:p w14:paraId="5C1216D8" w14:textId="4F175F5E" w:rsidR="00FA31F8" w:rsidRDefault="00FA31F8">
      <w:pPr>
        <w:pStyle w:val="FootnoteText"/>
      </w:pPr>
      <w:r>
        <w:rPr>
          <w:rStyle w:val="FootnoteReference"/>
        </w:rPr>
        <w:footnoteRef/>
      </w:r>
      <w:r>
        <w:t xml:space="preserve"> </w:t>
      </w:r>
      <w:r>
        <w:fldChar w:fldCharType="begin"/>
      </w:r>
      <w:r>
        <w:instrText xml:space="preserve"> ADDIN ZOTERO_ITEM CSL_CITATION {"citationID":"L1ZLBdG9","properties":{"formattedCitation":"\\uc0\\u8216{}False Door and Stela\\uc0\\u8217{}, n.d. &lt;https://tt99.fitz.ms/finds/fdstela.html&gt; [accessed 19 March 2026].","plainCitation":"‘False Door and Stela’, n.d. &lt;https://tt99.fitz.ms/finds/fdstela.html&gt; [accessed 19 March 2026].","noteIndex":12},"citationItems":[{"id":179,"uris":["http://zotero.org/users/local/iOIivr2j/items/DNES759X"],"itemData":{"id":179,"type":"webpage","title":"False door and stela","URL":"https://tt99.fitz.ms/finds/fdstela.html","accessed":{"date-parts":[["2026",3,19]]}}}],"schema":"https://github.com/citation-style-language/schema/raw/master/csl-citation.json"} </w:instrText>
      </w:r>
      <w:r>
        <w:fldChar w:fldCharType="separate"/>
      </w:r>
      <w:r w:rsidRPr="00FA31F8">
        <w:rPr>
          <w:rFonts w:ascii="Aptos" w:hAnsi="Aptos" w:cs="Times New Roman"/>
          <w:kern w:val="0"/>
        </w:rPr>
        <w:t>‘False Door and Stela’, n.d. &lt;https://tt99.fitz.ms/finds/fdstela.html&gt; [accessed 19 March 2026].</w:t>
      </w:r>
      <w:r>
        <w:fldChar w:fldCharType="end"/>
      </w:r>
    </w:p>
  </w:footnote>
  <w:footnote w:id="13">
    <w:p w14:paraId="099FD060" w14:textId="03D41BF1" w:rsidR="00AF04B1" w:rsidRDefault="00AF04B1">
      <w:pPr>
        <w:pStyle w:val="FootnoteText"/>
      </w:pPr>
      <w:r>
        <w:rPr>
          <w:rStyle w:val="FootnoteReference"/>
        </w:rPr>
        <w:footnoteRef/>
      </w:r>
      <w:r>
        <w:t xml:space="preserve"> </w:t>
      </w:r>
      <w:r>
        <w:fldChar w:fldCharType="begin"/>
      </w:r>
      <w:r>
        <w:instrText xml:space="preserve"> ADDIN ZOTERO_ITEM CSL_CITATION {"citationID":"mYTIYOwl","properties":{"formattedCitation":"Nigel Strudwick and others, \\uc0\\u8216{}The Decoration of the Chapel\\uc0\\u8217{}, in {\\i{}The Tomb of Pharaoh\\uc0\\u8217{}s Chancellor Senneferi at Thebes (TT99)}, ed. by Nigel Strudwick, 1st edn (Oxbow Books, 2016), pp. 84\\uc0\\u8211{}160 (p. 107) &lt;https://www.jstor.org/stable/j.ctt1kw2b9v.14&gt; [accessed 19 March 2026].","plainCitation":"Nigel Strudwick and others, ‘The Decoration of the Chapel’, in The Tomb of Pharaoh’s Chancellor Senneferi at Thebes (TT99), ed. by Nigel Strudwick, 1st edn (Oxbow Books, 2016), pp. 84–160 (p. 107) &lt;https://www.jstor.org/stable/j.ctt1kw2b9v.14&gt; [accessed 19 March 2026].","noteIndex":13},"citationItems":[{"id":181,"uris":["http://zotero.org/users/local/iOIivr2j/items/QMIVBINI"],"itemData":{"id":181,"type":"chapter","abstract":"The major problem in publishing the decoration of the tomb of Senneferi is the extent of the damage to all the walls of the tomb. Not one wall preserves a complete sequence of decoration from frieze to dado; while friezes are still visible on most walls, the coloured bands of the dado are only visible on Walls 13 and 16 (clearer on the former). From those, it is estimated that the bottom of the decorated area of the wall, including the dado, was at a height of about 50 cm above floor height, although the location of the base line","container-title":"The Tomb of Pharaoh’s Chancellor Senneferi at Thebes (TT99)","edition":"1st","ISBN":"978-1-78570-331-7","page":"84-160","publisher":"Oxbow Books","source":"JSTOR","title":"The decoration of the Chapel","URL":"https://www.jstor.org/stable/j.ctt1kw2b9v.14","author":[{"family":"Strudwick","given":"Nigel"},{"family":"Strudwick","given":"Helen"},{"family":"Emmett","given":"Trevor F."},{"family":"Munro","given":"Irmtraut"},{"family":"Taylor","given":"John H."},{"family":"Rose","given":"Pamela"},{"family":"Bohleke","given":"B."},{"family":"Waldron","given":"Tony"},{"family":"Dawson","given":"Julie"},{"family":"Leach","given":"Bridget"}],"editor":[{"family":"Strudwick","given":"Nigel"}],"accessed":{"date-parts":[["2026",3,19]]},"issued":{"date-parts":[["2016"]]}},"locator":"107","label":"page"}],"schema":"https://github.com/citation-style-language/schema/raw/master/csl-citation.json"} </w:instrText>
      </w:r>
      <w:r>
        <w:fldChar w:fldCharType="separate"/>
      </w:r>
      <w:r w:rsidRPr="00AF04B1">
        <w:rPr>
          <w:rFonts w:ascii="Aptos" w:hAnsi="Aptos" w:cs="Times New Roman"/>
          <w:kern w:val="0"/>
        </w:rPr>
        <w:t xml:space="preserve">Nigel Strudwick and others, ‘The Decoration of the Chapel’, in </w:t>
      </w:r>
      <w:r w:rsidRPr="00AF04B1">
        <w:rPr>
          <w:rFonts w:ascii="Aptos" w:hAnsi="Aptos" w:cs="Times New Roman"/>
          <w:i/>
          <w:iCs/>
          <w:kern w:val="0"/>
        </w:rPr>
        <w:t>The Tomb of Pharaoh’s Chancellor Senneferi at Thebes (TT99)</w:t>
      </w:r>
      <w:r w:rsidRPr="00AF04B1">
        <w:rPr>
          <w:rFonts w:ascii="Aptos" w:hAnsi="Aptos" w:cs="Times New Roman"/>
          <w:kern w:val="0"/>
        </w:rPr>
        <w:t xml:space="preserve">, ed. by Nigel Strudwick, 1st </w:t>
      </w:r>
      <w:proofErr w:type="spellStart"/>
      <w:r w:rsidRPr="00AF04B1">
        <w:rPr>
          <w:rFonts w:ascii="Aptos" w:hAnsi="Aptos" w:cs="Times New Roman"/>
          <w:kern w:val="0"/>
        </w:rPr>
        <w:t>edn</w:t>
      </w:r>
      <w:proofErr w:type="spellEnd"/>
      <w:r w:rsidRPr="00AF04B1">
        <w:rPr>
          <w:rFonts w:ascii="Aptos" w:hAnsi="Aptos" w:cs="Times New Roman"/>
          <w:kern w:val="0"/>
        </w:rPr>
        <w:t xml:space="preserve"> (Oxbow Books, 2016), pp. 84–160 (p. 107) &lt;https://www.jstor.org/stable/j.ctt1kw2b9v.14&gt; [accessed 19 March 2026].</w:t>
      </w:r>
      <w:r>
        <w:fldChar w:fldCharType="end"/>
      </w:r>
    </w:p>
  </w:footnote>
  <w:footnote w:id="14">
    <w:p w14:paraId="4863628E" w14:textId="2778469E" w:rsidR="00813047" w:rsidRDefault="00813047">
      <w:pPr>
        <w:pStyle w:val="FootnoteText"/>
      </w:pPr>
      <w:r>
        <w:rPr>
          <w:rStyle w:val="FootnoteReference"/>
        </w:rPr>
        <w:footnoteRef/>
      </w:r>
      <w:r>
        <w:t xml:space="preserve"> </w:t>
      </w:r>
      <w:r>
        <w:fldChar w:fldCharType="begin"/>
      </w:r>
      <w:r w:rsidR="002F53AB">
        <w:instrText xml:space="preserve"> ADDIN ZOTERO_ITEM CSL_CITATION {"citationID":"HA2p5FFr","properties":{"formattedCitation":"Kei Yamamoto and others, \\uc0\\u8216{}The Art of the Stela An Appeal to the Living\\uc0\\u8217{}, in {\\i{}Ancient Egypt Transformed: The Middle Kingdom} (Metropolitan Museum of Art, 2015), pp. 33\\uc0\\u8211{}37 (p. 33).","plainCitation":"Kei Yamamoto and others, ‘The Art of the Stela An Appeal to the Living’, in Ancient Egypt Transformed: The Middle Kingdom (Metropolitan Museum of Art, 2015), pp. 33–37 (p. 33).","noteIndex":14},"citationItems":[{"id":183,"uris":["http://zotero.org/users/local/iOIivr2j/items/KLGDIPUU"],"itemData":{"id":183,"type":"chapter","abstract":"The Middle Kingdom (ca. 2030–1650 B.C.) was a transformational period in ancient Egypt, during which older artistic conventions, cultural principles, religious beliefs, and political systems were revived and reimagined. Ancient Egypt Transformed presents a comprehensive picture of the art of the Middle Kingdom, arguably the least known of Egypt’s three kingdoms and yet one that saw the creation of powerful, compelling works rendered with great subtlety and sensitivity.The book brings together nearly 300 diverse works— including sculpture, relief decoration, stelae, jewelry, coffins, funerary objects, and personal possessions from the world’s leading collections of Egyptian art. Essays on architecture, statuary, tomb and temple relief decoration, and stele explore how Middle Kingdom artists adapted forms and iconography of the Old Kingdom, using existing conventions to create strikingly original works. Twelve lavishly illustrated chapters, each with a scholarly essay and entries on related objects, begin with discussions of the distinctive art that arose in the south during the early Middle Kingdom, the artistic developments that followed the return to Egypt’s traditional capital in the north, and the renewed construction of pyramid complexes. Thematic chapters devoted to the pharaoh, royal women, the court, and the vital role of family explore art created for different strata of Egyptian society, while others provide insight into Egypt’s expanding relations with foreign lands and the themes of Middle Kingdom literature. The era’s religious beliefs and practices, such as the pilgrimage to Abydos, are revealed through magnificent objects created for tombs, chapels, and temples. Finally, the book discusses Middle Kingdom archaeological sites, including excavations undertaken by the Metropolitan Museum over a number of decades.Written by an international team of respected Egyptologists and Middle Kingdom specialists, the text provides recent scholarship and fresh insights, making the book an authoritative resource.","container-title":"Ancient Egypt Transformed: The Middle Kingdom","ISBN":"978-1-58839-564-1","language":"en","note":"Google-Books-ID: FpqZCgAAQBAJ","page":"33-37","publisher":"Metropolitan Museum of Art","source":"Google Books","title":"The Art of the Stela An Appeal to the Living","author":[{"family":"Yamamoto","given":"Kei"},{"family":"Oppenheim","given":"Adela"},{"family":"Arnold","given":"Dorothea"},{"family":"Arnold","given":"Dieter"}],"issued":{"date-parts":[["2015",10,12]]}},"locator":"33","label":"page"}],"schema":"https://github.com/citation-style-language/schema/raw/master/csl-citation.json"} </w:instrText>
      </w:r>
      <w:r>
        <w:fldChar w:fldCharType="separate"/>
      </w:r>
      <w:r w:rsidR="002F53AB" w:rsidRPr="002F53AB">
        <w:rPr>
          <w:rFonts w:ascii="Aptos" w:hAnsi="Aptos" w:cs="Times New Roman"/>
          <w:kern w:val="0"/>
        </w:rPr>
        <w:t xml:space="preserve">Kei Yamamoto and others, ‘The Art of the Stela An Appeal to the Living’, in </w:t>
      </w:r>
      <w:r w:rsidR="002F53AB" w:rsidRPr="002F53AB">
        <w:rPr>
          <w:rFonts w:ascii="Aptos" w:hAnsi="Aptos" w:cs="Times New Roman"/>
          <w:i/>
          <w:iCs/>
          <w:kern w:val="0"/>
        </w:rPr>
        <w:t>Ancient Egypt Transformed: The Middle Kingdom</w:t>
      </w:r>
      <w:r w:rsidR="002F53AB" w:rsidRPr="002F53AB">
        <w:rPr>
          <w:rFonts w:ascii="Aptos" w:hAnsi="Aptos" w:cs="Times New Roman"/>
          <w:kern w:val="0"/>
        </w:rPr>
        <w:t xml:space="preserve"> (Metropolitan Museum of Art, 2015), pp. 33–37 (p. 33).</w:t>
      </w:r>
      <w:r>
        <w:fldChar w:fldCharType="end"/>
      </w:r>
    </w:p>
  </w:footnote>
  <w:footnote w:id="15">
    <w:p w14:paraId="651E541E" w14:textId="2F698DB1" w:rsidR="002F53AB" w:rsidRDefault="002F53AB">
      <w:pPr>
        <w:pStyle w:val="FootnoteText"/>
      </w:pPr>
      <w:r>
        <w:rPr>
          <w:rStyle w:val="FootnoteReference"/>
        </w:rPr>
        <w:footnoteRef/>
      </w:r>
      <w:r>
        <w:t xml:space="preserve"> </w:t>
      </w:r>
      <w:r>
        <w:fldChar w:fldCharType="begin"/>
      </w:r>
      <w:r>
        <w:instrText xml:space="preserve"> ADDIN ZOTERO_ITEM CSL_CITATION {"citationID":"NHr6DvXc","properties":{"formattedCitation":"Yamamoto and others, \\uc0\\u8216{}The Art of the Stela An Appeal to the Living\\uc0\\u8217{}, p. 33.","plainCitation":"Yamamoto and others, ‘The Art of the Stela An Appeal to the Living’, p. 33.","noteIndex":15},"citationItems":[{"id":183,"uris":["http://zotero.org/users/local/iOIivr2j/items/KLGDIPUU"],"itemData":{"id":183,"type":"chapter","abstract":"The Middle Kingdom (ca. 2030–1650 B.C.) was a transformational period in ancient Egypt, during which older artistic conventions, cultural principles, religious beliefs, and political systems were revived and reimagined. Ancient Egypt Transformed presents a comprehensive picture of the art of the Middle Kingdom, arguably the least known of Egypt’s three kingdoms and yet one that saw the creation of powerful, compelling works rendered with great subtlety and sensitivity.The book brings together nearly 300 diverse works— including sculpture, relief decoration, stelae, jewelry, coffins, funerary objects, and personal possessions from the world’s leading collections of Egyptian art. Essays on architecture, statuary, tomb and temple relief decoration, and stele explore how Middle Kingdom artists adapted forms and iconography of the Old Kingdom, using existing conventions to create strikingly original works. Twelve lavishly illustrated chapters, each with a scholarly essay and entries on related objects, begin with discussions of the distinctive art that arose in the south during the early Middle Kingdom, the artistic developments that followed the return to Egypt’s traditional capital in the north, and the renewed construction of pyramid complexes. Thematic chapters devoted to the pharaoh, royal women, the court, and the vital role of family explore art created for different strata of Egyptian society, while others provide insight into Egypt’s expanding relations with foreign lands and the themes of Middle Kingdom literature. The era’s religious beliefs and practices, such as the pilgrimage to Abydos, are revealed through magnificent objects created for tombs, chapels, and temples. Finally, the book discusses Middle Kingdom archaeological sites, including excavations undertaken by the Metropolitan Museum over a number of decades.Written by an international team of respected Egyptologists and Middle Kingdom specialists, the text provides recent scholarship and fresh insights, making the book an authoritative resource.","container-title":"Ancient Egypt Transformed: The Middle Kingdom","ISBN":"978-1-58839-564-1","language":"en","note":"Google-Books-ID: FpqZCgAAQBAJ","page":"33-37","publisher":"Metropolitan Museum of Art","source":"Google Books","title":"The Art of the Stela An Appeal to the Living","author":[{"family":"Yamamoto","given":"Kei"},{"family":"Oppenheim","given":"Adela"},{"family":"Arnold","given":"Dorothea"},{"family":"Arnold","given":"Dieter"}],"issued":{"date-parts":[["2015",10,12]]}},"locator":"33","label":"page"}],"schema":"https://github.com/citation-style-language/schema/raw/master/csl-citation.json"} </w:instrText>
      </w:r>
      <w:r>
        <w:fldChar w:fldCharType="separate"/>
      </w:r>
      <w:r w:rsidRPr="002F53AB">
        <w:rPr>
          <w:rFonts w:ascii="Aptos" w:hAnsi="Aptos" w:cs="Times New Roman"/>
          <w:kern w:val="0"/>
        </w:rPr>
        <w:t>Yamamoto and others, ‘The Art of the Stela An Appeal to the Living’, p. 33.</w:t>
      </w:r>
      <w:r>
        <w:fldChar w:fldCharType="end"/>
      </w:r>
    </w:p>
  </w:footnote>
  <w:footnote w:id="16">
    <w:p w14:paraId="51D4550B" w14:textId="1BA42FFC" w:rsidR="00995AE6" w:rsidRDefault="00995AE6">
      <w:pPr>
        <w:pStyle w:val="FootnoteText"/>
      </w:pPr>
      <w:r>
        <w:rPr>
          <w:rStyle w:val="FootnoteReference"/>
        </w:rPr>
        <w:footnoteRef/>
      </w:r>
      <w:r>
        <w:t xml:space="preserve"> </w:t>
      </w:r>
      <w:r>
        <w:fldChar w:fldCharType="begin"/>
      </w:r>
      <w:r>
        <w:instrText xml:space="preserve"> ADDIN ZOTERO_ITEM CSL_CITATION {"citationID":"9DWPcm5Q","properties":{"formattedCitation":"\\uc0\\u8216{}Burial and the Dead in Ancient Egyptian Society\\uc0\\u8217{}, n.d., p. 6, doi:10.1177/1469605302002001595.","plainCitation":"‘Burial and the Dead in Ancient Egyptian Society’, n.d., p. 6, doi:10.1177/1469605302002001595.","noteIndex":16},"citationItems":[{"id":185,"uris":["http://zotero.org/users/local/iOIivr2j/items/LPH6JJV7"],"itemData":{"id":185,"type":"webpage","DOI":"10.1177/1469605302002001595","language":"en","note":"DOI: 10.1177/1469605302002001595","title":"Burial and the dead in ancient Egyptian society","URL":"https://journals.sagepub.com/doi/epdf/10.1177/1469605302002001595","accessed":{"date-parts":[["2026",3,19]]}},"locator":"6","label":"page"}],"schema":"https://github.com/citation-style-language/schema/raw/master/csl-citation.json"} </w:instrText>
      </w:r>
      <w:r>
        <w:fldChar w:fldCharType="separate"/>
      </w:r>
      <w:r w:rsidRPr="00995AE6">
        <w:rPr>
          <w:rFonts w:ascii="Aptos" w:hAnsi="Aptos" w:cs="Times New Roman"/>
          <w:kern w:val="0"/>
        </w:rPr>
        <w:t>‘Burial and the Dead in Ancient Egyptian Society’, n.d., p. 6, doi:10.1177/1469605302002001595.</w:t>
      </w:r>
      <w:r>
        <w:fldChar w:fldCharType="end"/>
      </w:r>
    </w:p>
  </w:footnote>
  <w:footnote w:id="17">
    <w:p w14:paraId="0E745C47" w14:textId="4D289D92" w:rsidR="00D1433B" w:rsidRDefault="00D1433B">
      <w:pPr>
        <w:pStyle w:val="FootnoteText"/>
      </w:pPr>
      <w:r>
        <w:rPr>
          <w:rStyle w:val="FootnoteReference"/>
        </w:rPr>
        <w:footnoteRef/>
      </w:r>
      <w:r>
        <w:t xml:space="preserve"> </w:t>
      </w:r>
      <w:r>
        <w:fldChar w:fldCharType="begin"/>
      </w:r>
      <w:r>
        <w:instrText xml:space="preserve"> ADDIN ZOTERO_ITEM CSL_CITATION {"citationID":"UXaqKoar","properties":{"formattedCitation":"\\uc0\\u8216{}Timeline of Ancient Egypt - Institute of Egyptian Art &amp; Archaeology\\uc0\\u8217{}.","plainCitation":"‘Timeline of Ancient Egypt - Institute of Egyptian Art &amp; Archaeology’.","noteIndex":17},"citationItems":[{"id":158,"uris":["http://zotero.org/users/local/iOIivr2j/items/GNB46KKJ"],"itemData":{"id":158,"type":"webpage","title":"Timeline of Ancient Egypt - Institute of Egyptian Art &amp; Archaeology","URL":"https://www.memphis.edu/egypt/resources/timeline.php","accessed":{"date-parts":[["2026",3,16]]}}}],"schema":"https://github.com/citation-style-language/schema/raw/master/csl-citation.json"} </w:instrText>
      </w:r>
      <w:r>
        <w:fldChar w:fldCharType="separate"/>
      </w:r>
      <w:r w:rsidRPr="00D1433B">
        <w:rPr>
          <w:rFonts w:ascii="Aptos" w:hAnsi="Aptos" w:cs="Times New Roman"/>
          <w:kern w:val="0"/>
        </w:rPr>
        <w:t>‘Timeline of Ancient Egypt - Institute of Egyptian Art &amp; Archaeology’.</w:t>
      </w:r>
      <w:r>
        <w:fldChar w:fldCharType="end"/>
      </w:r>
    </w:p>
  </w:footnote>
  <w:footnote w:id="18">
    <w:p w14:paraId="7F568E00" w14:textId="2BA4ECE4" w:rsidR="001556C7" w:rsidRDefault="001556C7">
      <w:pPr>
        <w:pStyle w:val="FootnoteText"/>
      </w:pPr>
      <w:r>
        <w:rPr>
          <w:rStyle w:val="FootnoteReference"/>
        </w:rPr>
        <w:footnoteRef/>
      </w:r>
      <w:r>
        <w:t xml:space="preserve"> </w:t>
      </w:r>
      <w:r>
        <w:fldChar w:fldCharType="begin"/>
      </w:r>
      <w:r>
        <w:instrText xml:space="preserve"> ADDIN ZOTERO_ITEM CSL_CITATION {"citationID":"r0AoKucJ","properties":{"formattedCitation":"\\uc0\\u8216{}Timeline of Ancient Egypt - Institute of Egyptian Art &amp; Archaeology\\uc0\\u8217{}.","plainCitation":"‘Timeline of Ancient Egypt - Institute of Egyptian Art &amp; Archaeology’.","noteIndex":18},"citationItems":[{"id":158,"uris":["http://zotero.org/users/local/iOIivr2j/items/GNB46KKJ"],"itemData":{"id":158,"type":"webpage","title":"Timeline of Ancient Egypt - Institute of Egyptian Art &amp; Archaeology","URL":"https://www.memphis.edu/egypt/resources/timeline.php","accessed":{"date-parts":[["2026",3,16]]}}}],"schema":"https://github.com/citation-style-language/schema/raw/master/csl-citation.json"} </w:instrText>
      </w:r>
      <w:r>
        <w:fldChar w:fldCharType="separate"/>
      </w:r>
      <w:r w:rsidRPr="001556C7">
        <w:rPr>
          <w:rFonts w:ascii="Aptos" w:hAnsi="Aptos" w:cs="Times New Roman"/>
          <w:kern w:val="0"/>
        </w:rPr>
        <w:t>‘Timeline of Ancient Egypt - Institute of Egyptian Art &amp; Archaeology’.</w:t>
      </w:r>
      <w:r>
        <w:fldChar w:fldCharType="end"/>
      </w:r>
    </w:p>
  </w:footnote>
  <w:footnote w:id="19">
    <w:p w14:paraId="2F2145A6" w14:textId="7B77C054" w:rsidR="00C6650B" w:rsidRDefault="00C6650B">
      <w:pPr>
        <w:pStyle w:val="FootnoteText"/>
      </w:pPr>
      <w:r>
        <w:rPr>
          <w:rStyle w:val="FootnoteReference"/>
        </w:rPr>
        <w:footnoteRef/>
      </w:r>
      <w:r>
        <w:t xml:space="preserve"> </w:t>
      </w:r>
      <w:r>
        <w:fldChar w:fldCharType="begin"/>
      </w:r>
      <w:r>
        <w:instrText xml:space="preserve"> ADDIN ZOTERO_ITEM CSL_CITATION {"citationID":"3GNtCPEJ","properties":{"formattedCitation":"\\uc0\\u8216{}Inscribed Shabtis\\uc0\\u8217{}, n.d. &lt;https://tt99.fitz.ms/finds/shabtis.html&gt; [accessed 9 March 2026].","plainCitation":"‘Inscribed Shabtis’, n.d. &lt;https://tt99.fitz.ms/finds/shabtis.html&gt; [accessed 9 March 2026].","noteIndex":19},"citationItems":[{"id":144,"uris":["http://zotero.org/users/local/iOIivr2j/items/6A79VLMH"],"itemData":{"id":144,"type":"webpage","title":"Inscribed shabtis","URL":"https://tt99.fitz.ms/finds/shabtis.html","accessed":{"date-parts":[["2026",3,9]]}}}],"schema":"https://github.com/citation-style-language/schema/raw/master/csl-citation.json"} </w:instrText>
      </w:r>
      <w:r>
        <w:fldChar w:fldCharType="separate"/>
      </w:r>
      <w:r w:rsidRPr="00C6650B">
        <w:rPr>
          <w:rFonts w:ascii="Aptos" w:hAnsi="Aptos" w:cs="Times New Roman"/>
          <w:kern w:val="0"/>
        </w:rPr>
        <w:t>‘Inscribed Shabtis’, n.d. &lt;https://tt99.fitz.ms/finds/shabtis.html&gt; [accessed 9 March 2026].</w:t>
      </w:r>
      <w:r>
        <w:fldChar w:fldCharType="end"/>
      </w:r>
    </w:p>
  </w:footnote>
  <w:footnote w:id="20">
    <w:p w14:paraId="15D81ED4" w14:textId="658F277F" w:rsidR="00550EE7" w:rsidRDefault="00550EE7">
      <w:pPr>
        <w:pStyle w:val="FootnoteText"/>
      </w:pPr>
      <w:r>
        <w:rPr>
          <w:rStyle w:val="FootnoteReference"/>
        </w:rPr>
        <w:footnoteRef/>
      </w:r>
      <w:r>
        <w:t xml:space="preserve"> </w:t>
      </w:r>
      <w:r>
        <w:fldChar w:fldCharType="begin"/>
      </w:r>
      <w:r>
        <w:instrText xml:space="preserve"> ADDIN ZOTERO_ITEM CSL_CITATION {"citationID":"q7U2GG5W","properties":{"formattedCitation":"\\uc0\\u8216{}Inscribed Shabtis\\uc0\\u8217{}.","plainCitation":"‘Inscribed Shabtis’.","noteIndex":20},"citationItems":[{"id":144,"uris":["http://zotero.org/users/local/iOIivr2j/items/6A79VLMH"],"itemData":{"id":144,"type":"webpage","title":"Inscribed shabtis","URL":"https://tt99.fitz.ms/finds/shabtis.html","accessed":{"date-parts":[["2026",3,9]]}}}],"schema":"https://github.com/citation-style-language/schema/raw/master/csl-citation.json"} </w:instrText>
      </w:r>
      <w:r>
        <w:fldChar w:fldCharType="separate"/>
      </w:r>
      <w:r w:rsidRPr="00550EE7">
        <w:rPr>
          <w:rFonts w:ascii="Aptos" w:hAnsi="Aptos" w:cs="Times New Roman"/>
          <w:kern w:val="0"/>
        </w:rPr>
        <w:t>‘Inscribed Shabtis’.</w:t>
      </w:r>
      <w:r>
        <w:fldChar w:fldCharType="end"/>
      </w:r>
    </w:p>
  </w:footnote>
  <w:footnote w:id="21">
    <w:p w14:paraId="7A3854A7" w14:textId="0175021B" w:rsidR="00E44E24" w:rsidRDefault="00E44E24">
      <w:pPr>
        <w:pStyle w:val="FootnoteText"/>
      </w:pPr>
      <w:r>
        <w:rPr>
          <w:rStyle w:val="FootnoteReference"/>
        </w:rPr>
        <w:footnoteRef/>
      </w:r>
      <w:r>
        <w:t xml:space="preserve"> </w:t>
      </w:r>
      <w:r>
        <w:fldChar w:fldCharType="begin"/>
      </w:r>
      <w:r>
        <w:instrText xml:space="preserve"> ADDIN ZOTERO_ITEM CSL_CITATION {"citationID":"iI0f0v7U","properties":{"formattedCitation":"Henk Milde, \\uc0\\u8216{}Shabtis\\uc0\\u8217{}, {\\i{}UCLA Encyclopedia of Egyptology}, 1.1 (2012), p. 2 &lt;https://escholarship.org/uc/item/6cx744kk&gt; [accessed 19 March 2026].","plainCitation":"Henk Milde, ‘Shabtis’, UCLA Encyclopedia of Egyptology, 1.1 (2012), p. 2 &lt;https://escholarship.org/uc/item/6cx744kk&gt; [accessed 19 March 2026].","noteIndex":21},"citationItems":[{"id":193,"uris":["http://zotero.org/users/local/iOIivr2j/items/3SXAE5ZT"],"itemData":{"id":193,"type":"article-journal","abstract":"A shabti is a funerary figure that is usually mummiform in shape and originally represented the deceased in his dignified status. Some New Kingdom shabtis, however, are clad in the dress of daily life. Background of the shabti-concept was the need for food that had to be produced in the realm of the dead as well as on earth. There was an ambiguity in function: a shabti represented the deceased and a shabti substituted the&amp;nbsp; deceased. On the one hand it was a means for the deceased tobenefit from the food production, on the other hand it created a possibility to escape from the burdensome labor required for the food production. Whenever the deceased was summoned to cultivate the fields in the hereafter, a shabti was supposed to present itself on his/her behalf saying, “I shall do it, here I am.” The substitution was secured by an incantation that—after the Middle Kingdom—used to be written on the shabtis themselves. The spell is also known from the Coffin Texts and the Book of the Dead. Towards the end of the New Kingdom, the number of shabtis per burial grew considerably. A total of c. 400 was not uncommon in the Late Period. By then shabtis had become mere slaves.","container-title":"UCLA Encyclopedia of Egyptology","issue":"1","language":"en","source":"escholarship.org","title":"Shabtis","URL":"https://escholarship.org/uc/item/6cx744kk","volume":"1","author":[{"family":"Milde","given":"Henk"}],"accessed":{"date-parts":[["2026",3,19]]},"issued":{"date-parts":[["2012",4,11]]}},"locator":"2","label":"page"}],"schema":"https://github.com/citation-style-language/schema/raw/master/csl-citation.json"} </w:instrText>
      </w:r>
      <w:r>
        <w:fldChar w:fldCharType="separate"/>
      </w:r>
      <w:r w:rsidRPr="00E44E24">
        <w:rPr>
          <w:rFonts w:ascii="Aptos" w:hAnsi="Aptos" w:cs="Times New Roman"/>
          <w:kern w:val="0"/>
        </w:rPr>
        <w:t xml:space="preserve">Henk Milde, ‘Shabtis’, </w:t>
      </w:r>
      <w:r w:rsidRPr="00E44E24">
        <w:rPr>
          <w:rFonts w:ascii="Aptos" w:hAnsi="Aptos" w:cs="Times New Roman"/>
          <w:i/>
          <w:iCs/>
          <w:kern w:val="0"/>
        </w:rPr>
        <w:t xml:space="preserve">UCLA </w:t>
      </w:r>
      <w:proofErr w:type="spellStart"/>
      <w:r w:rsidRPr="00E44E24">
        <w:rPr>
          <w:rFonts w:ascii="Aptos" w:hAnsi="Aptos" w:cs="Times New Roman"/>
          <w:i/>
          <w:iCs/>
          <w:kern w:val="0"/>
        </w:rPr>
        <w:t>Encyclopedia</w:t>
      </w:r>
      <w:proofErr w:type="spellEnd"/>
      <w:r w:rsidRPr="00E44E24">
        <w:rPr>
          <w:rFonts w:ascii="Aptos" w:hAnsi="Aptos" w:cs="Times New Roman"/>
          <w:i/>
          <w:iCs/>
          <w:kern w:val="0"/>
        </w:rPr>
        <w:t xml:space="preserve"> of Egyptology</w:t>
      </w:r>
      <w:r w:rsidRPr="00E44E24">
        <w:rPr>
          <w:rFonts w:ascii="Aptos" w:hAnsi="Aptos" w:cs="Times New Roman"/>
          <w:kern w:val="0"/>
        </w:rPr>
        <w:t>, 1.1 (2012), p. 2 &lt;https://escholarship.org/uc/item/6cx744kk&gt; [accessed 19 March 2026].</w:t>
      </w:r>
      <w:r>
        <w:fldChar w:fldCharType="end"/>
      </w:r>
    </w:p>
  </w:footnote>
  <w:footnote w:id="22">
    <w:p w14:paraId="1B1CEE5F" w14:textId="6A9005D7" w:rsidR="00901029" w:rsidRDefault="00901029">
      <w:pPr>
        <w:pStyle w:val="FootnoteText"/>
      </w:pPr>
      <w:r>
        <w:rPr>
          <w:rStyle w:val="FootnoteReference"/>
        </w:rPr>
        <w:footnoteRef/>
      </w:r>
      <w:r>
        <w:t xml:space="preserve"> </w:t>
      </w:r>
      <w:r>
        <w:fldChar w:fldCharType="begin"/>
      </w:r>
      <w:r>
        <w:instrText xml:space="preserve"> ADDIN ZOTERO_ITEM CSL_CITATION {"citationID":"WZ02nkqp","properties":{"formattedCitation":"\\uc0\\u8216{}Small Uninscribed Shabtis\\uc0\\u8217{}, n.d. &lt;https://tt99.fitz.ms/finds/shabti1.html&gt; [accessed 9 March 2026].","plainCitation":"‘Small Uninscribed Shabtis’, n.d. &lt;https://tt99.fitz.ms/finds/shabti1.html&gt; [accessed 9 March 2026].","noteIndex":22},"citationItems":[{"id":145,"uris":["http://zotero.org/users/local/iOIivr2j/items/EYERDG8A"],"itemData":{"id":145,"type":"webpage","title":"Small uninscribed shabtis","URL":"https://tt99.fitz.ms/finds/shabti1.html","accessed":{"date-parts":[["2026",3,9]]}}}],"schema":"https://github.com/citation-style-language/schema/raw/master/csl-citation.json"} </w:instrText>
      </w:r>
      <w:r>
        <w:fldChar w:fldCharType="separate"/>
      </w:r>
      <w:r w:rsidRPr="00901029">
        <w:rPr>
          <w:rFonts w:ascii="Aptos" w:hAnsi="Aptos" w:cs="Times New Roman"/>
          <w:kern w:val="0"/>
        </w:rPr>
        <w:t>‘Small Uninscribed Shabtis’, n.d. &lt;https://tt99.fitz.ms/finds/shabti1.html&gt; [accessed 9 March 2026].</w:t>
      </w:r>
      <w:r>
        <w:fldChar w:fldCharType="end"/>
      </w:r>
    </w:p>
  </w:footnote>
  <w:footnote w:id="23">
    <w:p w14:paraId="00D485FA" w14:textId="72BAF9A3" w:rsidR="007E171A" w:rsidRDefault="007E171A">
      <w:pPr>
        <w:pStyle w:val="FootnoteText"/>
      </w:pPr>
      <w:r>
        <w:rPr>
          <w:rStyle w:val="FootnoteReference"/>
        </w:rPr>
        <w:footnoteRef/>
      </w:r>
      <w:r>
        <w:t xml:space="preserve"> </w:t>
      </w:r>
      <w:r>
        <w:fldChar w:fldCharType="begin"/>
      </w:r>
      <w:r>
        <w:instrText xml:space="preserve"> ADDIN ZOTERO_ITEM CSL_CITATION {"citationID":"dZEBbaCN","properties":{"formattedCitation":"Agai Matthew Jock and Kinya Nelson Kingsley, \\uc0\\u8216{}Judgment and Afterlife in Ancient Egypt: The Principle of Ma\\uc0\\u8217{}at, Osirian Tradition, and the Comparative Context of Eternal Punishment\\uc0\\u8217{}, {\\i{}Journal of Contemporary Rituals and Traditions}, 3.1 (2025), pp. 39\\uc0\\u8211{}58, doi:10.15575/jcrt.718.","plainCitation":"Agai Matthew Jock and Kinya Nelson Kingsley, ‘Judgment and Afterlife in Ancient Egypt: The Principle of Ma’at, Osirian Tradition, and the Comparative Context of Eternal Punishment’, Journal of Contemporary Rituals and Traditions, 3.1 (2025), pp. 39–58, doi:10.15575/jcrt.718.","noteIndex":23},"citationItems":[{"id":197,"uris":["http://zotero.org/users/local/iOIivr2j/items/L28DCXYK"],"itemData":{"id":197,"type":"article-journal","abstract":"Purpose: This study investigates the concept of judgment and afterlife in Ancient Egypt with particular attention to the principle of Ma’at and the Osirian tradition, while situating its findings within the comparative context of the doctrine of eternal punishment. The research aims to determine whether the Egyptian system of judgment included the notion of everlasting torment or instead emphasized cosmic balance and annihilation of the unworthy soul. Methodology: Employing a qualitative, interpretive, and historical-comparative approach, the study analyzes primary sources such as the Book of the Dead, funerary inscriptions, and mummification rituals, alongside secondary scholarship in Egyptology and comparative religion. Findings: The findings demonstrate that the Egyptian system of judgment was rooted in the weighing of the heart against the feather of Ma’at, the practice of negative confession, and the tribunal presided over by Osiris and forty-two judges. Punishment was most often conceived as annihilation rather than eternal suffering, and the afterlife was envisioned as a regenerative cosmology tied to the Nile’s agrarian cycles. These results distinguish the Egyptian view fundamentally from the Christian doctrine of hell. The study further highlights the dual function of judgment: as a religious mechanism to ensure cosmic harmony and as a socio-political instrument reinforcing royal legitimacy and social hierarchy. Implications: The implications of this research extend to comparative religious studies, curricular development, and interfaith dialogue, demonstrating that doctrines of eternal hell are historically contingent constructions rather than universal inheritances. Originality and Value: The originality of this study lies in its reinterpretation of Ancient Egyptian eschatology as an autonomous system, independent from post-biblical theological frameworks, thereby offering a new comparative lens to clarify the origins of eschatological doctrines across traditions.","container-title":"Journal of Contemporary Rituals and Traditions","DOI":"10.15575/jcrt.718","ISSN":"2988-5884","issue":"1","language":"en","license":"Copyright (c) 2025 Agai Matthew Jock, Kinya Nelson Kingsley","page":"39-58","source":"ejournal.uinsgd.ac.id","title":"Judgment and Afterlife in Ancient Egypt: The Principle of Ma’at, Osirian Tradition, and the Comparative Context of Eternal Punishment","title-short":"Judgment and Afterlife in Ancient Egypt","volume":"3","author":[{"family":"Jock","given":"Agai Matthew"},{"family":"Kingsley","given":"Kinya Nelson"}],"issued":{"date-parts":[["2025",8,21]]}}}],"schema":"https://github.com/citation-style-language/schema/raw/master/csl-citation.json"} </w:instrText>
      </w:r>
      <w:r>
        <w:fldChar w:fldCharType="separate"/>
      </w:r>
      <w:proofErr w:type="spellStart"/>
      <w:r w:rsidRPr="007E171A">
        <w:rPr>
          <w:rFonts w:ascii="Aptos" w:hAnsi="Aptos" w:cs="Times New Roman"/>
          <w:kern w:val="0"/>
        </w:rPr>
        <w:t>Agai</w:t>
      </w:r>
      <w:proofErr w:type="spellEnd"/>
      <w:r w:rsidRPr="007E171A">
        <w:rPr>
          <w:rFonts w:ascii="Aptos" w:hAnsi="Aptos" w:cs="Times New Roman"/>
          <w:kern w:val="0"/>
        </w:rPr>
        <w:t xml:space="preserve"> Matthew Jock and Kinya Nelson Kingsley, ‘Judgment and Afterlife in Ancient Egypt: The Principle of Ma’at, Osirian Tradition, and the Comparative Context of Eternal Punishment’, </w:t>
      </w:r>
      <w:r w:rsidRPr="007E171A">
        <w:rPr>
          <w:rFonts w:ascii="Aptos" w:hAnsi="Aptos" w:cs="Times New Roman"/>
          <w:i/>
          <w:iCs/>
          <w:kern w:val="0"/>
        </w:rPr>
        <w:t>Journal of Contemporary Rituals and Traditions</w:t>
      </w:r>
      <w:r w:rsidRPr="007E171A">
        <w:rPr>
          <w:rFonts w:ascii="Aptos" w:hAnsi="Aptos" w:cs="Times New Roman"/>
          <w:kern w:val="0"/>
        </w:rPr>
        <w:t>, 3.1 (2025), pp. 39–58, doi:10.15575/jcrt.718.</w:t>
      </w:r>
      <w:r>
        <w:fldChar w:fldCharType="end"/>
      </w:r>
    </w:p>
  </w:footnote>
  <w:footnote w:id="24">
    <w:p w14:paraId="0D4CF699" w14:textId="2EA75334" w:rsidR="00444F43" w:rsidRDefault="00444F43">
      <w:pPr>
        <w:pStyle w:val="FootnoteText"/>
      </w:pPr>
      <w:r>
        <w:rPr>
          <w:rStyle w:val="FootnoteReference"/>
        </w:rPr>
        <w:footnoteRef/>
      </w:r>
      <w:r>
        <w:t xml:space="preserve"> </w:t>
      </w:r>
      <w:r>
        <w:fldChar w:fldCharType="begin"/>
      </w:r>
      <w:r>
        <w:instrText xml:space="preserve"> ADDIN ZOTERO_ITEM CSL_CITATION {"citationID":"t4qY4L7I","properties":{"formattedCitation":"Junko Takenoshota, {\\i{}When the Living Met the Dead: The Social Functions of False Doors in Non-Royal Funerary Culture with References to Examples from the First Intermediate Period and Middle Kingdom}, n.d.","plainCitation":"Junko Takenoshota, When the Living Met the Dead: The Social Functions of False Doors in Non-Royal Funerary Culture with References to Examples from the First Intermediate Period and Middle Kingdom, n.d.","noteIndex":24},"citationItems":[{"id":200,"uris":["http://zotero.org/users/local/iOIivr2j/items/3E3IR2MH"],"itemData":{"id":200,"type":"article-journal","language":"en","source":"Zotero","title":"When the living met the dead: the social functions of false doors in non-royal funerary culture with references to examples from the First Intermediate Period and Middle Kingdom","author":[{"family":"Takenoshota","given":"Junko"}]}}],"schema":"https://github.com/citation-style-language/schema/raw/master/csl-citation.json"} </w:instrText>
      </w:r>
      <w:r>
        <w:fldChar w:fldCharType="separate"/>
      </w:r>
      <w:r w:rsidRPr="00444F43">
        <w:rPr>
          <w:rFonts w:ascii="Aptos" w:hAnsi="Aptos" w:cs="Times New Roman"/>
          <w:kern w:val="0"/>
        </w:rPr>
        <w:t xml:space="preserve">Junko Takenoshota, </w:t>
      </w:r>
      <w:r w:rsidRPr="00444F43">
        <w:rPr>
          <w:rFonts w:ascii="Aptos" w:hAnsi="Aptos" w:cs="Times New Roman"/>
          <w:i/>
          <w:iCs/>
          <w:kern w:val="0"/>
        </w:rPr>
        <w:t>When the Living Met the Dead: The Social Functions of False Doors in Non-Royal Funerary Culture with References to Examples from the First Intermediate Period and Middle Kingdom</w:t>
      </w:r>
      <w:r w:rsidRPr="00444F43">
        <w:rPr>
          <w:rFonts w:ascii="Aptos" w:hAnsi="Aptos" w:cs="Times New Roman"/>
          <w:kern w:val="0"/>
        </w:rPr>
        <w:t>, n.d.</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DFF"/>
    <w:rsid w:val="0000113F"/>
    <w:rsid w:val="00001349"/>
    <w:rsid w:val="000214EA"/>
    <w:rsid w:val="000241AF"/>
    <w:rsid w:val="000317BB"/>
    <w:rsid w:val="0005521A"/>
    <w:rsid w:val="00061F15"/>
    <w:rsid w:val="0006224C"/>
    <w:rsid w:val="00066004"/>
    <w:rsid w:val="0006664E"/>
    <w:rsid w:val="00086975"/>
    <w:rsid w:val="000C5BCB"/>
    <w:rsid w:val="000D05D6"/>
    <w:rsid w:val="000E0086"/>
    <w:rsid w:val="000F0FBA"/>
    <w:rsid w:val="00112BA3"/>
    <w:rsid w:val="00116A97"/>
    <w:rsid w:val="00117B11"/>
    <w:rsid w:val="001277FE"/>
    <w:rsid w:val="001449CA"/>
    <w:rsid w:val="00151FE1"/>
    <w:rsid w:val="00153109"/>
    <w:rsid w:val="001546ED"/>
    <w:rsid w:val="001556C7"/>
    <w:rsid w:val="0017267E"/>
    <w:rsid w:val="00174DB0"/>
    <w:rsid w:val="00181CC2"/>
    <w:rsid w:val="001A6944"/>
    <w:rsid w:val="001A77F8"/>
    <w:rsid w:val="001D56CA"/>
    <w:rsid w:val="001D73F6"/>
    <w:rsid w:val="001E17D6"/>
    <w:rsid w:val="001F42D7"/>
    <w:rsid w:val="00203031"/>
    <w:rsid w:val="00204C6E"/>
    <w:rsid w:val="0022338D"/>
    <w:rsid w:val="00232D86"/>
    <w:rsid w:val="00264E2E"/>
    <w:rsid w:val="00283871"/>
    <w:rsid w:val="00287772"/>
    <w:rsid w:val="00291858"/>
    <w:rsid w:val="002A3C6D"/>
    <w:rsid w:val="002B5073"/>
    <w:rsid w:val="002B5A13"/>
    <w:rsid w:val="002B7A51"/>
    <w:rsid w:val="002C28B6"/>
    <w:rsid w:val="002D38C3"/>
    <w:rsid w:val="002F53AB"/>
    <w:rsid w:val="00312807"/>
    <w:rsid w:val="00341D9B"/>
    <w:rsid w:val="00345A2B"/>
    <w:rsid w:val="00351E2E"/>
    <w:rsid w:val="00355BF0"/>
    <w:rsid w:val="00385A03"/>
    <w:rsid w:val="0039255D"/>
    <w:rsid w:val="003D3BD5"/>
    <w:rsid w:val="003D63D3"/>
    <w:rsid w:val="003F30DD"/>
    <w:rsid w:val="00410033"/>
    <w:rsid w:val="004219EE"/>
    <w:rsid w:val="00423286"/>
    <w:rsid w:val="00444F43"/>
    <w:rsid w:val="00462625"/>
    <w:rsid w:val="00464703"/>
    <w:rsid w:val="00482250"/>
    <w:rsid w:val="00483DD5"/>
    <w:rsid w:val="00486869"/>
    <w:rsid w:val="00492F1F"/>
    <w:rsid w:val="00493563"/>
    <w:rsid w:val="004A150E"/>
    <w:rsid w:val="004D023C"/>
    <w:rsid w:val="004D30A1"/>
    <w:rsid w:val="004E2F49"/>
    <w:rsid w:val="00500CC0"/>
    <w:rsid w:val="00507C71"/>
    <w:rsid w:val="00531E53"/>
    <w:rsid w:val="00550EE7"/>
    <w:rsid w:val="00553524"/>
    <w:rsid w:val="0056028C"/>
    <w:rsid w:val="00560BC4"/>
    <w:rsid w:val="00573120"/>
    <w:rsid w:val="005B607F"/>
    <w:rsid w:val="005D1EE0"/>
    <w:rsid w:val="005E0DA8"/>
    <w:rsid w:val="005E4BFB"/>
    <w:rsid w:val="005F66A6"/>
    <w:rsid w:val="00617EB3"/>
    <w:rsid w:val="00622A97"/>
    <w:rsid w:val="006333B4"/>
    <w:rsid w:val="00646B84"/>
    <w:rsid w:val="006517E7"/>
    <w:rsid w:val="00652B16"/>
    <w:rsid w:val="0066408B"/>
    <w:rsid w:val="00674F55"/>
    <w:rsid w:val="006873D7"/>
    <w:rsid w:val="006904B2"/>
    <w:rsid w:val="00693304"/>
    <w:rsid w:val="006940B2"/>
    <w:rsid w:val="006A26C0"/>
    <w:rsid w:val="006A4CB8"/>
    <w:rsid w:val="006B2E41"/>
    <w:rsid w:val="006D0DFF"/>
    <w:rsid w:val="00704A2C"/>
    <w:rsid w:val="0072019E"/>
    <w:rsid w:val="007443BF"/>
    <w:rsid w:val="00754888"/>
    <w:rsid w:val="007655EE"/>
    <w:rsid w:val="0077303F"/>
    <w:rsid w:val="007807AF"/>
    <w:rsid w:val="007A1216"/>
    <w:rsid w:val="007A6C0C"/>
    <w:rsid w:val="007E171A"/>
    <w:rsid w:val="007E713B"/>
    <w:rsid w:val="007E7C99"/>
    <w:rsid w:val="007F658D"/>
    <w:rsid w:val="008059FC"/>
    <w:rsid w:val="00807E33"/>
    <w:rsid w:val="00811C40"/>
    <w:rsid w:val="00813047"/>
    <w:rsid w:val="008307BD"/>
    <w:rsid w:val="0084216D"/>
    <w:rsid w:val="00853E74"/>
    <w:rsid w:val="00873258"/>
    <w:rsid w:val="008761F5"/>
    <w:rsid w:val="00887655"/>
    <w:rsid w:val="00891853"/>
    <w:rsid w:val="008934DB"/>
    <w:rsid w:val="00896074"/>
    <w:rsid w:val="0089673E"/>
    <w:rsid w:val="008B2C0D"/>
    <w:rsid w:val="008D1CD9"/>
    <w:rsid w:val="008D65C6"/>
    <w:rsid w:val="008F3881"/>
    <w:rsid w:val="008F556A"/>
    <w:rsid w:val="00901029"/>
    <w:rsid w:val="00913397"/>
    <w:rsid w:val="00917FCB"/>
    <w:rsid w:val="00920121"/>
    <w:rsid w:val="00920B4D"/>
    <w:rsid w:val="009345F4"/>
    <w:rsid w:val="009473A9"/>
    <w:rsid w:val="00956DA8"/>
    <w:rsid w:val="0098551E"/>
    <w:rsid w:val="00990EA3"/>
    <w:rsid w:val="00995AE6"/>
    <w:rsid w:val="009B21C2"/>
    <w:rsid w:val="009B3305"/>
    <w:rsid w:val="009B4182"/>
    <w:rsid w:val="009C3DF2"/>
    <w:rsid w:val="009E64F5"/>
    <w:rsid w:val="009F48ED"/>
    <w:rsid w:val="00A1596B"/>
    <w:rsid w:val="00A21424"/>
    <w:rsid w:val="00A440A4"/>
    <w:rsid w:val="00A45625"/>
    <w:rsid w:val="00A47BAF"/>
    <w:rsid w:val="00A569EA"/>
    <w:rsid w:val="00A7361D"/>
    <w:rsid w:val="00A85F68"/>
    <w:rsid w:val="00AA7045"/>
    <w:rsid w:val="00AB3C67"/>
    <w:rsid w:val="00AC01D4"/>
    <w:rsid w:val="00AC27AC"/>
    <w:rsid w:val="00AD130B"/>
    <w:rsid w:val="00AD41E9"/>
    <w:rsid w:val="00AF04B1"/>
    <w:rsid w:val="00B548E9"/>
    <w:rsid w:val="00B664C1"/>
    <w:rsid w:val="00B70805"/>
    <w:rsid w:val="00B85F60"/>
    <w:rsid w:val="00B93077"/>
    <w:rsid w:val="00B94AAB"/>
    <w:rsid w:val="00BA3599"/>
    <w:rsid w:val="00BA37E3"/>
    <w:rsid w:val="00BA73F4"/>
    <w:rsid w:val="00BB3830"/>
    <w:rsid w:val="00BC685E"/>
    <w:rsid w:val="00BE47DC"/>
    <w:rsid w:val="00BF2909"/>
    <w:rsid w:val="00C2401B"/>
    <w:rsid w:val="00C27390"/>
    <w:rsid w:val="00C31EC3"/>
    <w:rsid w:val="00C33DFB"/>
    <w:rsid w:val="00C435C1"/>
    <w:rsid w:val="00C6650B"/>
    <w:rsid w:val="00C85081"/>
    <w:rsid w:val="00C87EC6"/>
    <w:rsid w:val="00C966CF"/>
    <w:rsid w:val="00CA61F9"/>
    <w:rsid w:val="00CE76D2"/>
    <w:rsid w:val="00D068D5"/>
    <w:rsid w:val="00D1433B"/>
    <w:rsid w:val="00D46E0E"/>
    <w:rsid w:val="00D612E9"/>
    <w:rsid w:val="00D75C31"/>
    <w:rsid w:val="00D75E79"/>
    <w:rsid w:val="00D768BE"/>
    <w:rsid w:val="00D811C3"/>
    <w:rsid w:val="00D907FF"/>
    <w:rsid w:val="00DA3591"/>
    <w:rsid w:val="00DA72C7"/>
    <w:rsid w:val="00DB6626"/>
    <w:rsid w:val="00DB6E6B"/>
    <w:rsid w:val="00DC7E2E"/>
    <w:rsid w:val="00DD4619"/>
    <w:rsid w:val="00DF27FF"/>
    <w:rsid w:val="00E060B0"/>
    <w:rsid w:val="00E06F4E"/>
    <w:rsid w:val="00E12D8F"/>
    <w:rsid w:val="00E44E24"/>
    <w:rsid w:val="00E51585"/>
    <w:rsid w:val="00E5799E"/>
    <w:rsid w:val="00E84412"/>
    <w:rsid w:val="00E85C99"/>
    <w:rsid w:val="00E9418F"/>
    <w:rsid w:val="00EA06D0"/>
    <w:rsid w:val="00EA4CEB"/>
    <w:rsid w:val="00EA7F3A"/>
    <w:rsid w:val="00EB25BE"/>
    <w:rsid w:val="00EC37E6"/>
    <w:rsid w:val="00EC5A51"/>
    <w:rsid w:val="00ED04C9"/>
    <w:rsid w:val="00ED7011"/>
    <w:rsid w:val="00EE154E"/>
    <w:rsid w:val="00EE211F"/>
    <w:rsid w:val="00EF159E"/>
    <w:rsid w:val="00F0543B"/>
    <w:rsid w:val="00F05E1C"/>
    <w:rsid w:val="00F143BD"/>
    <w:rsid w:val="00F17628"/>
    <w:rsid w:val="00F40F38"/>
    <w:rsid w:val="00F46900"/>
    <w:rsid w:val="00F51BAF"/>
    <w:rsid w:val="00F57C8C"/>
    <w:rsid w:val="00F6508D"/>
    <w:rsid w:val="00F72934"/>
    <w:rsid w:val="00FA31F8"/>
    <w:rsid w:val="00FA5450"/>
    <w:rsid w:val="00FA776B"/>
    <w:rsid w:val="00FA7C09"/>
    <w:rsid w:val="00FF18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801F06"/>
  <w15:chartTrackingRefBased/>
  <w15:docId w15:val="{074F54AF-AE1B-45D4-8D58-0F3BF0DBF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0D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0D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0D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0D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0D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0D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0D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0D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0D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0D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0D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0D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0D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0D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0D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0D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0D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0DFF"/>
    <w:rPr>
      <w:rFonts w:eastAsiaTheme="majorEastAsia" w:cstheme="majorBidi"/>
      <w:color w:val="272727" w:themeColor="text1" w:themeTint="D8"/>
    </w:rPr>
  </w:style>
  <w:style w:type="paragraph" w:styleId="Title">
    <w:name w:val="Title"/>
    <w:basedOn w:val="Normal"/>
    <w:next w:val="Normal"/>
    <w:link w:val="TitleChar"/>
    <w:uiPriority w:val="10"/>
    <w:qFormat/>
    <w:rsid w:val="006D0D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0D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0D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0D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0DFF"/>
    <w:pPr>
      <w:spacing w:before="160"/>
      <w:jc w:val="center"/>
    </w:pPr>
    <w:rPr>
      <w:i/>
      <w:iCs/>
      <w:color w:val="404040" w:themeColor="text1" w:themeTint="BF"/>
    </w:rPr>
  </w:style>
  <w:style w:type="character" w:customStyle="1" w:styleId="QuoteChar">
    <w:name w:val="Quote Char"/>
    <w:basedOn w:val="DefaultParagraphFont"/>
    <w:link w:val="Quote"/>
    <w:uiPriority w:val="29"/>
    <w:rsid w:val="006D0DFF"/>
    <w:rPr>
      <w:i/>
      <w:iCs/>
      <w:color w:val="404040" w:themeColor="text1" w:themeTint="BF"/>
    </w:rPr>
  </w:style>
  <w:style w:type="paragraph" w:styleId="ListParagraph">
    <w:name w:val="List Paragraph"/>
    <w:basedOn w:val="Normal"/>
    <w:uiPriority w:val="34"/>
    <w:qFormat/>
    <w:rsid w:val="006D0DFF"/>
    <w:pPr>
      <w:ind w:left="720"/>
      <w:contextualSpacing/>
    </w:pPr>
  </w:style>
  <w:style w:type="character" w:styleId="IntenseEmphasis">
    <w:name w:val="Intense Emphasis"/>
    <w:basedOn w:val="DefaultParagraphFont"/>
    <w:uiPriority w:val="21"/>
    <w:qFormat/>
    <w:rsid w:val="006D0DFF"/>
    <w:rPr>
      <w:i/>
      <w:iCs/>
      <w:color w:val="0F4761" w:themeColor="accent1" w:themeShade="BF"/>
    </w:rPr>
  </w:style>
  <w:style w:type="paragraph" w:styleId="IntenseQuote">
    <w:name w:val="Intense Quote"/>
    <w:basedOn w:val="Normal"/>
    <w:next w:val="Normal"/>
    <w:link w:val="IntenseQuoteChar"/>
    <w:uiPriority w:val="30"/>
    <w:qFormat/>
    <w:rsid w:val="006D0D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0DFF"/>
    <w:rPr>
      <w:i/>
      <w:iCs/>
      <w:color w:val="0F4761" w:themeColor="accent1" w:themeShade="BF"/>
    </w:rPr>
  </w:style>
  <w:style w:type="character" w:styleId="IntenseReference">
    <w:name w:val="Intense Reference"/>
    <w:basedOn w:val="DefaultParagraphFont"/>
    <w:uiPriority w:val="32"/>
    <w:qFormat/>
    <w:rsid w:val="006D0DFF"/>
    <w:rPr>
      <w:b/>
      <w:bCs/>
      <w:smallCaps/>
      <w:color w:val="0F4761" w:themeColor="accent1" w:themeShade="BF"/>
      <w:spacing w:val="5"/>
    </w:rPr>
  </w:style>
  <w:style w:type="paragraph" w:styleId="FootnoteText">
    <w:name w:val="footnote text"/>
    <w:basedOn w:val="Normal"/>
    <w:link w:val="FootnoteTextChar"/>
    <w:uiPriority w:val="99"/>
    <w:semiHidden/>
    <w:unhideWhenUsed/>
    <w:rsid w:val="00646B8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46B84"/>
    <w:rPr>
      <w:sz w:val="20"/>
      <w:szCs w:val="20"/>
    </w:rPr>
  </w:style>
  <w:style w:type="character" w:styleId="FootnoteReference">
    <w:name w:val="footnote reference"/>
    <w:basedOn w:val="DefaultParagraphFont"/>
    <w:uiPriority w:val="99"/>
    <w:semiHidden/>
    <w:unhideWhenUsed/>
    <w:rsid w:val="00646B84"/>
    <w:rPr>
      <w:vertAlign w:val="superscript"/>
    </w:rPr>
  </w:style>
  <w:style w:type="paragraph" w:styleId="Caption">
    <w:name w:val="caption"/>
    <w:basedOn w:val="Normal"/>
    <w:next w:val="Normal"/>
    <w:uiPriority w:val="35"/>
    <w:unhideWhenUsed/>
    <w:qFormat/>
    <w:rsid w:val="007807AF"/>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444F43"/>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6" ma:contentTypeDescription="Create a new document." ma:contentTypeScope="" ma:versionID="9dc6cedf45bcac833286567159b52713">
  <xsd:schema xmlns:xsd="http://www.w3.org/2001/XMLSchema" xmlns:xs="http://www.w3.org/2001/XMLSchema" xmlns:p="http://schemas.microsoft.com/office/2006/metadata/properties" xmlns:ns3="170d7878-6d73-463a-a069-a6c57769e00c" targetNamespace="http://schemas.microsoft.com/office/2006/metadata/properties" ma:root="true" ma:fieldsID="1fcdc6c88fa3ba79bee254244b8b5b66"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F9C070-799E-424B-B288-C8B96BE9091F}">
  <ds:schemaRefs>
    <ds:schemaRef ds:uri="http://schemas.microsoft.com/office/2006/metadata/properties"/>
    <ds:schemaRef ds:uri="http://schemas.microsoft.com/office/infopath/2007/PartnerControls"/>
    <ds:schemaRef ds:uri="170d7878-6d73-463a-a069-a6c57769e00c"/>
  </ds:schemaRefs>
</ds:datastoreItem>
</file>

<file path=customXml/itemProps2.xml><?xml version="1.0" encoding="utf-8"?>
<ds:datastoreItem xmlns:ds="http://schemas.openxmlformats.org/officeDocument/2006/customXml" ds:itemID="{5FF26DD5-4718-4E72-86B3-C0DF403F3070}">
  <ds:schemaRefs>
    <ds:schemaRef ds:uri="http://schemas.microsoft.com/sharepoint/v3/contenttype/forms"/>
  </ds:schemaRefs>
</ds:datastoreItem>
</file>

<file path=customXml/itemProps3.xml><?xml version="1.0" encoding="utf-8"?>
<ds:datastoreItem xmlns:ds="http://schemas.openxmlformats.org/officeDocument/2006/customXml" ds:itemID="{F314570E-FAF3-4DC9-8B39-CFBD0CB711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1954</Words>
  <Characters>11730</Characters>
  <Application>Microsoft Office Word</Application>
  <DocSecurity>0</DocSecurity>
  <Lines>1955</Lines>
  <Paragraphs>1954</Paragraphs>
  <ScaleCrop>false</ScaleCrop>
  <Company/>
  <LinksUpToDate>false</LinksUpToDate>
  <CharactersWithSpaces>11730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Singleton (2401736)</dc:creator>
  <cp:keywords/>
  <dc:description/>
  <cp:lastModifiedBy>Laura Singleton (2401736)</cp:lastModifiedBy>
  <cp:revision>2</cp:revision>
  <dcterms:created xsi:type="dcterms:W3CDTF">2026-03-20T11:48:00Z</dcterms:created>
  <dcterms:modified xsi:type="dcterms:W3CDTF">2026-03-20T11:48:00Z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y fmtid="{D5CDD505-2E9C-101B-9397-08002B2CF9AE}" pid="3" name="ZOTERO_PREF_1">
    <vt:lpwstr>&lt;data data-version="3" zotero-version="7.0.32"&gt;&lt;session id="7gLiMcRc"/&gt;&lt;style id="http://www.zotero.org/styles/mhra-notes" hasBibliography="1" bibliographyStyleHasBeenSet="1"/&gt;&lt;prefs&gt;&lt;pref name="fieldType" value="Field"/&gt;&lt;pref name="noteType" value="1"/&gt;&lt;</vt:lpwstr>
  </property>
  <property fmtid="{D5CDD505-2E9C-101B-9397-08002B2CF9AE}" pid="4" name="ZOTERO_PREF_2">
    <vt:lpwstr>/prefs&gt;&lt;/data&gt;</vt:lpwstr>
  </property>
</Properties>
</file>