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466A8" w14:textId="145BE2AA" w:rsidR="00DF1912" w:rsidRDefault="00DF1912">
      <w:pPr>
        <w:jc w:val="center"/>
        <w:rPr>
          <w:rFonts w:ascii="Arial" w:hAnsi="Arial" w:cs="Arial"/>
          <w:lang w:eastAsia="zh-CN"/>
        </w:rPr>
      </w:pPr>
    </w:p>
    <w:p w14:paraId="46130237" w14:textId="77777777" w:rsidR="00DF1912" w:rsidRDefault="00DF1912">
      <w:pPr>
        <w:rPr>
          <w:lang w:eastAsia="zh-CN"/>
        </w:rPr>
      </w:pPr>
    </w:p>
    <w:p w14:paraId="6248C0E2" w14:textId="77777777" w:rsidR="00DF1912" w:rsidRDefault="00DF1912">
      <w:pPr>
        <w:rPr>
          <w:lang w:eastAsia="zh-CN"/>
        </w:rPr>
      </w:pPr>
    </w:p>
    <w:p w14:paraId="1C1C9431" w14:textId="77777777" w:rsidR="00DF1912" w:rsidRDefault="00DF1912">
      <w:pPr>
        <w:rPr>
          <w:lang w:eastAsia="zh-CN"/>
        </w:rPr>
      </w:pPr>
    </w:p>
    <w:p w14:paraId="0F6DD978" w14:textId="77777777" w:rsidR="00DF1912" w:rsidRDefault="00DF1912">
      <w:pPr>
        <w:rPr>
          <w:lang w:eastAsia="zh-CN"/>
        </w:rPr>
      </w:pPr>
    </w:p>
    <w:p w14:paraId="043C96E1" w14:textId="77777777" w:rsidR="00DF1912" w:rsidRDefault="00DF1912">
      <w:pPr>
        <w:rPr>
          <w:lang w:eastAsia="zh-CN"/>
        </w:rPr>
      </w:pPr>
    </w:p>
    <w:p w14:paraId="2374F7C1" w14:textId="77777777" w:rsidR="00DF1912" w:rsidRDefault="00DF1912">
      <w:pPr>
        <w:rPr>
          <w:lang w:eastAsia="zh-CN"/>
        </w:rPr>
      </w:pPr>
    </w:p>
    <w:p w14:paraId="59515B90" w14:textId="241346F0" w:rsidR="00DF1912" w:rsidRDefault="007F4C90">
      <w:pPr>
        <w:pStyle w:val="Title"/>
        <w:rPr>
          <w:lang w:eastAsia="zh-CN"/>
        </w:rPr>
      </w:pPr>
      <w:bookmarkStart w:id="0" w:name="_Toc130309705"/>
      <w:bookmarkStart w:id="1" w:name="_Toc29238"/>
      <w:bookmarkStart w:id="2" w:name="_Toc79"/>
      <w:bookmarkStart w:id="3" w:name="_Toc11890"/>
      <w:r>
        <w:rPr>
          <w:lang w:eastAsia="zh-CN"/>
        </w:rPr>
        <w:t>Nursing research project: to what extent can integration of care services benefit people living with chronic conditions?</w:t>
      </w:r>
      <w:bookmarkEnd w:id="0"/>
      <w:bookmarkEnd w:id="1"/>
      <w:bookmarkEnd w:id="2"/>
      <w:bookmarkEnd w:id="3"/>
    </w:p>
    <w:p w14:paraId="213282D9" w14:textId="77777777" w:rsidR="00DF1912" w:rsidRDefault="00DF1912">
      <w:pPr>
        <w:rPr>
          <w:lang w:eastAsia="zh-CN"/>
        </w:rPr>
      </w:pPr>
    </w:p>
    <w:p w14:paraId="29D28903" w14:textId="77777777" w:rsidR="00DF1912" w:rsidRDefault="00DF1912">
      <w:pPr>
        <w:rPr>
          <w:lang w:eastAsia="zh-CN"/>
        </w:rPr>
      </w:pPr>
    </w:p>
    <w:p w14:paraId="0CDF0B30" w14:textId="77777777" w:rsidR="00DF1912" w:rsidRDefault="00DF1912">
      <w:pPr>
        <w:rPr>
          <w:lang w:eastAsia="zh-CN"/>
        </w:rPr>
      </w:pPr>
    </w:p>
    <w:p w14:paraId="63BCF4C5" w14:textId="77777777" w:rsidR="00DF1912" w:rsidRDefault="00DF1912">
      <w:pPr>
        <w:rPr>
          <w:lang w:eastAsia="zh-CN"/>
        </w:rPr>
      </w:pPr>
    </w:p>
    <w:p w14:paraId="63071C94" w14:textId="77777777" w:rsidR="00DF1912" w:rsidRDefault="00DF1912">
      <w:pPr>
        <w:rPr>
          <w:lang w:eastAsia="zh-CN"/>
        </w:rPr>
      </w:pPr>
    </w:p>
    <w:p w14:paraId="22E05300" w14:textId="77777777" w:rsidR="00DF1912" w:rsidRDefault="00DF1912">
      <w:pPr>
        <w:rPr>
          <w:lang w:eastAsia="zh-CN"/>
        </w:rPr>
      </w:pPr>
    </w:p>
    <w:p w14:paraId="12DCFCCC" w14:textId="77777777" w:rsidR="00DF1912" w:rsidRDefault="00DF1912">
      <w:pPr>
        <w:rPr>
          <w:lang w:eastAsia="zh-CN"/>
        </w:rPr>
      </w:pPr>
    </w:p>
    <w:p w14:paraId="231B9FF1" w14:textId="77777777" w:rsidR="00867218" w:rsidRDefault="00867218" w:rsidP="00867218">
      <w:pPr>
        <w:rPr>
          <w:lang w:eastAsia="zh-CN"/>
        </w:rPr>
      </w:pPr>
    </w:p>
    <w:p w14:paraId="5469399B" w14:textId="77777777" w:rsidR="00867218" w:rsidRDefault="00867218" w:rsidP="00867218">
      <w:pPr>
        <w:rPr>
          <w:lang w:eastAsia="zh-CN"/>
        </w:rPr>
      </w:pPr>
    </w:p>
    <w:p w14:paraId="0423832E" w14:textId="75D3AB8D" w:rsidR="00DF1912" w:rsidRDefault="00867218" w:rsidP="00867218">
      <w:pPr>
        <w:rPr>
          <w:lang w:eastAsia="zh-CN"/>
        </w:rPr>
      </w:pPr>
      <w:r w:rsidRPr="00867218">
        <w:rPr>
          <w:lang w:eastAsia="zh-CN"/>
        </w:rPr>
        <w:t xml:space="preserve">ID: </w:t>
      </w:r>
      <w:r>
        <w:rPr>
          <w:lang w:eastAsia="zh-CN"/>
        </w:rPr>
        <w:t>Cristiana Roman (1920096)</w:t>
      </w:r>
    </w:p>
    <w:p w14:paraId="1A2CEC2D" w14:textId="42779160" w:rsidR="00867218" w:rsidRDefault="00867218">
      <w:pPr>
        <w:rPr>
          <w:lang w:eastAsia="zh-CN"/>
        </w:rPr>
      </w:pPr>
      <w:r w:rsidRPr="00867218">
        <w:rPr>
          <w:lang w:eastAsia="zh-CN"/>
        </w:rPr>
        <w:t>Assignment one</w:t>
      </w:r>
      <w:r>
        <w:t xml:space="preserve">/ </w:t>
      </w:r>
      <w:r w:rsidRPr="00867218">
        <w:rPr>
          <w:lang w:eastAsia="zh-CN"/>
        </w:rPr>
        <w:t xml:space="preserve">Introduction to Health Research </w:t>
      </w:r>
    </w:p>
    <w:p w14:paraId="3029F7B2" w14:textId="7282ACD2" w:rsidR="00867218" w:rsidRDefault="00867218">
      <w:pPr>
        <w:rPr>
          <w:lang w:eastAsia="zh-CN"/>
        </w:rPr>
      </w:pPr>
      <w:r w:rsidRPr="00867218">
        <w:rPr>
          <w:lang w:eastAsia="zh-CN"/>
        </w:rPr>
        <w:t>(BMNS4005)</w:t>
      </w:r>
    </w:p>
    <w:p w14:paraId="1C481B5B" w14:textId="63EABEAB" w:rsidR="00DF1912" w:rsidRDefault="007F4C90">
      <w:pPr>
        <w:pStyle w:val="Heading1"/>
        <w:rPr>
          <w:lang w:eastAsia="zh-CN"/>
        </w:rPr>
      </w:pPr>
      <w:bookmarkStart w:id="4" w:name="_Toc130309706"/>
      <w:r>
        <w:rPr>
          <w:lang w:eastAsia="zh-CN"/>
        </w:rPr>
        <w:lastRenderedPageBreak/>
        <w:t>Abstract</w:t>
      </w:r>
      <w:bookmarkEnd w:id="4"/>
    </w:p>
    <w:p w14:paraId="154E34AC" w14:textId="77777777" w:rsidR="00DF1912" w:rsidRDefault="007F4C90">
      <w:pPr>
        <w:rPr>
          <w:lang w:eastAsia="zh-CN"/>
        </w:rPr>
      </w:pPr>
      <w:r>
        <w:rPr>
          <w:lang w:eastAsia="zh-CN"/>
        </w:rPr>
        <w:t>The paper looks at adversity in childhood (ACEs) and how they affect people, families, and communities. It defines and discusses essential words in nursing practice, such as adverse childhood experiences, research in nursing, evidence-based practice, and research literacy. The paper also looks at the barriers to and facilitators of integrated working in chronic illness management, as well as the factors that influence integration in the context of ACEs treatment. The study discovered that good communication shared trauma-informed care knowledge, partnerships between varied sectors and professions, and collaborative care planning are crucial to the successful integration of services in ACEs management (Anda et al., 2016). Ethical considerations are also recognised as crucial in nursing research in order to protect participants' rights, dignity, and well-being.</w:t>
      </w:r>
    </w:p>
    <w:p w14:paraId="74477051" w14:textId="77777777" w:rsidR="00DF1912" w:rsidRDefault="00DF1912">
      <w:pPr>
        <w:rPr>
          <w:lang w:eastAsia="zh-CN"/>
        </w:rPr>
      </w:pPr>
    </w:p>
    <w:p w14:paraId="73ACB85A" w14:textId="77777777" w:rsidR="00DF1912" w:rsidRDefault="00DF1912">
      <w:pPr>
        <w:rPr>
          <w:lang w:eastAsia="zh-CN"/>
        </w:rPr>
      </w:pPr>
    </w:p>
    <w:p w14:paraId="4429484F" w14:textId="77777777" w:rsidR="00DF1912" w:rsidRDefault="00DF1912">
      <w:pPr>
        <w:rPr>
          <w:lang w:eastAsia="zh-CN"/>
        </w:rPr>
      </w:pPr>
    </w:p>
    <w:p w14:paraId="7EC7E306" w14:textId="77777777" w:rsidR="00DF1912" w:rsidRDefault="00DF1912">
      <w:pPr>
        <w:rPr>
          <w:lang w:eastAsia="zh-CN"/>
        </w:rPr>
      </w:pPr>
    </w:p>
    <w:p w14:paraId="555D65B3" w14:textId="77777777" w:rsidR="00DF1912" w:rsidRDefault="00DF1912">
      <w:pPr>
        <w:rPr>
          <w:lang w:eastAsia="zh-CN"/>
        </w:rPr>
      </w:pPr>
    </w:p>
    <w:p w14:paraId="7B135C11" w14:textId="77777777" w:rsidR="00DF1912" w:rsidRDefault="00DF1912">
      <w:pPr>
        <w:rPr>
          <w:lang w:eastAsia="zh-CN"/>
        </w:rPr>
      </w:pPr>
    </w:p>
    <w:p w14:paraId="30BFE26D" w14:textId="77777777" w:rsidR="00DF1912" w:rsidRDefault="00DF1912">
      <w:pPr>
        <w:rPr>
          <w:lang w:eastAsia="zh-CN"/>
        </w:rPr>
      </w:pPr>
    </w:p>
    <w:p w14:paraId="4C5E38F4" w14:textId="77777777" w:rsidR="00DF1912" w:rsidRDefault="00DF1912">
      <w:pPr>
        <w:rPr>
          <w:lang w:eastAsia="zh-CN"/>
        </w:rPr>
      </w:pPr>
    </w:p>
    <w:p w14:paraId="55BBBBCF" w14:textId="77777777" w:rsidR="00DF1912" w:rsidRDefault="00DF1912">
      <w:pPr>
        <w:rPr>
          <w:lang w:eastAsia="zh-CN"/>
        </w:rPr>
      </w:pPr>
    </w:p>
    <w:p w14:paraId="1E20E5DE" w14:textId="77777777" w:rsidR="00DF1912" w:rsidRDefault="00DF1912">
      <w:pPr>
        <w:rPr>
          <w:lang w:eastAsia="zh-CN"/>
        </w:rPr>
      </w:pPr>
    </w:p>
    <w:p w14:paraId="6F1F3E2D" w14:textId="77777777" w:rsidR="00DF1912" w:rsidRDefault="00DF1912">
      <w:pPr>
        <w:rPr>
          <w:lang w:eastAsia="zh-CN"/>
        </w:rPr>
      </w:pPr>
    </w:p>
    <w:p w14:paraId="1CA13DF5" w14:textId="77777777" w:rsidR="00DF1912" w:rsidRDefault="00DF1912">
      <w:pPr>
        <w:rPr>
          <w:lang w:eastAsia="zh-CN"/>
        </w:rPr>
      </w:pPr>
    </w:p>
    <w:p w14:paraId="70D2B259" w14:textId="77777777" w:rsidR="00DF1912" w:rsidRDefault="00DF1912">
      <w:pPr>
        <w:rPr>
          <w:lang w:eastAsia="zh-CN"/>
        </w:rPr>
      </w:pPr>
    </w:p>
    <w:p w14:paraId="5E10F212" w14:textId="77777777" w:rsidR="00DF1912" w:rsidRDefault="00DF1912">
      <w:pPr>
        <w:rPr>
          <w:lang w:eastAsia="zh-CN"/>
        </w:rPr>
      </w:pPr>
    </w:p>
    <w:p w14:paraId="4B23928D" w14:textId="77777777" w:rsidR="00DF1912" w:rsidRDefault="00DF1912">
      <w:pPr>
        <w:rPr>
          <w:lang w:eastAsia="zh-CN"/>
        </w:rPr>
      </w:pPr>
    </w:p>
    <w:p w14:paraId="2EBA0849" w14:textId="77777777" w:rsidR="00DF1912" w:rsidRDefault="00DF1912">
      <w:pPr>
        <w:rPr>
          <w:lang w:eastAsia="zh-CN"/>
        </w:rPr>
      </w:pPr>
    </w:p>
    <w:p w14:paraId="31DCA2ED" w14:textId="77777777" w:rsidR="00DF1912" w:rsidRDefault="00DF1912">
      <w:pPr>
        <w:rPr>
          <w:lang w:eastAsia="zh-CN"/>
        </w:rPr>
      </w:pPr>
    </w:p>
    <w:p w14:paraId="78631FBB" w14:textId="77777777" w:rsidR="00DF1912" w:rsidRDefault="00DF1912">
      <w:pPr>
        <w:rPr>
          <w:lang w:eastAsia="zh-CN"/>
        </w:rPr>
      </w:pPr>
    </w:p>
    <w:p w14:paraId="0DC54DA3" w14:textId="77777777" w:rsidR="00DF1912" w:rsidRDefault="00DF1912">
      <w:pPr>
        <w:rPr>
          <w:lang w:eastAsia="zh-CN"/>
        </w:rPr>
      </w:pPr>
    </w:p>
    <w:p w14:paraId="65400DB3" w14:textId="77777777" w:rsidR="00DF1912" w:rsidRDefault="00DF1912">
      <w:pPr>
        <w:rPr>
          <w:lang w:eastAsia="zh-CN"/>
        </w:rPr>
      </w:pPr>
    </w:p>
    <w:p w14:paraId="655A81AA" w14:textId="77777777" w:rsidR="00DF1912" w:rsidRDefault="00DF1912">
      <w:pPr>
        <w:rPr>
          <w:lang w:eastAsia="zh-CN"/>
        </w:rPr>
      </w:pPr>
    </w:p>
    <w:sdt>
      <w:sdtPr>
        <w:rPr>
          <w:rFonts w:eastAsia="SimSun"/>
          <w:sz w:val="36"/>
          <w:szCs w:val="36"/>
        </w:rPr>
        <w:id w:val="147453726"/>
        <w15:color w:val="DBDBDB"/>
        <w:docPartObj>
          <w:docPartGallery w:val="Table of Contents"/>
          <w:docPartUnique/>
        </w:docPartObj>
      </w:sdtPr>
      <w:sdtEndPr>
        <w:rPr>
          <w:rFonts w:eastAsia="Times New Roman"/>
          <w:b/>
          <w:bCs/>
          <w:kern w:val="44"/>
          <w:szCs w:val="44"/>
          <w:lang w:eastAsia="zh-CN"/>
        </w:rPr>
      </w:sdtEndPr>
      <w:sdtContent>
        <w:p w14:paraId="5C2D3757" w14:textId="77777777" w:rsidR="00DF1912" w:rsidRDefault="007F4C90">
          <w:pPr>
            <w:jc w:val="center"/>
            <w:rPr>
              <w:rStyle w:val="Heading1Char"/>
              <w:rFonts w:eastAsia="SimSun"/>
            </w:rPr>
          </w:pPr>
          <w:r>
            <w:rPr>
              <w:rStyle w:val="Heading1Char"/>
              <w:rFonts w:eastAsia="SimSun"/>
            </w:rPr>
            <w:t>Table of Content</w:t>
          </w:r>
        </w:p>
        <w:p w14:paraId="4DB0E39D" w14:textId="77777777" w:rsidR="00DF1912" w:rsidRDefault="007F4C90">
          <w:pPr>
            <w:pStyle w:val="TOC1"/>
            <w:tabs>
              <w:tab w:val="right" w:leader="dot" w:pos="9061"/>
            </w:tabs>
            <w:rPr>
              <w:rFonts w:asciiTheme="minorHAnsi" w:eastAsiaTheme="minorEastAsia" w:hAnsiTheme="minorHAnsi" w:cstheme="minorBidi"/>
              <w:sz w:val="22"/>
              <w:szCs w:val="22"/>
              <w:lang w:val="en-US"/>
            </w:rPr>
          </w:pPr>
          <w:r>
            <w:rPr>
              <w:lang w:eastAsia="zh-CN"/>
            </w:rPr>
            <w:fldChar w:fldCharType="begin"/>
          </w:r>
          <w:r>
            <w:rPr>
              <w:lang w:eastAsia="zh-CN"/>
            </w:rPr>
            <w:instrText xml:space="preserve">TOC \o "1-2" \h \u </w:instrText>
          </w:r>
          <w:r>
            <w:rPr>
              <w:lang w:eastAsia="zh-CN"/>
            </w:rPr>
            <w:fldChar w:fldCharType="separate"/>
          </w:r>
          <w:hyperlink w:anchor="_Toc130309705" w:history="1">
            <w:r>
              <w:rPr>
                <w:rStyle w:val="Hyperlink"/>
                <w:lang w:eastAsia="zh-CN"/>
              </w:rPr>
              <w:t>Title: Nursing research project: to what extent can integration of care services benefit people living with chronic conditions?</w:t>
            </w:r>
            <w:r>
              <w:tab/>
            </w:r>
            <w:r>
              <w:fldChar w:fldCharType="begin"/>
            </w:r>
            <w:r>
              <w:instrText xml:space="preserve"> PAGEREF _Toc130309705 \h </w:instrText>
            </w:r>
            <w:r>
              <w:fldChar w:fldCharType="separate"/>
            </w:r>
            <w:r>
              <w:t>0</w:t>
            </w:r>
            <w:r>
              <w:fldChar w:fldCharType="end"/>
            </w:r>
          </w:hyperlink>
        </w:p>
        <w:p w14:paraId="1618E42A"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06" w:history="1">
            <w:r w:rsidR="007F4C90">
              <w:rPr>
                <w:rStyle w:val="Hyperlink"/>
                <w:lang w:eastAsia="zh-CN"/>
              </w:rPr>
              <w:t>Abstract</w:t>
            </w:r>
            <w:r w:rsidR="007F4C90">
              <w:tab/>
            </w:r>
            <w:r w:rsidR="007F4C90">
              <w:fldChar w:fldCharType="begin"/>
            </w:r>
            <w:r w:rsidR="007F4C90">
              <w:instrText xml:space="preserve"> PAGEREF _Toc130309706 \h </w:instrText>
            </w:r>
            <w:r w:rsidR="007F4C90">
              <w:fldChar w:fldCharType="separate"/>
            </w:r>
            <w:r w:rsidR="007F4C90">
              <w:t>1</w:t>
            </w:r>
            <w:r w:rsidR="007F4C90">
              <w:fldChar w:fldCharType="end"/>
            </w:r>
          </w:hyperlink>
        </w:p>
        <w:p w14:paraId="53F5E8D6"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07" w:history="1">
            <w:r w:rsidR="007F4C90">
              <w:rPr>
                <w:rStyle w:val="Hyperlink"/>
                <w:lang w:eastAsia="zh-CN"/>
              </w:rPr>
              <w:t>Introduction</w:t>
            </w:r>
            <w:r w:rsidR="007F4C90">
              <w:tab/>
            </w:r>
            <w:r w:rsidR="007F4C90">
              <w:fldChar w:fldCharType="begin"/>
            </w:r>
            <w:r w:rsidR="007F4C90">
              <w:instrText xml:space="preserve"> PAGEREF _Toc130309707 \h </w:instrText>
            </w:r>
            <w:r w:rsidR="007F4C90">
              <w:fldChar w:fldCharType="separate"/>
            </w:r>
            <w:r w:rsidR="007F4C90">
              <w:t>3</w:t>
            </w:r>
            <w:r w:rsidR="007F4C90">
              <w:fldChar w:fldCharType="end"/>
            </w:r>
          </w:hyperlink>
        </w:p>
        <w:p w14:paraId="1BF241D2"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08" w:history="1">
            <w:r w:rsidR="007F4C90">
              <w:rPr>
                <w:rStyle w:val="Hyperlink"/>
                <w:lang w:eastAsia="zh-CN"/>
              </w:rPr>
              <w:t>Chronic conditions and integrated working</w:t>
            </w:r>
            <w:r w:rsidR="007F4C90">
              <w:tab/>
            </w:r>
            <w:r w:rsidR="007F4C90">
              <w:fldChar w:fldCharType="begin"/>
            </w:r>
            <w:r w:rsidR="007F4C90">
              <w:instrText xml:space="preserve"> PAGEREF _Toc130309708 \h </w:instrText>
            </w:r>
            <w:r w:rsidR="007F4C90">
              <w:fldChar w:fldCharType="separate"/>
            </w:r>
            <w:r w:rsidR="007F4C90">
              <w:t>4</w:t>
            </w:r>
            <w:r w:rsidR="007F4C90">
              <w:fldChar w:fldCharType="end"/>
            </w:r>
          </w:hyperlink>
        </w:p>
        <w:p w14:paraId="37D3D43B"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09" w:history="1">
            <w:r w:rsidR="007F4C90">
              <w:rPr>
                <w:rStyle w:val="Hyperlink"/>
                <w:lang w:eastAsia="zh-CN"/>
              </w:rPr>
              <w:t>Determinants of integration</w:t>
            </w:r>
            <w:r w:rsidR="007F4C90">
              <w:tab/>
            </w:r>
            <w:r w:rsidR="007F4C90">
              <w:fldChar w:fldCharType="begin"/>
            </w:r>
            <w:r w:rsidR="007F4C90">
              <w:instrText xml:space="preserve"> PAGEREF _Toc130309709 \h </w:instrText>
            </w:r>
            <w:r w:rsidR="007F4C90">
              <w:fldChar w:fldCharType="separate"/>
            </w:r>
            <w:r w:rsidR="007F4C90">
              <w:t>6</w:t>
            </w:r>
            <w:r w:rsidR="007F4C90">
              <w:fldChar w:fldCharType="end"/>
            </w:r>
          </w:hyperlink>
        </w:p>
        <w:p w14:paraId="5481A516"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10" w:history="1">
            <w:r w:rsidR="007F4C90">
              <w:rPr>
                <w:rStyle w:val="Hyperlink"/>
                <w:lang w:eastAsia="zh-CN"/>
              </w:rPr>
              <w:t>The impact of integration</w:t>
            </w:r>
            <w:r w:rsidR="007F4C90">
              <w:tab/>
            </w:r>
            <w:r w:rsidR="007F4C90">
              <w:fldChar w:fldCharType="begin"/>
            </w:r>
            <w:r w:rsidR="007F4C90">
              <w:instrText xml:space="preserve"> PAGEREF _Toc130309710 \h </w:instrText>
            </w:r>
            <w:r w:rsidR="007F4C90">
              <w:fldChar w:fldCharType="separate"/>
            </w:r>
            <w:r w:rsidR="007F4C90">
              <w:t>9</w:t>
            </w:r>
            <w:r w:rsidR="007F4C90">
              <w:fldChar w:fldCharType="end"/>
            </w:r>
          </w:hyperlink>
        </w:p>
        <w:p w14:paraId="0CA72C0A"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11" w:history="1">
            <w:r w:rsidR="007F4C90">
              <w:rPr>
                <w:rStyle w:val="Hyperlink"/>
                <w:lang w:eastAsia="zh-CN"/>
              </w:rPr>
              <w:t>Conclusion and Recommendation</w:t>
            </w:r>
            <w:r w:rsidR="007F4C90">
              <w:tab/>
            </w:r>
            <w:r w:rsidR="007F4C90">
              <w:fldChar w:fldCharType="begin"/>
            </w:r>
            <w:r w:rsidR="007F4C90">
              <w:instrText xml:space="preserve"> PAGEREF _Toc130309711 \h </w:instrText>
            </w:r>
            <w:r w:rsidR="007F4C90">
              <w:fldChar w:fldCharType="separate"/>
            </w:r>
            <w:r w:rsidR="007F4C90">
              <w:t>11</w:t>
            </w:r>
            <w:r w:rsidR="007F4C90">
              <w:fldChar w:fldCharType="end"/>
            </w:r>
          </w:hyperlink>
        </w:p>
        <w:p w14:paraId="04513675" w14:textId="77777777" w:rsidR="00DF1912" w:rsidRDefault="00343255">
          <w:pPr>
            <w:pStyle w:val="TOC1"/>
            <w:tabs>
              <w:tab w:val="right" w:leader="dot" w:pos="9061"/>
            </w:tabs>
            <w:rPr>
              <w:rFonts w:asciiTheme="minorHAnsi" w:eastAsiaTheme="minorEastAsia" w:hAnsiTheme="minorHAnsi" w:cstheme="minorBidi"/>
              <w:sz w:val="22"/>
              <w:szCs w:val="22"/>
              <w:lang w:val="en-US"/>
            </w:rPr>
          </w:pPr>
          <w:hyperlink w:anchor="_Toc130309712" w:history="1">
            <w:r w:rsidR="007F4C90">
              <w:rPr>
                <w:rStyle w:val="Hyperlink"/>
                <w:lang w:eastAsia="zh-CN"/>
              </w:rPr>
              <w:t>References</w:t>
            </w:r>
            <w:r w:rsidR="007F4C90">
              <w:tab/>
            </w:r>
            <w:r w:rsidR="007F4C90">
              <w:fldChar w:fldCharType="begin"/>
            </w:r>
            <w:r w:rsidR="007F4C90">
              <w:instrText xml:space="preserve"> PAGEREF _Toc130309712 \h </w:instrText>
            </w:r>
            <w:r w:rsidR="007F4C90">
              <w:fldChar w:fldCharType="separate"/>
            </w:r>
            <w:r w:rsidR="007F4C90">
              <w:t>12</w:t>
            </w:r>
            <w:r w:rsidR="007F4C90">
              <w:fldChar w:fldCharType="end"/>
            </w:r>
          </w:hyperlink>
        </w:p>
        <w:p w14:paraId="3AA2CA2C" w14:textId="77777777" w:rsidR="00DF1912" w:rsidRDefault="007F4C90">
          <w:pPr>
            <w:rPr>
              <w:lang w:eastAsia="zh-CN"/>
            </w:rPr>
          </w:pPr>
          <w:r>
            <w:rPr>
              <w:lang w:eastAsia="zh-CN"/>
            </w:rPr>
            <w:fldChar w:fldCharType="end"/>
          </w:r>
        </w:p>
      </w:sdtContent>
    </w:sdt>
    <w:p w14:paraId="1232BF25" w14:textId="77777777" w:rsidR="00DF1912" w:rsidRDefault="00DF1912">
      <w:pPr>
        <w:rPr>
          <w:lang w:eastAsia="zh-CN"/>
        </w:rPr>
      </w:pPr>
    </w:p>
    <w:p w14:paraId="3FDBBB05" w14:textId="77777777" w:rsidR="00DF1912" w:rsidRDefault="00DF1912">
      <w:pPr>
        <w:rPr>
          <w:lang w:eastAsia="zh-CN"/>
        </w:rPr>
      </w:pPr>
    </w:p>
    <w:p w14:paraId="6BA27AB7" w14:textId="77777777" w:rsidR="00DF1912" w:rsidRDefault="00DF1912">
      <w:pPr>
        <w:rPr>
          <w:lang w:eastAsia="zh-CN"/>
        </w:rPr>
      </w:pPr>
    </w:p>
    <w:p w14:paraId="534ABEC2" w14:textId="77777777" w:rsidR="00DF1912" w:rsidRDefault="00DF1912">
      <w:pPr>
        <w:rPr>
          <w:lang w:eastAsia="zh-CN"/>
        </w:rPr>
      </w:pPr>
    </w:p>
    <w:p w14:paraId="7584F11D" w14:textId="77777777" w:rsidR="00DF1912" w:rsidRDefault="00DF1912">
      <w:pPr>
        <w:rPr>
          <w:lang w:eastAsia="zh-CN"/>
        </w:rPr>
      </w:pPr>
    </w:p>
    <w:p w14:paraId="0822E12C" w14:textId="77777777" w:rsidR="00DF1912" w:rsidRDefault="00DF1912">
      <w:pPr>
        <w:rPr>
          <w:lang w:eastAsia="zh-CN"/>
        </w:rPr>
      </w:pPr>
    </w:p>
    <w:p w14:paraId="3D24FD5F" w14:textId="77777777" w:rsidR="00DF1912" w:rsidRDefault="00DF1912">
      <w:pPr>
        <w:rPr>
          <w:lang w:eastAsia="zh-CN"/>
        </w:rPr>
      </w:pPr>
    </w:p>
    <w:p w14:paraId="4F18FBAE" w14:textId="77777777" w:rsidR="00DF1912" w:rsidRDefault="00DF1912">
      <w:pPr>
        <w:rPr>
          <w:lang w:eastAsia="zh-CN"/>
        </w:rPr>
      </w:pPr>
    </w:p>
    <w:p w14:paraId="0C7C17B5" w14:textId="77777777" w:rsidR="00DF1912" w:rsidRDefault="00DF1912">
      <w:pPr>
        <w:rPr>
          <w:lang w:eastAsia="zh-CN"/>
        </w:rPr>
      </w:pPr>
    </w:p>
    <w:p w14:paraId="0FA637E6" w14:textId="77777777" w:rsidR="00DF1912" w:rsidRDefault="00DF1912">
      <w:pPr>
        <w:rPr>
          <w:lang w:eastAsia="zh-CN"/>
        </w:rPr>
      </w:pPr>
    </w:p>
    <w:p w14:paraId="76BB2E6B" w14:textId="77777777" w:rsidR="00DF1912" w:rsidRDefault="00DF1912">
      <w:pPr>
        <w:rPr>
          <w:lang w:eastAsia="zh-CN"/>
        </w:rPr>
      </w:pPr>
    </w:p>
    <w:p w14:paraId="05F0C419" w14:textId="77777777" w:rsidR="00DF1912" w:rsidRDefault="00DF1912">
      <w:pPr>
        <w:rPr>
          <w:lang w:eastAsia="zh-CN"/>
        </w:rPr>
      </w:pPr>
    </w:p>
    <w:p w14:paraId="009FA510" w14:textId="77777777" w:rsidR="00DF1912" w:rsidRDefault="00DF1912">
      <w:pPr>
        <w:rPr>
          <w:lang w:eastAsia="zh-CN"/>
        </w:rPr>
      </w:pPr>
    </w:p>
    <w:p w14:paraId="078C1036" w14:textId="77777777" w:rsidR="00DF1912" w:rsidRDefault="00DF1912">
      <w:pPr>
        <w:rPr>
          <w:lang w:eastAsia="zh-CN"/>
        </w:rPr>
      </w:pPr>
    </w:p>
    <w:p w14:paraId="2356A057" w14:textId="77777777" w:rsidR="00DF1912" w:rsidRDefault="00DF1912">
      <w:pPr>
        <w:rPr>
          <w:lang w:eastAsia="zh-CN"/>
        </w:rPr>
      </w:pPr>
    </w:p>
    <w:p w14:paraId="4D51FBD7" w14:textId="77777777" w:rsidR="00DF1912" w:rsidRDefault="00DF1912">
      <w:pPr>
        <w:rPr>
          <w:lang w:eastAsia="zh-CN"/>
        </w:rPr>
      </w:pPr>
    </w:p>
    <w:p w14:paraId="5D373B36" w14:textId="77777777" w:rsidR="00DF1912" w:rsidRDefault="00DF1912">
      <w:pPr>
        <w:rPr>
          <w:lang w:eastAsia="zh-CN"/>
        </w:rPr>
      </w:pPr>
    </w:p>
    <w:p w14:paraId="2AE76F85" w14:textId="77777777" w:rsidR="00DF1912" w:rsidRDefault="00DF1912">
      <w:pPr>
        <w:rPr>
          <w:lang w:eastAsia="zh-CN"/>
        </w:rPr>
      </w:pPr>
    </w:p>
    <w:p w14:paraId="0BAE002F" w14:textId="77777777" w:rsidR="00DF1912" w:rsidRDefault="00DF1912">
      <w:pPr>
        <w:rPr>
          <w:lang w:eastAsia="zh-CN"/>
        </w:rPr>
      </w:pPr>
    </w:p>
    <w:p w14:paraId="2D49CDC3" w14:textId="77777777" w:rsidR="00DF1912" w:rsidRDefault="00DF1912">
      <w:pPr>
        <w:rPr>
          <w:lang w:eastAsia="zh-CN"/>
        </w:rPr>
      </w:pPr>
    </w:p>
    <w:p w14:paraId="03677EA5" w14:textId="77777777" w:rsidR="00DF1912" w:rsidRDefault="00DF1912">
      <w:pPr>
        <w:rPr>
          <w:lang w:eastAsia="zh-CN"/>
        </w:rPr>
      </w:pPr>
    </w:p>
    <w:p w14:paraId="34723A63" w14:textId="77777777" w:rsidR="00DF1912" w:rsidRDefault="007F4C90">
      <w:pPr>
        <w:pStyle w:val="Heading1"/>
        <w:rPr>
          <w:lang w:eastAsia="zh-CN"/>
        </w:rPr>
      </w:pPr>
      <w:bookmarkStart w:id="5" w:name="_Toc130309707"/>
      <w:r>
        <w:rPr>
          <w:lang w:eastAsia="zh-CN"/>
        </w:rPr>
        <w:lastRenderedPageBreak/>
        <w:t>Introduction</w:t>
      </w:r>
      <w:bookmarkEnd w:id="5"/>
    </w:p>
    <w:p w14:paraId="1D36B585" w14:textId="77777777" w:rsidR="00DF1912" w:rsidRDefault="007F4C90">
      <w:pPr>
        <w:rPr>
          <w:lang w:eastAsia="zh-CN"/>
        </w:rPr>
      </w:pPr>
      <w:r>
        <w:rPr>
          <w:lang w:eastAsia="zh-CN"/>
        </w:rPr>
        <w:t>The purpose of this report is to investigate ACEs and their influence on people, families, and communities.</w:t>
      </w:r>
    </w:p>
    <w:p w14:paraId="56DE62B7" w14:textId="77777777" w:rsidR="00DF1912" w:rsidRDefault="007F4C90">
      <w:pPr>
        <w:numPr>
          <w:ilvl w:val="0"/>
          <w:numId w:val="1"/>
        </w:numPr>
        <w:rPr>
          <w:b/>
          <w:bCs/>
          <w:lang w:eastAsia="zh-CN"/>
        </w:rPr>
      </w:pPr>
      <w:r>
        <w:rPr>
          <w:b/>
          <w:bCs/>
          <w:lang w:eastAsia="zh-CN"/>
        </w:rPr>
        <w:t>Definition of key terms:</w:t>
      </w:r>
      <w:r>
        <w:rPr>
          <w:lang w:eastAsia="zh-CN"/>
        </w:rPr>
        <w:t xml:space="preserve"> Adverse childhood experiences are traumatic or stressful events that occur before the age of 18 in a child, such as physical, sexual, or emotional abuse, neglect, or home dysfunction (Brown et al., 2016).</w:t>
      </w:r>
    </w:p>
    <w:p w14:paraId="2C7DF78C" w14:textId="77777777" w:rsidR="00DF1912" w:rsidRDefault="007F4C90">
      <w:pPr>
        <w:numPr>
          <w:ilvl w:val="0"/>
          <w:numId w:val="1"/>
        </w:numPr>
        <w:rPr>
          <w:b/>
          <w:bCs/>
          <w:lang w:eastAsia="zh-CN"/>
        </w:rPr>
      </w:pPr>
      <w:r>
        <w:rPr>
          <w:b/>
          <w:bCs/>
          <w:lang w:eastAsia="zh-CN"/>
        </w:rPr>
        <w:t>Role of research in nursing:</w:t>
      </w:r>
      <w:r>
        <w:rPr>
          <w:lang w:eastAsia="zh-CN"/>
        </w:rPr>
        <w:t xml:space="preserve"> Nursing research is important because it helps to develop new information, uncover gaps in practise, and guide decision-making. Nurses can create and implement treatments to enhance patient outcomes and promote health via research.</w:t>
      </w:r>
    </w:p>
    <w:p w14:paraId="778E935E" w14:textId="77777777" w:rsidR="00DF1912" w:rsidRDefault="007F4C90">
      <w:pPr>
        <w:numPr>
          <w:ilvl w:val="0"/>
          <w:numId w:val="1"/>
        </w:numPr>
        <w:rPr>
          <w:b/>
          <w:bCs/>
          <w:lang w:eastAsia="zh-CN"/>
        </w:rPr>
      </w:pPr>
      <w:r>
        <w:rPr>
          <w:b/>
          <w:bCs/>
          <w:lang w:eastAsia="zh-CN"/>
        </w:rPr>
        <w:t>Role of EBP in nursing:</w:t>
      </w:r>
      <w:r>
        <w:rPr>
          <w:lang w:eastAsia="zh-CN"/>
        </w:rPr>
        <w:t xml:space="preserve"> The use of the best available evidence to influence clinical decision-making and enhance patient outcomes is what evidence-based practice entails. It is an important part of nursing practice because it ensures that care is based on the most recent and relevant research results.</w:t>
      </w:r>
    </w:p>
    <w:p w14:paraId="33B8715D" w14:textId="77777777" w:rsidR="00DF1912" w:rsidRDefault="007F4C90">
      <w:pPr>
        <w:numPr>
          <w:ilvl w:val="0"/>
          <w:numId w:val="1"/>
        </w:numPr>
        <w:rPr>
          <w:lang w:eastAsia="zh-CN"/>
        </w:rPr>
      </w:pPr>
      <w:r>
        <w:rPr>
          <w:b/>
          <w:bCs/>
          <w:lang w:eastAsia="zh-CN"/>
        </w:rPr>
        <w:t>Role of research literacy in nursing:</w:t>
      </w:r>
      <w:r>
        <w:rPr>
          <w:lang w:eastAsia="zh-CN"/>
        </w:rPr>
        <w:t xml:space="preserve"> The capacity to obtain, comprehend, and use research results to guide practice is referred to as research literacy</w:t>
      </w:r>
      <w:r>
        <w:rPr>
          <w:lang w:val="en-IN" w:eastAsia="zh-CN"/>
        </w:rPr>
        <w:t xml:space="preserve"> (</w:t>
      </w:r>
      <w:r>
        <w:rPr>
          <w:lang w:val="en-US" w:eastAsia="zh-CN"/>
        </w:rPr>
        <w:t>Aveyard, 2019</w:t>
      </w:r>
      <w:r>
        <w:rPr>
          <w:lang w:val="en-IN" w:eastAsia="zh-CN"/>
        </w:rPr>
        <w:t>)</w:t>
      </w:r>
      <w:r>
        <w:rPr>
          <w:lang w:eastAsia="zh-CN"/>
        </w:rPr>
        <w:t>. Nurses must be research literate in order to deliver high-quality treatment based on the best available information.</w:t>
      </w:r>
    </w:p>
    <w:p w14:paraId="45E1CC22" w14:textId="77777777" w:rsidR="00DF1912" w:rsidRDefault="00DF1912">
      <w:pPr>
        <w:rPr>
          <w:lang w:eastAsia="zh-CN"/>
        </w:rPr>
      </w:pPr>
      <w:bookmarkStart w:id="6" w:name="_Toc130309708"/>
    </w:p>
    <w:p w14:paraId="02611BE8" w14:textId="77777777" w:rsidR="00DF1912" w:rsidRDefault="00DF1912">
      <w:pPr>
        <w:rPr>
          <w:lang w:eastAsia="zh-CN"/>
        </w:rPr>
      </w:pPr>
    </w:p>
    <w:p w14:paraId="627847CE" w14:textId="77777777" w:rsidR="00DF1912" w:rsidRDefault="00DF1912">
      <w:pPr>
        <w:rPr>
          <w:lang w:eastAsia="zh-CN"/>
        </w:rPr>
      </w:pPr>
    </w:p>
    <w:p w14:paraId="3B679057" w14:textId="77777777" w:rsidR="00DF1912" w:rsidRDefault="00DF1912">
      <w:pPr>
        <w:rPr>
          <w:lang w:eastAsia="zh-CN"/>
        </w:rPr>
      </w:pPr>
    </w:p>
    <w:p w14:paraId="0F1936AB" w14:textId="77777777" w:rsidR="00DF1912" w:rsidRDefault="00DF1912">
      <w:pPr>
        <w:rPr>
          <w:lang w:eastAsia="zh-CN"/>
        </w:rPr>
      </w:pPr>
    </w:p>
    <w:p w14:paraId="55530886" w14:textId="77777777" w:rsidR="00DF1912" w:rsidRDefault="00DF1912">
      <w:pPr>
        <w:rPr>
          <w:lang w:eastAsia="zh-CN"/>
        </w:rPr>
      </w:pPr>
    </w:p>
    <w:p w14:paraId="6D7AE4AD" w14:textId="77777777" w:rsidR="00DF1912" w:rsidRDefault="00DF1912">
      <w:pPr>
        <w:rPr>
          <w:lang w:eastAsia="zh-CN"/>
        </w:rPr>
      </w:pPr>
    </w:p>
    <w:p w14:paraId="1EA3C58C" w14:textId="77777777" w:rsidR="00DF1912" w:rsidRDefault="00DF1912">
      <w:pPr>
        <w:rPr>
          <w:lang w:eastAsia="zh-CN"/>
        </w:rPr>
      </w:pPr>
    </w:p>
    <w:p w14:paraId="0BDE59B7" w14:textId="77777777" w:rsidR="00DF1912" w:rsidRDefault="00DF1912">
      <w:pPr>
        <w:rPr>
          <w:lang w:eastAsia="zh-CN"/>
        </w:rPr>
      </w:pPr>
    </w:p>
    <w:p w14:paraId="6C246A64" w14:textId="77777777" w:rsidR="00DF1912" w:rsidRDefault="00DF1912">
      <w:pPr>
        <w:rPr>
          <w:lang w:eastAsia="zh-CN"/>
        </w:rPr>
      </w:pPr>
    </w:p>
    <w:p w14:paraId="4C125EE9" w14:textId="77777777" w:rsidR="00DF1912" w:rsidRDefault="00DF1912">
      <w:pPr>
        <w:rPr>
          <w:lang w:eastAsia="zh-CN"/>
        </w:rPr>
      </w:pPr>
    </w:p>
    <w:p w14:paraId="77CFEFBA" w14:textId="77777777" w:rsidR="00DF1912" w:rsidRDefault="00DF1912">
      <w:pPr>
        <w:rPr>
          <w:lang w:eastAsia="zh-CN"/>
        </w:rPr>
      </w:pPr>
    </w:p>
    <w:p w14:paraId="7F2C9FAA" w14:textId="77777777" w:rsidR="00DF1912" w:rsidRDefault="00DF1912">
      <w:pPr>
        <w:rPr>
          <w:lang w:eastAsia="zh-CN"/>
        </w:rPr>
      </w:pPr>
    </w:p>
    <w:p w14:paraId="6DF62894" w14:textId="77777777" w:rsidR="00DF1912" w:rsidRDefault="00DF1912">
      <w:pPr>
        <w:rPr>
          <w:lang w:eastAsia="zh-CN"/>
        </w:rPr>
      </w:pPr>
    </w:p>
    <w:p w14:paraId="177F9E4B" w14:textId="77777777" w:rsidR="00DF1912" w:rsidRDefault="00DF1912">
      <w:pPr>
        <w:rPr>
          <w:lang w:eastAsia="zh-CN"/>
        </w:rPr>
      </w:pPr>
    </w:p>
    <w:p w14:paraId="15E865B6" w14:textId="77777777" w:rsidR="00DF1912" w:rsidRDefault="007F4C90">
      <w:pPr>
        <w:pStyle w:val="Heading1"/>
        <w:rPr>
          <w:lang w:eastAsia="zh-CN"/>
        </w:rPr>
      </w:pPr>
      <w:r>
        <w:rPr>
          <w:lang w:eastAsia="zh-CN"/>
        </w:rPr>
        <w:lastRenderedPageBreak/>
        <w:t>Chronic conditions and integrated working</w:t>
      </w:r>
      <w:bookmarkEnd w:id="6"/>
    </w:p>
    <w:p w14:paraId="0F92AF04" w14:textId="77777777" w:rsidR="00DF1912" w:rsidRDefault="007F4C90">
      <w:pPr>
        <w:rPr>
          <w:lang w:eastAsia="zh-CN"/>
        </w:rPr>
      </w:pPr>
      <w:r>
        <w:rPr>
          <w:lang w:eastAsia="zh-CN"/>
        </w:rPr>
        <w:t>Chronic diseases account for 71% of all fatalities worldwide, according to the World Health Organization (WHO), and this percentage is predicted to rise. Cardiovascular disorders, cancer, respiratory diseases, and diabetes are examples of chronic ailments (Finkelhor et al., 2017). Individuals, families, and communities are all affected by these illnesses, which result in worse quality of life, higher healthcare expenses, and decreased productivity.</w:t>
      </w:r>
    </w:p>
    <w:p w14:paraId="0950F344" w14:textId="77777777" w:rsidR="00DF1912" w:rsidRDefault="00DF1912">
      <w:pPr>
        <w:rPr>
          <w:lang w:eastAsia="zh-CN"/>
        </w:rPr>
      </w:pPr>
    </w:p>
    <w:p w14:paraId="01911DC5" w14:textId="77777777" w:rsidR="00DF1912" w:rsidRDefault="007F4C90">
      <w:pPr>
        <w:rPr>
          <w:b/>
          <w:bCs/>
          <w:sz w:val="32"/>
          <w:szCs w:val="32"/>
          <w:lang w:eastAsia="zh-CN"/>
        </w:rPr>
      </w:pPr>
      <w:r>
        <w:rPr>
          <w:b/>
          <w:bCs/>
          <w:sz w:val="32"/>
          <w:szCs w:val="32"/>
          <w:lang w:eastAsia="zh-CN"/>
        </w:rPr>
        <w:t>Defining key terms</w:t>
      </w:r>
    </w:p>
    <w:p w14:paraId="372FCC88" w14:textId="77777777" w:rsidR="00DF1912" w:rsidRDefault="007F4C90">
      <w:pPr>
        <w:rPr>
          <w:lang w:eastAsia="zh-CN"/>
        </w:rPr>
      </w:pPr>
      <w:r>
        <w:rPr>
          <w:lang w:eastAsia="zh-CN"/>
        </w:rPr>
        <w:t>To deliver complete care to patients, integrated working entails cooperating and coordinating treatment across various healthcare experts and services. It entails tearing down old silos in order to deliver patient-centred care that addresses all elements of a person's health</w:t>
      </w:r>
      <w:r>
        <w:rPr>
          <w:lang w:val="en-IN" w:eastAsia="zh-CN"/>
        </w:rPr>
        <w:t xml:space="preserve"> (</w:t>
      </w:r>
      <w:r>
        <w:rPr>
          <w:lang w:val="en-US" w:eastAsia="zh-CN"/>
        </w:rPr>
        <w:t>Aveyard,</w:t>
      </w:r>
      <w:r>
        <w:rPr>
          <w:lang w:val="en-IN" w:eastAsia="zh-CN"/>
        </w:rPr>
        <w:t xml:space="preserve"> </w:t>
      </w:r>
      <w:r>
        <w:rPr>
          <w:lang w:val="en-US" w:eastAsia="zh-CN"/>
        </w:rPr>
        <w:t>and Sharp, 2017</w:t>
      </w:r>
      <w:r>
        <w:rPr>
          <w:lang w:val="en-IN" w:eastAsia="zh-CN"/>
        </w:rPr>
        <w:t>)</w:t>
      </w:r>
      <w:r>
        <w:rPr>
          <w:lang w:eastAsia="zh-CN"/>
        </w:rPr>
        <w:t>.</w:t>
      </w:r>
    </w:p>
    <w:p w14:paraId="3FC65F90" w14:textId="77777777" w:rsidR="00DF1912" w:rsidRDefault="00DF1912">
      <w:pPr>
        <w:rPr>
          <w:lang w:eastAsia="zh-CN"/>
        </w:rPr>
      </w:pPr>
    </w:p>
    <w:p w14:paraId="384CFAAB" w14:textId="77777777" w:rsidR="00DF1912" w:rsidRDefault="007F4C90">
      <w:pPr>
        <w:rPr>
          <w:b/>
          <w:bCs/>
          <w:sz w:val="32"/>
          <w:szCs w:val="32"/>
          <w:lang w:eastAsia="zh-CN"/>
        </w:rPr>
      </w:pPr>
      <w:r>
        <w:rPr>
          <w:b/>
          <w:bCs/>
          <w:sz w:val="32"/>
          <w:szCs w:val="32"/>
          <w:lang w:eastAsia="zh-CN"/>
        </w:rPr>
        <w:t>Rationale of choice</w:t>
      </w:r>
    </w:p>
    <w:p w14:paraId="7C394669" w14:textId="77777777" w:rsidR="00DF1912" w:rsidRDefault="007F4C90">
      <w:pPr>
        <w:rPr>
          <w:lang w:eastAsia="zh-CN"/>
        </w:rPr>
      </w:pPr>
      <w:r>
        <w:rPr>
          <w:lang w:eastAsia="zh-CN"/>
        </w:rPr>
        <w:t>The rising prevalence of chronic diseases emphasises the need for healthcare systems to offer comprehensive and integrated treatment to patients. Working together has been highlighted as a significant technique for improving patient outcomes and lowering healthcare expenditures. Yet, due to a lack of clarity on roles and duties, communication hurdles, and organisational structures, establishing integrated working can be difficult (Ford-Gilboe et al., 2016).</w:t>
      </w:r>
    </w:p>
    <w:p w14:paraId="3C4F379C" w14:textId="77777777" w:rsidR="00DF1912" w:rsidRDefault="00DF1912">
      <w:pPr>
        <w:rPr>
          <w:lang w:eastAsia="zh-CN"/>
        </w:rPr>
      </w:pPr>
    </w:p>
    <w:p w14:paraId="4615331D" w14:textId="77777777" w:rsidR="00DF1912" w:rsidRDefault="007F4C90">
      <w:pPr>
        <w:rPr>
          <w:lang w:eastAsia="zh-CN"/>
        </w:rPr>
      </w:pPr>
      <w:r>
        <w:rPr>
          <w:b/>
          <w:bCs/>
          <w:sz w:val="32"/>
          <w:szCs w:val="32"/>
          <w:lang w:eastAsia="zh-CN"/>
        </w:rPr>
        <w:t>Answering the Research Question</w:t>
      </w:r>
    </w:p>
    <w:p w14:paraId="3656B867" w14:textId="77777777" w:rsidR="00DF1912" w:rsidRDefault="007F4C90">
      <w:pPr>
        <w:rPr>
          <w:lang w:eastAsia="zh-CN"/>
        </w:rPr>
      </w:pPr>
      <w:r>
        <w:rPr>
          <w:lang w:eastAsia="zh-CN"/>
        </w:rPr>
        <w:t>The purpose of this paper is to investigate the challenges and facilitators of integrated working in chronic disease management. The paper will examine the literature to determine the important themes that lead to the effective implementation of integrated working.</w:t>
      </w:r>
    </w:p>
    <w:p w14:paraId="37ED0B3B" w14:textId="77777777" w:rsidR="00DF1912" w:rsidRDefault="00DF1912">
      <w:pPr>
        <w:rPr>
          <w:lang w:eastAsia="zh-CN"/>
        </w:rPr>
      </w:pPr>
    </w:p>
    <w:p w14:paraId="1BD498AC" w14:textId="77777777" w:rsidR="00DF1912" w:rsidRDefault="007F4C90">
      <w:pPr>
        <w:rPr>
          <w:b/>
          <w:bCs/>
          <w:sz w:val="32"/>
          <w:szCs w:val="32"/>
          <w:lang w:eastAsia="zh-CN"/>
        </w:rPr>
      </w:pPr>
      <w:r>
        <w:rPr>
          <w:b/>
          <w:bCs/>
          <w:sz w:val="32"/>
          <w:szCs w:val="32"/>
          <w:lang w:eastAsia="zh-CN"/>
        </w:rPr>
        <w:t>The Role of Ethics in Nursing Research</w:t>
      </w:r>
    </w:p>
    <w:p w14:paraId="45F1C7D7" w14:textId="77777777" w:rsidR="00DF1912" w:rsidRDefault="007F4C90">
      <w:pPr>
        <w:rPr>
          <w:lang w:eastAsia="zh-CN"/>
        </w:rPr>
      </w:pPr>
      <w:r>
        <w:rPr>
          <w:lang w:eastAsia="zh-CN"/>
        </w:rPr>
        <w:t>Ethical issues are critical in nursing research to guarantee that participants' rights, dignity, and well-being are maintained. To ensure that research is performed responsibly and ethically, ethical standards such as informed consent, confidentiality, and beneficence should be observed.</w:t>
      </w:r>
    </w:p>
    <w:p w14:paraId="678C5646" w14:textId="77777777" w:rsidR="00DF1912" w:rsidRDefault="00DF1912">
      <w:pPr>
        <w:rPr>
          <w:lang w:eastAsia="zh-CN"/>
        </w:rPr>
      </w:pPr>
    </w:p>
    <w:p w14:paraId="0DD6AD19" w14:textId="77777777" w:rsidR="00DF1912" w:rsidRDefault="007F4C90">
      <w:pPr>
        <w:rPr>
          <w:sz w:val="32"/>
          <w:szCs w:val="32"/>
          <w:lang w:eastAsia="zh-CN"/>
        </w:rPr>
      </w:pPr>
      <w:r>
        <w:rPr>
          <w:b/>
          <w:bCs/>
          <w:sz w:val="32"/>
          <w:szCs w:val="32"/>
          <w:lang w:eastAsia="zh-CN"/>
        </w:rPr>
        <w:lastRenderedPageBreak/>
        <w:t xml:space="preserve">Themes that were Found and will be </w:t>
      </w:r>
      <w:proofErr w:type="gramStart"/>
      <w:r>
        <w:rPr>
          <w:b/>
          <w:bCs/>
          <w:sz w:val="32"/>
          <w:szCs w:val="32"/>
          <w:lang w:eastAsia="zh-CN"/>
        </w:rPr>
        <w:t>examined</w:t>
      </w:r>
      <w:proofErr w:type="gramEnd"/>
    </w:p>
    <w:p w14:paraId="7FBB609C" w14:textId="77777777" w:rsidR="00DF1912" w:rsidRDefault="007F4C90">
      <w:pPr>
        <w:rPr>
          <w:lang w:eastAsia="zh-CN"/>
        </w:rPr>
      </w:pPr>
      <w:r>
        <w:rPr>
          <w:lang w:eastAsia="zh-CN"/>
        </w:rPr>
        <w:t>Communication and coordination, as well as organisational structures, were recognised as two major elements that contribute to the effective implementation of integrated working in the literature study. Effective communication, shared decision-making, and collaborative care planning are all part of communication and coordination. The formation of defined roles and duties, agreed goals and leadership support are all components of organisational structures.</w:t>
      </w:r>
    </w:p>
    <w:p w14:paraId="52763A48" w14:textId="77777777" w:rsidR="00DF1912" w:rsidRDefault="00DF1912">
      <w:pPr>
        <w:rPr>
          <w:lang w:eastAsia="zh-CN"/>
        </w:rPr>
      </w:pPr>
    </w:p>
    <w:p w14:paraId="1CA6AE81" w14:textId="77777777" w:rsidR="00DF1912" w:rsidRDefault="007F4C90">
      <w:pPr>
        <w:rPr>
          <w:b/>
          <w:bCs/>
          <w:sz w:val="32"/>
          <w:szCs w:val="32"/>
          <w:lang w:eastAsia="zh-CN"/>
        </w:rPr>
      </w:pPr>
      <w:r>
        <w:rPr>
          <w:b/>
          <w:bCs/>
          <w:sz w:val="32"/>
          <w:szCs w:val="32"/>
          <w:lang w:eastAsia="zh-CN"/>
        </w:rPr>
        <w:t>Limitations</w:t>
      </w:r>
    </w:p>
    <w:p w14:paraId="4181563E" w14:textId="77777777" w:rsidR="00DF1912" w:rsidRDefault="007F4C90">
      <w:pPr>
        <w:rPr>
          <w:lang w:eastAsia="zh-CN"/>
        </w:rPr>
      </w:pPr>
      <w:r>
        <w:rPr>
          <w:lang w:eastAsia="zh-CN"/>
        </w:rPr>
        <w:t>Due to the limited scope of this report, only two main themes will be examined. Additionally, the literature review is limited to the English language and may not reflect the experiences of non-English speaking countries.</w:t>
      </w:r>
    </w:p>
    <w:p w14:paraId="19D65806" w14:textId="77777777" w:rsidR="00DF1912" w:rsidRDefault="00DF1912">
      <w:pPr>
        <w:rPr>
          <w:lang w:eastAsia="zh-CN"/>
        </w:rPr>
      </w:pPr>
    </w:p>
    <w:p w14:paraId="4EFBAD4E" w14:textId="77777777" w:rsidR="00DF1912" w:rsidRDefault="007F4C90">
      <w:pPr>
        <w:rPr>
          <w:lang w:eastAsia="zh-CN"/>
        </w:rPr>
      </w:pPr>
      <w:r>
        <w:rPr>
          <w:lang w:eastAsia="zh-CN"/>
        </w:rPr>
        <w:t>Management of chronic illnesses necessitates a comprehensive and integrated approach to care. Working together has been highlighted as a significant technique for improving patient outcomes and lowering healthcare expenditures. The successful implementation of integrated working requires effective communication and collaboration, as well as defined organisational frameworks. To guarantee that nursing research is performed responsibly and ethically, ethical concerns should also be observed.</w:t>
      </w:r>
    </w:p>
    <w:p w14:paraId="28345BFC" w14:textId="77777777" w:rsidR="00DF1912" w:rsidRDefault="00DF1912">
      <w:pPr>
        <w:rPr>
          <w:lang w:eastAsia="zh-CN"/>
        </w:rPr>
      </w:pPr>
    </w:p>
    <w:p w14:paraId="7BB9936E" w14:textId="77777777" w:rsidR="00DF1912" w:rsidRDefault="00DF1912">
      <w:pPr>
        <w:rPr>
          <w:lang w:eastAsia="zh-CN"/>
        </w:rPr>
      </w:pPr>
    </w:p>
    <w:p w14:paraId="1959EEB4" w14:textId="77777777" w:rsidR="00DF1912" w:rsidRDefault="00DF1912">
      <w:pPr>
        <w:rPr>
          <w:lang w:eastAsia="zh-CN"/>
        </w:rPr>
      </w:pPr>
    </w:p>
    <w:p w14:paraId="2A274017" w14:textId="77777777" w:rsidR="00DF1912" w:rsidRDefault="00DF1912">
      <w:pPr>
        <w:rPr>
          <w:lang w:eastAsia="zh-CN"/>
        </w:rPr>
      </w:pPr>
    </w:p>
    <w:p w14:paraId="3ED27DE2" w14:textId="77777777" w:rsidR="00DF1912" w:rsidRDefault="00DF1912">
      <w:pPr>
        <w:rPr>
          <w:lang w:eastAsia="zh-CN"/>
        </w:rPr>
      </w:pPr>
    </w:p>
    <w:p w14:paraId="2C34248A" w14:textId="77777777" w:rsidR="00DF1912" w:rsidRDefault="00DF1912">
      <w:pPr>
        <w:rPr>
          <w:lang w:eastAsia="zh-CN"/>
        </w:rPr>
      </w:pPr>
    </w:p>
    <w:p w14:paraId="676A8903" w14:textId="77777777" w:rsidR="00DF1912" w:rsidRDefault="00DF1912">
      <w:pPr>
        <w:rPr>
          <w:lang w:eastAsia="zh-CN"/>
        </w:rPr>
      </w:pPr>
    </w:p>
    <w:p w14:paraId="7D1731D8" w14:textId="77777777" w:rsidR="00DF1912" w:rsidRDefault="00DF1912">
      <w:pPr>
        <w:rPr>
          <w:lang w:eastAsia="zh-CN"/>
        </w:rPr>
      </w:pPr>
    </w:p>
    <w:p w14:paraId="7DE03209" w14:textId="77777777" w:rsidR="00DF1912" w:rsidRDefault="00DF1912">
      <w:pPr>
        <w:rPr>
          <w:lang w:eastAsia="zh-CN"/>
        </w:rPr>
      </w:pPr>
    </w:p>
    <w:p w14:paraId="1CEC8C2A" w14:textId="77777777" w:rsidR="00DF1912" w:rsidRDefault="00DF1912">
      <w:pPr>
        <w:rPr>
          <w:lang w:eastAsia="zh-CN"/>
        </w:rPr>
      </w:pPr>
    </w:p>
    <w:p w14:paraId="39C9FBB4" w14:textId="77777777" w:rsidR="00DF1912" w:rsidRDefault="00DF1912">
      <w:pPr>
        <w:rPr>
          <w:lang w:eastAsia="zh-CN"/>
        </w:rPr>
      </w:pPr>
    </w:p>
    <w:p w14:paraId="14C9F711" w14:textId="77777777" w:rsidR="00DF1912" w:rsidRDefault="00DF1912">
      <w:pPr>
        <w:rPr>
          <w:lang w:eastAsia="zh-CN"/>
        </w:rPr>
      </w:pPr>
    </w:p>
    <w:p w14:paraId="23181661" w14:textId="77777777" w:rsidR="00DF1912" w:rsidRDefault="00DF1912">
      <w:pPr>
        <w:rPr>
          <w:lang w:eastAsia="zh-CN"/>
        </w:rPr>
      </w:pPr>
    </w:p>
    <w:p w14:paraId="6E1F3A7D" w14:textId="77777777" w:rsidR="00DF1912" w:rsidRDefault="00DF1912">
      <w:pPr>
        <w:rPr>
          <w:lang w:eastAsia="zh-CN"/>
        </w:rPr>
      </w:pPr>
    </w:p>
    <w:p w14:paraId="3F13B08A" w14:textId="77777777" w:rsidR="00DF1912" w:rsidRDefault="007F4C90">
      <w:pPr>
        <w:pStyle w:val="Heading1"/>
        <w:rPr>
          <w:lang w:eastAsia="zh-CN"/>
        </w:rPr>
      </w:pPr>
      <w:bookmarkStart w:id="7" w:name="_Toc130309709"/>
      <w:r>
        <w:rPr>
          <w:lang w:eastAsia="zh-CN"/>
        </w:rPr>
        <w:lastRenderedPageBreak/>
        <w:t>Determinants of integration</w:t>
      </w:r>
      <w:bookmarkEnd w:id="7"/>
    </w:p>
    <w:p w14:paraId="716883F5" w14:textId="77777777" w:rsidR="00DF1912" w:rsidRDefault="007F4C90">
      <w:pPr>
        <w:rPr>
          <w:b/>
          <w:bCs/>
          <w:sz w:val="32"/>
          <w:szCs w:val="32"/>
          <w:lang w:eastAsia="zh-CN"/>
        </w:rPr>
      </w:pPr>
      <w:r>
        <w:rPr>
          <w:b/>
          <w:bCs/>
          <w:sz w:val="32"/>
          <w:szCs w:val="32"/>
          <w:lang w:eastAsia="zh-CN"/>
        </w:rPr>
        <w:t>Background</w:t>
      </w:r>
    </w:p>
    <w:p w14:paraId="519B4870" w14:textId="77777777" w:rsidR="00DF1912" w:rsidRDefault="007F4C90">
      <w:pPr>
        <w:rPr>
          <w:lang w:eastAsia="zh-CN"/>
        </w:rPr>
      </w:pPr>
      <w:r>
        <w:rPr>
          <w:lang w:eastAsia="zh-CN"/>
        </w:rPr>
        <w:t>Working together is critical in the treatment of unpleasant childhood experiences (ACEs). ACEs are childhood traumatic experiences such as physical or emotional abuse, neglect, or home dysfunction</w:t>
      </w:r>
      <w:r>
        <w:rPr>
          <w:lang w:val="en-IN" w:eastAsia="zh-CN"/>
        </w:rPr>
        <w:t xml:space="preserve"> (</w:t>
      </w:r>
      <w:r>
        <w:rPr>
          <w:lang w:val="en-US" w:eastAsia="zh-CN"/>
        </w:rPr>
        <w:t>Beauchamp, and Childress, 2019</w:t>
      </w:r>
      <w:r>
        <w:rPr>
          <w:lang w:val="en-IN" w:eastAsia="zh-CN"/>
        </w:rPr>
        <w:t>)</w:t>
      </w:r>
      <w:r>
        <w:rPr>
          <w:lang w:eastAsia="zh-CN"/>
        </w:rPr>
        <w:t>. These events can have a significant influence on a person's physical, emotional, and social well-being, increasing the likelihood of chronic diseases, mental health issues, and drug dependence.</w:t>
      </w:r>
    </w:p>
    <w:p w14:paraId="4D36C309" w14:textId="77777777" w:rsidR="00DF1912" w:rsidRDefault="007F4C90">
      <w:pPr>
        <w:tabs>
          <w:tab w:val="left" w:pos="420"/>
        </w:tabs>
        <w:jc w:val="center"/>
        <w:rPr>
          <w:lang w:eastAsia="zh-CN"/>
        </w:rPr>
      </w:pPr>
      <w:r>
        <w:rPr>
          <w:noProof/>
          <w:lang w:val="en-US"/>
        </w:rPr>
        <w:drawing>
          <wp:inline distT="0" distB="0" distL="0" distR="0" wp14:anchorId="48F006FE" wp14:editId="3B490C0D">
            <wp:extent cx="3867150" cy="3762375"/>
            <wp:effectExtent l="0" t="0" r="0" b="9525"/>
            <wp:docPr id="2" name="Picture 2" descr="Adverse Childhood Experiences | Kids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dverse Childhood Experiences | KidsMates"/>
                    <pic:cNvPicPr>
                      <a:picLocks noChangeAspect="1" noChangeArrowheads="1"/>
                    </pic:cNvPicPr>
                  </pic:nvPicPr>
                  <pic:blipFill>
                    <a:blip r:embed="rId9" cstate="print">
                      <a:extLst>
                        <a:ext uri="{28A0092B-C50C-407E-A947-70E740481C1C}">
                          <a14:useLocalDpi xmlns:a14="http://schemas.microsoft.com/office/drawing/2010/main" val="0"/>
                        </a:ext>
                      </a:extLst>
                    </a:blip>
                    <a:srcRect b="2703"/>
                    <a:stretch>
                      <a:fillRect/>
                    </a:stretch>
                  </pic:blipFill>
                  <pic:spPr>
                    <a:xfrm>
                      <a:off x="0" y="0"/>
                      <a:ext cx="3879213" cy="3774370"/>
                    </a:xfrm>
                    <a:prstGeom prst="rect">
                      <a:avLst/>
                    </a:prstGeom>
                    <a:noFill/>
                    <a:ln>
                      <a:noFill/>
                    </a:ln>
                  </pic:spPr>
                </pic:pic>
              </a:graphicData>
            </a:graphic>
          </wp:inline>
        </w:drawing>
      </w:r>
    </w:p>
    <w:p w14:paraId="48E4FBA6" w14:textId="77777777" w:rsidR="00DF1912" w:rsidRDefault="007F4C90">
      <w:pPr>
        <w:pStyle w:val="Caption"/>
        <w:jc w:val="center"/>
        <w:rPr>
          <w:i w:val="0"/>
          <w:sz w:val="20"/>
        </w:rPr>
      </w:pPr>
      <w:r>
        <w:rPr>
          <w:i w:val="0"/>
          <w:sz w:val="20"/>
        </w:rPr>
        <w:t xml:space="preserve">Figure </w:t>
      </w:r>
      <w:r>
        <w:rPr>
          <w:i w:val="0"/>
          <w:sz w:val="20"/>
        </w:rPr>
        <w:fldChar w:fldCharType="begin"/>
      </w:r>
      <w:r>
        <w:rPr>
          <w:i w:val="0"/>
          <w:sz w:val="20"/>
        </w:rPr>
        <w:instrText xml:space="preserve"> SEQ Figure \* ARABIC </w:instrText>
      </w:r>
      <w:r>
        <w:rPr>
          <w:i w:val="0"/>
          <w:sz w:val="20"/>
        </w:rPr>
        <w:fldChar w:fldCharType="separate"/>
      </w:r>
      <w:r>
        <w:rPr>
          <w:i w:val="0"/>
          <w:sz w:val="20"/>
        </w:rPr>
        <w:t>1</w:t>
      </w:r>
      <w:r>
        <w:rPr>
          <w:i w:val="0"/>
          <w:sz w:val="20"/>
        </w:rPr>
        <w:fldChar w:fldCharType="end"/>
      </w:r>
      <w:r>
        <w:rPr>
          <w:i w:val="0"/>
          <w:sz w:val="20"/>
        </w:rPr>
        <w:t xml:space="preserve">: Adverse Childhood Experience </w:t>
      </w:r>
    </w:p>
    <w:p w14:paraId="1396DECF" w14:textId="77777777" w:rsidR="00DF1912" w:rsidRDefault="007F4C90">
      <w:pPr>
        <w:pStyle w:val="Caption"/>
        <w:jc w:val="center"/>
        <w:rPr>
          <w:i w:val="0"/>
          <w:sz w:val="20"/>
          <w:lang w:eastAsia="zh-CN"/>
        </w:rPr>
      </w:pPr>
      <w:r>
        <w:rPr>
          <w:i w:val="0"/>
          <w:sz w:val="20"/>
        </w:rPr>
        <w:t>(Source: KidsMates)</w:t>
      </w:r>
    </w:p>
    <w:p w14:paraId="1DEE53F6" w14:textId="77777777" w:rsidR="00DF1912" w:rsidRDefault="00DF1912">
      <w:pPr>
        <w:rPr>
          <w:lang w:eastAsia="zh-CN"/>
        </w:rPr>
      </w:pPr>
    </w:p>
    <w:p w14:paraId="5B17D703" w14:textId="77777777" w:rsidR="00DF1912" w:rsidRDefault="007F4C90">
      <w:pPr>
        <w:rPr>
          <w:b/>
          <w:bCs/>
          <w:sz w:val="32"/>
          <w:szCs w:val="32"/>
          <w:lang w:eastAsia="zh-CN"/>
        </w:rPr>
      </w:pPr>
      <w:r>
        <w:rPr>
          <w:b/>
          <w:bCs/>
          <w:sz w:val="32"/>
          <w:szCs w:val="32"/>
          <w:lang w:eastAsia="zh-CN"/>
        </w:rPr>
        <w:t>Definition of New Terms</w:t>
      </w:r>
    </w:p>
    <w:p w14:paraId="3CA07557" w14:textId="77777777" w:rsidR="00DF1912" w:rsidRDefault="007F4C90">
      <w:pPr>
        <w:rPr>
          <w:lang w:eastAsia="zh-CN"/>
        </w:rPr>
      </w:pPr>
      <w:r>
        <w:rPr>
          <w:lang w:eastAsia="zh-CN"/>
        </w:rPr>
        <w:t xml:space="preserve">Integration in the context of ACEs management refers to the collaboration and coordination of services across many sectors and professions </w:t>
      </w:r>
      <w:proofErr w:type="gramStart"/>
      <w:r>
        <w:rPr>
          <w:lang w:eastAsia="zh-CN"/>
        </w:rPr>
        <w:t>in order to</w:t>
      </w:r>
      <w:proofErr w:type="gramEnd"/>
      <w:r>
        <w:rPr>
          <w:lang w:eastAsia="zh-CN"/>
        </w:rPr>
        <w:t xml:space="preserve"> give complete care to those impacted by ACEs (Kalmakis, and Chandler, 2017).</w:t>
      </w:r>
    </w:p>
    <w:p w14:paraId="72C26FFB" w14:textId="77777777" w:rsidR="00DF1912" w:rsidRDefault="00DF1912">
      <w:pPr>
        <w:rPr>
          <w:lang w:eastAsia="zh-CN"/>
        </w:rPr>
      </w:pPr>
    </w:p>
    <w:p w14:paraId="284EE72C" w14:textId="77777777" w:rsidR="00DF1912" w:rsidRDefault="007F4C90">
      <w:pPr>
        <w:rPr>
          <w:b/>
          <w:bCs/>
          <w:sz w:val="32"/>
          <w:szCs w:val="32"/>
          <w:lang w:eastAsia="zh-CN"/>
        </w:rPr>
      </w:pPr>
      <w:r>
        <w:rPr>
          <w:b/>
          <w:bCs/>
          <w:sz w:val="32"/>
          <w:szCs w:val="32"/>
          <w:lang w:eastAsia="zh-CN"/>
        </w:rPr>
        <w:t>Detailing of Evidence</w:t>
      </w:r>
    </w:p>
    <w:p w14:paraId="7607478A" w14:textId="77777777" w:rsidR="00DF1912" w:rsidRDefault="007F4C90">
      <w:pPr>
        <w:rPr>
          <w:lang w:eastAsia="zh-CN"/>
        </w:rPr>
      </w:pPr>
      <w:r>
        <w:rPr>
          <w:lang w:eastAsia="zh-CN"/>
        </w:rPr>
        <w:lastRenderedPageBreak/>
        <w:t>Several research has found characteristics that lead to successful service integration in ACEs management. Ford-Gilboe et al., (2016) researched on the introduction of a trauma-informed care paradigm in primary care settings. The study discovered that good communication, clear leadership, and a common knowledge of trauma-informed treatment were critical to the model's successful implementation.</w:t>
      </w:r>
    </w:p>
    <w:p w14:paraId="1050810E" w14:textId="77777777" w:rsidR="00DF1912" w:rsidRDefault="007F4C90">
      <w:pPr>
        <w:rPr>
          <w:lang w:eastAsia="zh-CN"/>
        </w:rPr>
      </w:pPr>
      <w:r>
        <w:rPr>
          <w:lang w:eastAsia="zh-CN"/>
        </w:rPr>
        <w:t>Kerker investigated the integration of mental health treatments into primary care for traumatised children (Kerker et al., 2017). The study discovered that collaborations between mental health doctors and primary care physicians, collaborative care planning, and shared electronic health data were critical to the integrated approach's effectiveness.</w:t>
      </w:r>
    </w:p>
    <w:p w14:paraId="7B73BCBD" w14:textId="77777777" w:rsidR="00DF1912" w:rsidRDefault="00DF1912">
      <w:pPr>
        <w:rPr>
          <w:lang w:eastAsia="zh-CN"/>
        </w:rPr>
      </w:pPr>
    </w:p>
    <w:p w14:paraId="221CA9E1" w14:textId="77777777" w:rsidR="00DF1912" w:rsidRDefault="007F4C90">
      <w:pPr>
        <w:rPr>
          <w:b/>
          <w:bCs/>
          <w:sz w:val="32"/>
          <w:szCs w:val="32"/>
          <w:lang w:eastAsia="zh-CN"/>
        </w:rPr>
      </w:pPr>
      <w:r>
        <w:rPr>
          <w:b/>
          <w:bCs/>
          <w:sz w:val="32"/>
          <w:szCs w:val="32"/>
          <w:lang w:eastAsia="zh-CN"/>
        </w:rPr>
        <w:t>Report of Evidence</w:t>
      </w:r>
    </w:p>
    <w:p w14:paraId="40ADE319" w14:textId="77777777" w:rsidR="00DF1912" w:rsidRDefault="007F4C90">
      <w:pPr>
        <w:rPr>
          <w:lang w:eastAsia="zh-CN"/>
        </w:rPr>
      </w:pPr>
      <w:r>
        <w:rPr>
          <w:lang w:eastAsia="zh-CN"/>
        </w:rPr>
        <w:t>Effective communication, common knowledge of trauma-informed care, collaborations between diverse sectors and professions, and collaborative care planning, according to the research, are critical to the successful integration of services in ACEs management. Moreover, integration is influenced by leadership support, organisational structures that facilitate integration, and the availability of resources.</w:t>
      </w:r>
    </w:p>
    <w:p w14:paraId="69EDFF0F" w14:textId="77777777" w:rsidR="00DF1912" w:rsidRDefault="007F4C90">
      <w:pPr>
        <w:rPr>
          <w:lang w:eastAsia="zh-CN"/>
        </w:rPr>
      </w:pPr>
      <w:r>
        <w:rPr>
          <w:lang w:eastAsia="zh-CN"/>
        </w:rPr>
        <w:t>While discussing empirical research, it is vital to highlight that both studies collected data using qualitative research methods such as interviews and focus groups. The research’s major conclusions were based on data analysis, which underlined the necessity of good communication, common understanding, and partnerships in the successful integration of services (Merrill, Hanson, and O’Brien, 2016).</w:t>
      </w:r>
    </w:p>
    <w:p w14:paraId="6A5EDF81" w14:textId="77777777" w:rsidR="00DF1912" w:rsidRDefault="00DF1912">
      <w:pPr>
        <w:rPr>
          <w:lang w:eastAsia="zh-CN"/>
        </w:rPr>
      </w:pPr>
    </w:p>
    <w:p w14:paraId="54B137C5" w14:textId="77777777" w:rsidR="00DF1912" w:rsidRDefault="007F4C90">
      <w:pPr>
        <w:rPr>
          <w:b/>
          <w:bCs/>
          <w:sz w:val="32"/>
          <w:szCs w:val="32"/>
          <w:lang w:eastAsia="zh-CN"/>
        </w:rPr>
      </w:pPr>
      <w:r>
        <w:rPr>
          <w:b/>
          <w:bCs/>
          <w:sz w:val="32"/>
          <w:szCs w:val="32"/>
          <w:lang w:eastAsia="zh-CN"/>
        </w:rPr>
        <w:t>Comparison/Contrast of Evidence</w:t>
      </w:r>
    </w:p>
    <w:p w14:paraId="2DB56D97" w14:textId="77777777" w:rsidR="00DF1912" w:rsidRDefault="007F4C90">
      <w:pPr>
        <w:rPr>
          <w:lang w:eastAsia="zh-CN"/>
        </w:rPr>
      </w:pPr>
      <w:r>
        <w:rPr>
          <w:lang w:eastAsia="zh-CN"/>
        </w:rPr>
        <w:t>While the studies differed in their focus, they both emphasised the significance of communication, cooperation, and partnerships in successful service integration. The research also revealed that resource availability and leadership support were major factors of integration. The research, however, did not give extensive information on how to overcome integration challenges such as competing agendas, organisational structures that do not encourage integration, and a lack of resources.</w:t>
      </w:r>
    </w:p>
    <w:p w14:paraId="2439F859" w14:textId="77777777" w:rsidR="00DF1912" w:rsidRDefault="00DF1912">
      <w:pPr>
        <w:rPr>
          <w:lang w:eastAsia="zh-CN"/>
        </w:rPr>
      </w:pPr>
    </w:p>
    <w:p w14:paraId="5EF9348A" w14:textId="77777777" w:rsidR="00DF1912" w:rsidRDefault="007F4C90">
      <w:pPr>
        <w:rPr>
          <w:b/>
          <w:bCs/>
          <w:sz w:val="32"/>
          <w:szCs w:val="32"/>
          <w:lang w:eastAsia="zh-CN"/>
        </w:rPr>
      </w:pPr>
      <w:r>
        <w:rPr>
          <w:b/>
          <w:bCs/>
          <w:sz w:val="32"/>
          <w:szCs w:val="32"/>
          <w:lang w:eastAsia="zh-CN"/>
        </w:rPr>
        <w:t>Analysis/Synthesis</w:t>
      </w:r>
    </w:p>
    <w:p w14:paraId="1961738B" w14:textId="77777777" w:rsidR="00DF1912" w:rsidRDefault="007F4C90">
      <w:pPr>
        <w:rPr>
          <w:lang w:eastAsia="zh-CN"/>
        </w:rPr>
      </w:pPr>
      <w:r>
        <w:rPr>
          <w:lang w:eastAsia="zh-CN"/>
        </w:rPr>
        <w:lastRenderedPageBreak/>
        <w:t>According to the research, integration is critical in the management of ACEs and necessitates good communication, common knowledge, and collaboration between diverse sectors and professions. To overcome integration challenges, clear leadership, organisational structures that favour integration, and the allocation of resources to support integrated methods are required. A common vision, cooperative care planning, and the availability of resources to facilitate cooperation and coordination are all required for successful service integration.</w:t>
      </w:r>
    </w:p>
    <w:p w14:paraId="4A9A5411" w14:textId="77777777" w:rsidR="00DF1912" w:rsidRDefault="00DF1912">
      <w:pPr>
        <w:rPr>
          <w:lang w:eastAsia="zh-CN"/>
        </w:rPr>
      </w:pPr>
    </w:p>
    <w:p w14:paraId="1D97EF56" w14:textId="77777777" w:rsidR="00DF1912" w:rsidRDefault="007F4C90">
      <w:pPr>
        <w:rPr>
          <w:b/>
          <w:bCs/>
          <w:sz w:val="32"/>
          <w:szCs w:val="32"/>
          <w:lang w:eastAsia="zh-CN"/>
        </w:rPr>
      </w:pPr>
      <w:r>
        <w:rPr>
          <w:b/>
          <w:bCs/>
          <w:sz w:val="32"/>
          <w:szCs w:val="32"/>
          <w:lang w:eastAsia="zh-CN"/>
        </w:rPr>
        <w:t>Sum Up Section</w:t>
      </w:r>
    </w:p>
    <w:p w14:paraId="68C583F1" w14:textId="77777777" w:rsidR="00DF1912" w:rsidRDefault="007F4C90">
      <w:pPr>
        <w:rPr>
          <w:lang w:eastAsia="zh-CN"/>
        </w:rPr>
      </w:pPr>
      <w:r>
        <w:rPr>
          <w:lang w:eastAsia="zh-CN"/>
        </w:rPr>
        <w:t>Finally, the research reveals that integration is critical in the management of ACEs and necessitates efficient communication, common knowledge, and collaboration among various sectors and professions. While the studies shed light on the factors that influence integration, further study is needed to develop ways for overcoming integration hurdles in ACEs management.</w:t>
      </w:r>
    </w:p>
    <w:p w14:paraId="7C639C40" w14:textId="77777777" w:rsidR="00DF1912" w:rsidRDefault="00DF1912">
      <w:pPr>
        <w:rPr>
          <w:lang w:eastAsia="zh-CN"/>
        </w:rPr>
      </w:pPr>
    </w:p>
    <w:p w14:paraId="146E2C14" w14:textId="77777777" w:rsidR="00DF1912" w:rsidRDefault="00DF1912">
      <w:pPr>
        <w:rPr>
          <w:lang w:eastAsia="zh-CN"/>
        </w:rPr>
      </w:pPr>
    </w:p>
    <w:p w14:paraId="619DB33C" w14:textId="77777777" w:rsidR="00DF1912" w:rsidRDefault="00DF1912">
      <w:pPr>
        <w:rPr>
          <w:lang w:eastAsia="zh-CN"/>
        </w:rPr>
      </w:pPr>
    </w:p>
    <w:p w14:paraId="79F1F8EF" w14:textId="77777777" w:rsidR="00DF1912" w:rsidRDefault="00DF1912">
      <w:pPr>
        <w:rPr>
          <w:lang w:eastAsia="zh-CN"/>
        </w:rPr>
      </w:pPr>
    </w:p>
    <w:p w14:paraId="52E7D77E" w14:textId="77777777" w:rsidR="00DF1912" w:rsidRDefault="00DF1912">
      <w:pPr>
        <w:rPr>
          <w:lang w:eastAsia="zh-CN"/>
        </w:rPr>
      </w:pPr>
    </w:p>
    <w:p w14:paraId="2342E18E" w14:textId="77777777" w:rsidR="00DF1912" w:rsidRDefault="00DF1912">
      <w:pPr>
        <w:rPr>
          <w:lang w:eastAsia="zh-CN"/>
        </w:rPr>
      </w:pPr>
    </w:p>
    <w:p w14:paraId="57D3C3D3" w14:textId="77777777" w:rsidR="00DF1912" w:rsidRDefault="00DF1912">
      <w:pPr>
        <w:rPr>
          <w:lang w:eastAsia="zh-CN"/>
        </w:rPr>
      </w:pPr>
    </w:p>
    <w:p w14:paraId="720C5B2D" w14:textId="77777777" w:rsidR="00DF1912" w:rsidRDefault="00DF1912">
      <w:pPr>
        <w:rPr>
          <w:lang w:eastAsia="zh-CN"/>
        </w:rPr>
      </w:pPr>
    </w:p>
    <w:p w14:paraId="5F12D245" w14:textId="77777777" w:rsidR="00DF1912" w:rsidRDefault="00DF1912">
      <w:pPr>
        <w:rPr>
          <w:lang w:eastAsia="zh-CN"/>
        </w:rPr>
      </w:pPr>
    </w:p>
    <w:p w14:paraId="701983E5" w14:textId="77777777" w:rsidR="00DF1912" w:rsidRDefault="00DF1912">
      <w:pPr>
        <w:rPr>
          <w:lang w:eastAsia="zh-CN"/>
        </w:rPr>
      </w:pPr>
    </w:p>
    <w:p w14:paraId="1DE5D870" w14:textId="77777777" w:rsidR="00DF1912" w:rsidRDefault="00DF1912">
      <w:pPr>
        <w:rPr>
          <w:lang w:eastAsia="zh-CN"/>
        </w:rPr>
      </w:pPr>
    </w:p>
    <w:p w14:paraId="15ACF810" w14:textId="77777777" w:rsidR="00DF1912" w:rsidRDefault="00DF1912">
      <w:pPr>
        <w:rPr>
          <w:lang w:eastAsia="zh-CN"/>
        </w:rPr>
      </w:pPr>
    </w:p>
    <w:p w14:paraId="27B53A35" w14:textId="77777777" w:rsidR="00DF1912" w:rsidRDefault="00DF1912">
      <w:pPr>
        <w:rPr>
          <w:lang w:eastAsia="zh-CN"/>
        </w:rPr>
      </w:pPr>
    </w:p>
    <w:p w14:paraId="6E86C62A" w14:textId="77777777" w:rsidR="00DF1912" w:rsidRDefault="00DF1912">
      <w:pPr>
        <w:rPr>
          <w:lang w:eastAsia="zh-CN"/>
        </w:rPr>
      </w:pPr>
    </w:p>
    <w:p w14:paraId="436D1AF7" w14:textId="77777777" w:rsidR="00DF1912" w:rsidRDefault="00DF1912">
      <w:pPr>
        <w:rPr>
          <w:lang w:eastAsia="zh-CN"/>
        </w:rPr>
      </w:pPr>
    </w:p>
    <w:p w14:paraId="4BB04A2D" w14:textId="77777777" w:rsidR="00DF1912" w:rsidRDefault="007F4C90">
      <w:pPr>
        <w:pStyle w:val="Heading1"/>
        <w:rPr>
          <w:lang w:eastAsia="zh-CN"/>
        </w:rPr>
      </w:pPr>
      <w:bookmarkStart w:id="8" w:name="_Toc130309710"/>
      <w:r>
        <w:rPr>
          <w:lang w:eastAsia="zh-CN"/>
        </w:rPr>
        <w:lastRenderedPageBreak/>
        <w:t>The impact of integration</w:t>
      </w:r>
      <w:bookmarkEnd w:id="8"/>
    </w:p>
    <w:p w14:paraId="451A6F06" w14:textId="77777777" w:rsidR="00DF1912" w:rsidRDefault="007F4C90">
      <w:pPr>
        <w:rPr>
          <w:lang w:eastAsia="zh-CN"/>
        </w:rPr>
      </w:pPr>
      <w:r>
        <w:rPr>
          <w:lang w:eastAsia="zh-CN"/>
        </w:rPr>
        <w:t>Integration of services has been viewed as a viable strategy for improving health outcomes, particularly for people suffering from ACEs. This section will investigate the influence of integration on health outcomes as well as potential barriers to successful integration.</w:t>
      </w:r>
    </w:p>
    <w:p w14:paraId="22220862" w14:textId="77777777" w:rsidR="00DF1912" w:rsidRDefault="00DF1912">
      <w:pPr>
        <w:rPr>
          <w:lang w:eastAsia="zh-CN"/>
        </w:rPr>
      </w:pPr>
    </w:p>
    <w:p w14:paraId="0EA84ADB" w14:textId="77777777" w:rsidR="00DF1912" w:rsidRDefault="007F4C90">
      <w:pPr>
        <w:rPr>
          <w:b/>
          <w:bCs/>
          <w:lang w:eastAsia="zh-CN"/>
        </w:rPr>
      </w:pPr>
      <w:r>
        <w:rPr>
          <w:b/>
          <w:bCs/>
          <w:sz w:val="32"/>
          <w:szCs w:val="32"/>
          <w:lang w:eastAsia="zh-CN"/>
        </w:rPr>
        <w:t>Background</w:t>
      </w:r>
    </w:p>
    <w:p w14:paraId="694C7053" w14:textId="77777777" w:rsidR="00DF1912" w:rsidRDefault="007F4C90">
      <w:pPr>
        <w:rPr>
          <w:lang w:eastAsia="zh-CN"/>
        </w:rPr>
      </w:pPr>
      <w:r>
        <w:rPr>
          <w:lang w:eastAsia="zh-CN"/>
        </w:rPr>
        <w:t>The "systematic coordination of general and behavioural health care" (Unützer, 2012) has been termed as service integration. Individuals with ACEs are expected to require a wide range of services and support, therefore integration is thought to be especially crucial. According to research, integrated care can enhance mental and physical health outcomes, particularly for those with complex health needs (Murphey, and Barry, 2016).</w:t>
      </w:r>
    </w:p>
    <w:p w14:paraId="347E05E8" w14:textId="77777777" w:rsidR="00DF1912" w:rsidRDefault="007F4C90">
      <w:pPr>
        <w:rPr>
          <w:lang w:eastAsia="zh-CN"/>
        </w:rPr>
      </w:pPr>
      <w:r>
        <w:rPr>
          <w:lang w:eastAsia="zh-CN"/>
        </w:rPr>
        <w:t>Integration of services for those who have had Adverse Childhood Experiences (ACEs) is being more acknowledged as an important part of healthcare. Those with ACEs have a higher chance of acquiring chronic health diseases and mental health concerns, necessitating a holistic approach to their care, according to research. Integrated care approaches have been shown to enhance patient outcomes by meeting patients' physical and mental health requirements, minimising the burden of comorbidities, and enhancing the quality of life. Moreover, integrated care techniques have been shown to increase patient satisfaction while decreasing healthcare costs, making them a feasible choice for healthcare systems. Integration of services between general and behavioural healthcare, as well as healthcare and social services, is becoming a more common way to manage the complicated health requirements of people with ACEs. The sections that follow will delve deeper into the factors that influence service integration for people with ACEs</w:t>
      </w:r>
      <w:r>
        <w:rPr>
          <w:lang w:val="en-IN" w:eastAsia="zh-CN"/>
        </w:rPr>
        <w:t xml:space="preserve"> (</w:t>
      </w:r>
      <w:r>
        <w:rPr>
          <w:lang w:val="en-US" w:eastAsia="zh-CN"/>
        </w:rPr>
        <w:t>Bell, and Waters, 2018</w:t>
      </w:r>
      <w:r>
        <w:rPr>
          <w:lang w:val="en-IN" w:eastAsia="zh-CN"/>
        </w:rPr>
        <w:t>)</w:t>
      </w:r>
      <w:r>
        <w:rPr>
          <w:lang w:eastAsia="zh-CN"/>
        </w:rPr>
        <w:t>.</w:t>
      </w:r>
    </w:p>
    <w:p w14:paraId="61B56261" w14:textId="77777777" w:rsidR="00DF1912" w:rsidRDefault="00DF1912">
      <w:pPr>
        <w:rPr>
          <w:lang w:eastAsia="zh-CN"/>
        </w:rPr>
      </w:pPr>
    </w:p>
    <w:p w14:paraId="068C1FEC" w14:textId="77777777" w:rsidR="00DF1912" w:rsidRDefault="007F4C90">
      <w:pPr>
        <w:rPr>
          <w:b/>
          <w:bCs/>
          <w:sz w:val="32"/>
          <w:szCs w:val="32"/>
          <w:lang w:eastAsia="zh-CN"/>
        </w:rPr>
      </w:pPr>
      <w:r>
        <w:rPr>
          <w:b/>
          <w:bCs/>
          <w:sz w:val="32"/>
          <w:szCs w:val="32"/>
          <w:lang w:eastAsia="zh-CN"/>
        </w:rPr>
        <w:t>Evidence</w:t>
      </w:r>
    </w:p>
    <w:p w14:paraId="48B15DCD" w14:textId="77777777" w:rsidR="00DF1912" w:rsidRDefault="007F4C90">
      <w:pPr>
        <w:rPr>
          <w:lang w:eastAsia="zh-CN"/>
        </w:rPr>
      </w:pPr>
      <w:r>
        <w:rPr>
          <w:lang w:eastAsia="zh-CN"/>
        </w:rPr>
        <w:t>An increasing body of empirical data supports the use of integrated care for people with ACEs. (Piotrowski, Storfer-Isser, and Saldana, 2016), for example, discovered that integrated treatment resulted in significant improvements in mental health outcomes for children with ACEs. Similarly, (Schilling, Goosby, and Su, 2017) discovered that integrated care was related to better physical health outcomes in persons with ACEs.</w:t>
      </w:r>
    </w:p>
    <w:p w14:paraId="57685CBC" w14:textId="77777777" w:rsidR="00DF1912" w:rsidRDefault="007F4C90">
      <w:pPr>
        <w:rPr>
          <w:lang w:eastAsia="zh-CN"/>
        </w:rPr>
      </w:pPr>
      <w:r>
        <w:rPr>
          <w:lang w:eastAsia="zh-CN"/>
        </w:rPr>
        <w:lastRenderedPageBreak/>
        <w:t>Notwithstanding the encouraging findings, there are obstacles to successful integration. One key difficulty is service fragmentation, which can impede communication and coordination across providers (Trickett et al., 2016). Another problem is the lack of standardisation in integrated care models, which makes replicating successful programmes in diverse locations challenging (Hillis et al., 2016).</w:t>
      </w:r>
    </w:p>
    <w:p w14:paraId="59BA7B47" w14:textId="77777777" w:rsidR="00DF1912" w:rsidRDefault="00DF1912">
      <w:pPr>
        <w:rPr>
          <w:lang w:eastAsia="zh-CN"/>
        </w:rPr>
      </w:pPr>
    </w:p>
    <w:p w14:paraId="62182A9B" w14:textId="77777777" w:rsidR="00DF1912" w:rsidRDefault="007F4C90">
      <w:pPr>
        <w:rPr>
          <w:b/>
          <w:bCs/>
          <w:sz w:val="32"/>
          <w:szCs w:val="32"/>
          <w:lang w:eastAsia="zh-CN"/>
        </w:rPr>
      </w:pPr>
      <w:r>
        <w:rPr>
          <w:b/>
          <w:bCs/>
          <w:sz w:val="32"/>
          <w:szCs w:val="32"/>
          <w:lang w:eastAsia="zh-CN"/>
        </w:rPr>
        <w:t>Analysis/synthesis</w:t>
      </w:r>
    </w:p>
    <w:p w14:paraId="54277804" w14:textId="77777777" w:rsidR="00DF1912" w:rsidRDefault="007F4C90">
      <w:pPr>
        <w:rPr>
          <w:lang w:eastAsia="zh-CN"/>
        </w:rPr>
      </w:pPr>
      <w:r>
        <w:rPr>
          <w:lang w:eastAsia="zh-CN"/>
        </w:rPr>
        <w:t xml:space="preserve">The research demonstrates that integrated care can improve health outcomes for people who have had an ACE. Yet, problems must be overcome </w:t>
      </w:r>
      <w:proofErr w:type="gramStart"/>
      <w:r>
        <w:rPr>
          <w:lang w:eastAsia="zh-CN"/>
        </w:rPr>
        <w:t>in order to</w:t>
      </w:r>
      <w:proofErr w:type="gramEnd"/>
      <w:r>
        <w:rPr>
          <w:lang w:eastAsia="zh-CN"/>
        </w:rPr>
        <w:t xml:space="preserve"> successfully adopt integrated care models. Service fragmentation and a lack of standardisation are important impediments to successful integration, and resolving these challenges will be critical for improving health outcomes for people with ACEs.</w:t>
      </w:r>
    </w:p>
    <w:p w14:paraId="09340706" w14:textId="77777777" w:rsidR="00DF1912" w:rsidRDefault="007F4C90">
      <w:pPr>
        <w:rPr>
          <w:lang w:eastAsia="zh-CN"/>
        </w:rPr>
      </w:pPr>
      <w:r>
        <w:rPr>
          <w:lang w:eastAsia="zh-CN"/>
        </w:rPr>
        <w:t>Finally, this part looked at the effect of integration on health outcomes for people with ACEs. The data shows that integrated care can enhance both mental and physical health outcomes, but there are also barriers that must be addressed before integrated care models can be successfully implemented. Resolving these issues is critical for improving health outcomes and lowering the long-term burden of ACEs.</w:t>
      </w:r>
    </w:p>
    <w:p w14:paraId="2BFE354B" w14:textId="77777777" w:rsidR="00DF1912" w:rsidRDefault="00DF1912">
      <w:pPr>
        <w:rPr>
          <w:lang w:eastAsia="zh-CN"/>
        </w:rPr>
      </w:pPr>
    </w:p>
    <w:p w14:paraId="524F35FE" w14:textId="77777777" w:rsidR="00DF1912" w:rsidRDefault="00DF1912">
      <w:pPr>
        <w:rPr>
          <w:lang w:eastAsia="zh-CN"/>
        </w:rPr>
      </w:pPr>
    </w:p>
    <w:p w14:paraId="43D73082" w14:textId="77777777" w:rsidR="00DF1912" w:rsidRDefault="00DF1912">
      <w:pPr>
        <w:rPr>
          <w:lang w:eastAsia="zh-CN"/>
        </w:rPr>
      </w:pPr>
    </w:p>
    <w:p w14:paraId="316CBFE6" w14:textId="77777777" w:rsidR="00DF1912" w:rsidRDefault="00DF1912">
      <w:pPr>
        <w:rPr>
          <w:lang w:eastAsia="zh-CN"/>
        </w:rPr>
      </w:pPr>
    </w:p>
    <w:p w14:paraId="340A97C6" w14:textId="77777777" w:rsidR="00DF1912" w:rsidRDefault="00DF1912">
      <w:pPr>
        <w:rPr>
          <w:lang w:eastAsia="zh-CN"/>
        </w:rPr>
      </w:pPr>
    </w:p>
    <w:p w14:paraId="156D49C5" w14:textId="77777777" w:rsidR="00DF1912" w:rsidRDefault="00DF1912">
      <w:pPr>
        <w:rPr>
          <w:lang w:eastAsia="zh-CN"/>
        </w:rPr>
      </w:pPr>
    </w:p>
    <w:p w14:paraId="1CB3BEF2" w14:textId="77777777" w:rsidR="00DF1912" w:rsidRDefault="00DF1912">
      <w:pPr>
        <w:rPr>
          <w:lang w:eastAsia="zh-CN"/>
        </w:rPr>
      </w:pPr>
    </w:p>
    <w:p w14:paraId="36B0FC1E" w14:textId="77777777" w:rsidR="00DF1912" w:rsidRDefault="00DF1912">
      <w:pPr>
        <w:rPr>
          <w:lang w:eastAsia="zh-CN"/>
        </w:rPr>
      </w:pPr>
    </w:p>
    <w:p w14:paraId="3EC4D933" w14:textId="77777777" w:rsidR="00DF1912" w:rsidRDefault="00DF1912">
      <w:pPr>
        <w:rPr>
          <w:lang w:eastAsia="zh-CN"/>
        </w:rPr>
      </w:pPr>
    </w:p>
    <w:p w14:paraId="20CD4C40" w14:textId="77777777" w:rsidR="00DF1912" w:rsidRDefault="00DF1912">
      <w:pPr>
        <w:rPr>
          <w:lang w:eastAsia="zh-CN"/>
        </w:rPr>
      </w:pPr>
    </w:p>
    <w:p w14:paraId="7EF2FB1A" w14:textId="77777777" w:rsidR="00DF1912" w:rsidRDefault="00DF1912">
      <w:pPr>
        <w:rPr>
          <w:lang w:eastAsia="zh-CN"/>
        </w:rPr>
      </w:pPr>
    </w:p>
    <w:p w14:paraId="4A981C11" w14:textId="77777777" w:rsidR="00DF1912" w:rsidRDefault="00DF1912">
      <w:pPr>
        <w:rPr>
          <w:lang w:eastAsia="zh-CN"/>
        </w:rPr>
      </w:pPr>
    </w:p>
    <w:p w14:paraId="48798953" w14:textId="77777777" w:rsidR="00DF1912" w:rsidRDefault="00DF1912">
      <w:pPr>
        <w:rPr>
          <w:lang w:eastAsia="zh-CN"/>
        </w:rPr>
      </w:pPr>
    </w:p>
    <w:p w14:paraId="79960420" w14:textId="77777777" w:rsidR="00DF1912" w:rsidRDefault="00DF1912">
      <w:pPr>
        <w:rPr>
          <w:lang w:eastAsia="zh-CN"/>
        </w:rPr>
      </w:pPr>
    </w:p>
    <w:p w14:paraId="0B292AB3" w14:textId="77777777" w:rsidR="00DF1912" w:rsidRDefault="00DF1912">
      <w:pPr>
        <w:rPr>
          <w:lang w:eastAsia="zh-CN"/>
        </w:rPr>
      </w:pPr>
    </w:p>
    <w:p w14:paraId="4557DE3B" w14:textId="77777777" w:rsidR="00DF1912" w:rsidRDefault="007F4C90">
      <w:pPr>
        <w:pStyle w:val="Heading1"/>
        <w:rPr>
          <w:lang w:eastAsia="zh-CN"/>
        </w:rPr>
      </w:pPr>
      <w:bookmarkStart w:id="9" w:name="_Toc130309711"/>
      <w:r>
        <w:rPr>
          <w:lang w:eastAsia="zh-CN"/>
        </w:rPr>
        <w:lastRenderedPageBreak/>
        <w:t>Conclusion and Recommendation</w:t>
      </w:r>
      <w:bookmarkEnd w:id="9"/>
    </w:p>
    <w:p w14:paraId="56F56908" w14:textId="77777777" w:rsidR="00DF1912" w:rsidRDefault="007F4C90">
      <w:pPr>
        <w:rPr>
          <w:lang w:eastAsia="zh-CN"/>
        </w:rPr>
      </w:pPr>
      <w:r>
        <w:rPr>
          <w:lang w:eastAsia="zh-CN"/>
        </w:rPr>
        <w:t xml:space="preserve">The purpose of this report was to explore the influence of ACEs on individuals, families, and communities. ACEs are traumatic or stressful events that occur before the age of 18, such as physical, sexual, or emotional abuse, neglect, or home dysfunction. Through an examination of relevant literature, this report identified that ACEs are linked to poor mental and physical health outcomes and increased risk of chronic diseases, mental health issues, and drug dependence. Furthermore, this report explored the importance of research in nursing, evidence-based practice, and research literacy. Nurses need to be research literate to deliver high-quality treatment based on the most recent and relevant research results. The report examined the challenges and facilitators of integrated working in chronic disease management. Effective communication, shared decision-making, and collaborative care planning were identified as part of communication and coordination, while the formation of defined roles and duties, agreed goals and leadership support were components of organisational structures. Ethical concerns were also highlighted to ensure that nursing research is performed responsibly and ethically. In conclusion, it is clear that ACEs have a significant impact on physical, emotional, and social well-being. Therefore, policies and practices need to be developed to address this issue. </w:t>
      </w:r>
    </w:p>
    <w:p w14:paraId="1FCB2B74" w14:textId="77777777" w:rsidR="00DF1912" w:rsidRDefault="00DF1912">
      <w:pPr>
        <w:rPr>
          <w:lang w:eastAsia="zh-CN"/>
        </w:rPr>
      </w:pPr>
    </w:p>
    <w:p w14:paraId="504EC8EC" w14:textId="77777777" w:rsidR="00DF1912" w:rsidRDefault="007F4C90">
      <w:pPr>
        <w:rPr>
          <w:lang w:eastAsia="zh-CN"/>
        </w:rPr>
      </w:pPr>
      <w:r>
        <w:rPr>
          <w:lang w:eastAsia="zh-CN"/>
        </w:rPr>
        <w:t>The recommendations below are intended to address some of the identified issues:</w:t>
      </w:r>
    </w:p>
    <w:p w14:paraId="797EE005" w14:textId="77777777" w:rsidR="00DF1912" w:rsidRDefault="007F4C90">
      <w:pPr>
        <w:rPr>
          <w:lang w:eastAsia="zh-CN"/>
        </w:rPr>
      </w:pPr>
      <w:r>
        <w:rPr>
          <w:b/>
          <w:bCs/>
          <w:lang w:eastAsia="zh-CN"/>
        </w:rPr>
        <w:t>Policy:</w:t>
      </w:r>
      <w:r>
        <w:rPr>
          <w:lang w:eastAsia="zh-CN"/>
        </w:rPr>
        <w:t xml:space="preserve"> Develop policies that support trauma-informed care and comprehensive approaches to ACEs management.</w:t>
      </w:r>
    </w:p>
    <w:p w14:paraId="13651B4D" w14:textId="77777777" w:rsidR="00DF1912" w:rsidRDefault="007F4C90">
      <w:pPr>
        <w:rPr>
          <w:lang w:eastAsia="zh-CN"/>
        </w:rPr>
      </w:pPr>
      <w:r>
        <w:rPr>
          <w:b/>
          <w:bCs/>
          <w:lang w:eastAsia="zh-CN"/>
        </w:rPr>
        <w:t>Front-line practice:</w:t>
      </w:r>
      <w:r>
        <w:rPr>
          <w:lang w:eastAsia="zh-CN"/>
        </w:rPr>
        <w:t xml:space="preserve"> Implement screening tools to identify ACEs, offer appropriate referrals and treatments to those affected by ACEs, and foster integrated working practices.</w:t>
      </w:r>
    </w:p>
    <w:p w14:paraId="28D519A3" w14:textId="77777777" w:rsidR="00DF1912" w:rsidRDefault="007F4C90">
      <w:pPr>
        <w:rPr>
          <w:lang w:eastAsia="zh-CN"/>
        </w:rPr>
      </w:pPr>
      <w:r>
        <w:rPr>
          <w:b/>
          <w:bCs/>
          <w:lang w:eastAsia="zh-CN"/>
        </w:rPr>
        <w:t>Education:</w:t>
      </w:r>
      <w:r>
        <w:rPr>
          <w:lang w:eastAsia="zh-CN"/>
        </w:rPr>
        <w:t xml:space="preserve"> Train healthcare professionals, including nurses, to deliver trauma-informed care and promote integrated working practices.</w:t>
      </w:r>
    </w:p>
    <w:p w14:paraId="124552B1" w14:textId="77777777" w:rsidR="00DF1912" w:rsidRDefault="007F4C90">
      <w:pPr>
        <w:rPr>
          <w:lang w:eastAsia="zh-CN"/>
        </w:rPr>
      </w:pPr>
      <w:r>
        <w:rPr>
          <w:b/>
          <w:bCs/>
          <w:lang w:eastAsia="zh-CN"/>
        </w:rPr>
        <w:t xml:space="preserve">Future research: </w:t>
      </w:r>
      <w:r>
        <w:rPr>
          <w:lang w:eastAsia="zh-CN"/>
        </w:rPr>
        <w:t>Conduct further research to develop effective interventions and evaluate the outcomes of integrated working practices and trauma-informed care.</w:t>
      </w:r>
    </w:p>
    <w:p w14:paraId="088206ED" w14:textId="77777777" w:rsidR="00DF1912" w:rsidRDefault="007F4C90">
      <w:pPr>
        <w:rPr>
          <w:lang w:eastAsia="zh-CN"/>
        </w:rPr>
      </w:pPr>
      <w:r>
        <w:rPr>
          <w:lang w:eastAsia="zh-CN"/>
        </w:rPr>
        <w:t>Overall, it is essential to promote a comprehensive approach to ACEs management to mitigate the negative consequences of ACEs on individuals, families, and communities. By working collaboratively across various sectors and professions, we can offer better care to those affected by ACEs and support them in their journey towards improved physical and mental health.</w:t>
      </w:r>
    </w:p>
    <w:p w14:paraId="7F507588" w14:textId="77777777" w:rsidR="00DF1912" w:rsidRDefault="007F4C90">
      <w:pPr>
        <w:pStyle w:val="Heading1"/>
        <w:rPr>
          <w:lang w:eastAsia="zh-CN"/>
        </w:rPr>
      </w:pPr>
      <w:bookmarkStart w:id="10" w:name="_Toc130309712"/>
      <w:r>
        <w:rPr>
          <w:lang w:eastAsia="zh-CN"/>
        </w:rPr>
        <w:lastRenderedPageBreak/>
        <w:t>References</w:t>
      </w:r>
      <w:bookmarkEnd w:id="10"/>
    </w:p>
    <w:p w14:paraId="4CB9CE87" w14:textId="77777777" w:rsidR="007E4AE6" w:rsidRDefault="007E4AE6">
      <w:pPr>
        <w:numPr>
          <w:ilvl w:val="0"/>
          <w:numId w:val="2"/>
        </w:numPr>
        <w:rPr>
          <w:lang w:eastAsia="zh-CN"/>
        </w:rPr>
      </w:pPr>
      <w:r>
        <w:rPr>
          <w:lang w:eastAsia="zh-CN"/>
        </w:rPr>
        <w:t xml:space="preserve">Anda, R. F., Felitti, V. J., Bremner, J. D., Walker, J. D., Whitfield, C., Perry, B. D., and Giles, W. H. (2016). The enduring effects of abuse and related adverse experiences in childhood: A convergence of evidence from neurobiology and epidemiology. </w:t>
      </w:r>
      <w:r>
        <w:rPr>
          <w:i/>
          <w:iCs/>
          <w:lang w:eastAsia="zh-CN"/>
        </w:rPr>
        <w:t>European archives of psychiatry and clinical neuroscience, 266</w:t>
      </w:r>
      <w:r>
        <w:rPr>
          <w:lang w:eastAsia="zh-CN"/>
        </w:rPr>
        <w:t>(3), 195-201.</w:t>
      </w:r>
    </w:p>
    <w:p w14:paraId="0F34EF15" w14:textId="77777777" w:rsidR="007E4AE6" w:rsidRDefault="007E4AE6">
      <w:pPr>
        <w:numPr>
          <w:ilvl w:val="0"/>
          <w:numId w:val="2"/>
        </w:numPr>
        <w:rPr>
          <w:lang w:val="en-US" w:eastAsia="zh-CN"/>
        </w:rPr>
      </w:pPr>
      <w:r>
        <w:rPr>
          <w:lang w:val="en-US" w:eastAsia="zh-CN"/>
        </w:rPr>
        <w:t xml:space="preserve">Aveyard, H.  (2019). </w:t>
      </w:r>
      <w:r>
        <w:rPr>
          <w:i/>
          <w:iCs/>
          <w:lang w:val="en-US" w:eastAsia="zh-CN"/>
        </w:rPr>
        <w:t xml:space="preserve"> Doing a literature review in health and social care: a practical guide. </w:t>
      </w:r>
      <w:r>
        <w:rPr>
          <w:lang w:val="en-US" w:eastAsia="zh-CN"/>
        </w:rPr>
        <w:t xml:space="preserve">(4th edn.).  London: Open University Press/McGraw-Hill Education. </w:t>
      </w:r>
    </w:p>
    <w:p w14:paraId="7CC4AA87" w14:textId="77777777" w:rsidR="007E4AE6" w:rsidRDefault="007E4AE6">
      <w:pPr>
        <w:numPr>
          <w:ilvl w:val="0"/>
          <w:numId w:val="2"/>
        </w:numPr>
        <w:rPr>
          <w:lang w:val="en-US" w:eastAsia="zh-CN"/>
        </w:rPr>
      </w:pPr>
      <w:r>
        <w:rPr>
          <w:lang w:val="en-US" w:eastAsia="zh-CN"/>
        </w:rPr>
        <w:t xml:space="preserve">Aveyard, H. and Sharp, P.  (2017).  </w:t>
      </w:r>
      <w:r>
        <w:rPr>
          <w:i/>
          <w:iCs/>
          <w:lang w:val="en-US" w:eastAsia="zh-CN"/>
        </w:rPr>
        <w:t>A Beginner’s Guide to Evidence-based Practice in Health and Social Care.</w:t>
      </w:r>
      <w:r>
        <w:rPr>
          <w:lang w:val="en-US" w:eastAsia="zh-CN"/>
        </w:rPr>
        <w:t xml:space="preserve">  (3rd edn.). London: Open University Press/McGraw-Hill Education.</w:t>
      </w:r>
    </w:p>
    <w:p w14:paraId="1FCEFC33" w14:textId="77777777" w:rsidR="007E4AE6" w:rsidRDefault="007E4AE6">
      <w:pPr>
        <w:numPr>
          <w:ilvl w:val="0"/>
          <w:numId w:val="2"/>
        </w:numPr>
        <w:rPr>
          <w:lang w:val="en-US" w:eastAsia="zh-CN"/>
        </w:rPr>
      </w:pPr>
      <w:r>
        <w:rPr>
          <w:lang w:val="en-US" w:eastAsia="zh-CN"/>
        </w:rPr>
        <w:t xml:space="preserve">Beauchamp, T.L. and Childress, J.F.  (2019).  </w:t>
      </w:r>
      <w:r>
        <w:rPr>
          <w:i/>
          <w:iCs/>
          <w:lang w:val="en-US" w:eastAsia="zh-CN"/>
        </w:rPr>
        <w:t xml:space="preserve">Principles of Biomedical Ethics. </w:t>
      </w:r>
      <w:r>
        <w:rPr>
          <w:lang w:val="en-US" w:eastAsia="zh-CN"/>
        </w:rPr>
        <w:t xml:space="preserve"> (8th edn.).  Oxford: Oxford University Press.  </w:t>
      </w:r>
    </w:p>
    <w:p w14:paraId="62ADED71" w14:textId="77777777" w:rsidR="007E4AE6" w:rsidRDefault="007E4AE6">
      <w:pPr>
        <w:numPr>
          <w:ilvl w:val="0"/>
          <w:numId w:val="2"/>
        </w:numPr>
        <w:rPr>
          <w:lang w:eastAsia="zh-CN"/>
        </w:rPr>
      </w:pPr>
      <w:r>
        <w:rPr>
          <w:lang w:val="en-US" w:eastAsia="zh-CN"/>
        </w:rPr>
        <w:t xml:space="preserve">Bell, J.  and Waters, S.  (2018).  </w:t>
      </w:r>
      <w:r>
        <w:rPr>
          <w:i/>
          <w:iCs/>
          <w:lang w:val="en-US" w:eastAsia="zh-CN"/>
        </w:rPr>
        <w:t xml:space="preserve">Doing your Research Project.  A Guide for First-Time Researchers. </w:t>
      </w:r>
      <w:r>
        <w:rPr>
          <w:lang w:val="en-US" w:eastAsia="zh-CN"/>
        </w:rPr>
        <w:t xml:space="preserve"> (7th edn.).  London: Open University Press/McGraw-Hill Education.</w:t>
      </w:r>
    </w:p>
    <w:p w14:paraId="457AFBBD" w14:textId="77777777" w:rsidR="007E4AE6" w:rsidRDefault="007E4AE6">
      <w:pPr>
        <w:numPr>
          <w:ilvl w:val="0"/>
          <w:numId w:val="2"/>
        </w:numPr>
        <w:rPr>
          <w:lang w:eastAsia="zh-CN"/>
        </w:rPr>
      </w:pPr>
      <w:r>
        <w:rPr>
          <w:lang w:eastAsia="zh-CN"/>
        </w:rPr>
        <w:t xml:space="preserve">Brown, M. J., Thacker, L. R., Cohen, S. A., and Association of State and Territorial Health Officials. (2016). Public health strategies to address US childhood adversity. </w:t>
      </w:r>
      <w:r>
        <w:rPr>
          <w:i/>
          <w:iCs/>
          <w:lang w:eastAsia="zh-CN"/>
        </w:rPr>
        <w:t>American Journal of Public Health, 106</w:t>
      </w:r>
      <w:r>
        <w:rPr>
          <w:lang w:eastAsia="zh-CN"/>
        </w:rPr>
        <w:t>(4), 593-594.</w:t>
      </w:r>
    </w:p>
    <w:p w14:paraId="1A186CE3" w14:textId="77777777" w:rsidR="007E4AE6" w:rsidRDefault="007E4AE6">
      <w:pPr>
        <w:numPr>
          <w:ilvl w:val="0"/>
          <w:numId w:val="2"/>
        </w:numPr>
        <w:rPr>
          <w:lang w:eastAsia="zh-CN"/>
        </w:rPr>
      </w:pPr>
      <w:r>
        <w:rPr>
          <w:lang w:eastAsia="zh-CN"/>
        </w:rPr>
        <w:t xml:space="preserve">Finkelhor, D., Turner, H., Shattuck, A., and Hamby, S. (2017). Prevalence of childhood exposure to violence, crime, and abuse: results from the National Survey of Children’s Exposure to Violence. </w:t>
      </w:r>
      <w:r>
        <w:rPr>
          <w:i/>
          <w:iCs/>
          <w:lang w:eastAsia="zh-CN"/>
        </w:rPr>
        <w:t>JAMA pediatrics, 169</w:t>
      </w:r>
      <w:r>
        <w:rPr>
          <w:lang w:eastAsia="zh-CN"/>
        </w:rPr>
        <w:t>(8), 746-754.</w:t>
      </w:r>
    </w:p>
    <w:p w14:paraId="3615F12B" w14:textId="77777777" w:rsidR="007E4AE6" w:rsidRDefault="007E4AE6">
      <w:pPr>
        <w:numPr>
          <w:ilvl w:val="0"/>
          <w:numId w:val="2"/>
        </w:numPr>
        <w:rPr>
          <w:lang w:eastAsia="zh-CN"/>
        </w:rPr>
      </w:pPr>
      <w:r>
        <w:rPr>
          <w:lang w:eastAsia="zh-CN"/>
        </w:rPr>
        <w:t xml:space="preserve">Ford-Gilboe, M., Wathen, C. N., Varcoe, C., and MacMillan, H. L. (2016). Exposure to intimate partner violence and other adverse childhood experiences: supporting healthy families in primary care. </w:t>
      </w:r>
      <w:r>
        <w:rPr>
          <w:i/>
          <w:iCs/>
          <w:lang w:eastAsia="zh-CN"/>
        </w:rPr>
        <w:t>Canadian Family Physician, 62</w:t>
      </w:r>
      <w:r>
        <w:rPr>
          <w:lang w:eastAsia="zh-CN"/>
        </w:rPr>
        <w:t>(10), 821-825.</w:t>
      </w:r>
    </w:p>
    <w:p w14:paraId="02D1DB03" w14:textId="77777777" w:rsidR="007E4AE6" w:rsidRDefault="007E4AE6">
      <w:pPr>
        <w:numPr>
          <w:ilvl w:val="0"/>
          <w:numId w:val="2"/>
        </w:numPr>
        <w:rPr>
          <w:lang w:eastAsia="zh-CN"/>
        </w:rPr>
      </w:pPr>
      <w:r>
        <w:rPr>
          <w:lang w:eastAsia="zh-CN"/>
        </w:rPr>
        <w:t>Hillis, S. D., Anda, R. F., Dube, S. R., Felitti, V. J., Marchbanks, P. A., and Marks, J. S. (2016). The association between adverse childhood experiences and adolescent pregnancy, long-term psychosocial consequences, and fetal death.</w:t>
      </w:r>
      <w:r>
        <w:rPr>
          <w:i/>
          <w:iCs/>
          <w:lang w:eastAsia="zh-CN"/>
        </w:rPr>
        <w:t xml:space="preserve"> Pediatrics, 137</w:t>
      </w:r>
      <w:r>
        <w:rPr>
          <w:lang w:eastAsia="zh-CN"/>
        </w:rPr>
        <w:t>(3), e20153223.</w:t>
      </w:r>
    </w:p>
    <w:p w14:paraId="47CBB424" w14:textId="77777777" w:rsidR="007E4AE6" w:rsidRDefault="007E4AE6">
      <w:pPr>
        <w:numPr>
          <w:ilvl w:val="0"/>
          <w:numId w:val="2"/>
        </w:numPr>
        <w:rPr>
          <w:lang w:eastAsia="zh-CN"/>
        </w:rPr>
      </w:pPr>
      <w:r>
        <w:rPr>
          <w:lang w:eastAsia="zh-CN"/>
        </w:rPr>
        <w:t xml:space="preserve">Kalmakis, K. A., and Chandler, G. E. (2017). Health consequences of adverse childhood experiences: a systematic review. </w:t>
      </w:r>
      <w:r>
        <w:rPr>
          <w:i/>
          <w:iCs/>
          <w:lang w:eastAsia="zh-CN"/>
        </w:rPr>
        <w:t>Journal of the American Association of Nurse Practitioners, 27</w:t>
      </w:r>
      <w:r>
        <w:rPr>
          <w:lang w:eastAsia="zh-CN"/>
        </w:rPr>
        <w:t>(8), 457-465.</w:t>
      </w:r>
    </w:p>
    <w:p w14:paraId="6CCAAFCE" w14:textId="77777777" w:rsidR="007E4AE6" w:rsidRDefault="007E4AE6">
      <w:pPr>
        <w:numPr>
          <w:ilvl w:val="0"/>
          <w:numId w:val="2"/>
        </w:numPr>
        <w:rPr>
          <w:lang w:eastAsia="zh-CN"/>
        </w:rPr>
      </w:pPr>
      <w:r>
        <w:rPr>
          <w:lang w:eastAsia="zh-CN"/>
        </w:rPr>
        <w:t xml:space="preserve">Kerker, B. D., Zhang, J., Nadeem, E., Stein, R. E., Hurlburt, M. S., Heneghan, A., and Landsverk, J. (2017). Adverse childhood experiences and mental health, chronic medical conditions, and development in young children. </w:t>
      </w:r>
      <w:r>
        <w:rPr>
          <w:i/>
          <w:iCs/>
          <w:lang w:eastAsia="zh-CN"/>
        </w:rPr>
        <w:t>Academic pediatrics, 15</w:t>
      </w:r>
      <w:r>
        <w:rPr>
          <w:lang w:eastAsia="zh-CN"/>
        </w:rPr>
        <w:t>(5), 510-517.</w:t>
      </w:r>
    </w:p>
    <w:p w14:paraId="36C763CE" w14:textId="77777777" w:rsidR="007E4AE6" w:rsidRDefault="007E4AE6">
      <w:pPr>
        <w:numPr>
          <w:ilvl w:val="0"/>
          <w:numId w:val="2"/>
        </w:numPr>
        <w:rPr>
          <w:lang w:eastAsia="zh-CN"/>
        </w:rPr>
      </w:pPr>
      <w:r>
        <w:rPr>
          <w:lang w:eastAsia="zh-CN"/>
        </w:rPr>
        <w:lastRenderedPageBreak/>
        <w:t xml:space="preserve">Merrill, L. L., Hanson, R. F., and O’Brien, K. (2016). The impact of adverse childhood experiences on an urban pediatric population. </w:t>
      </w:r>
      <w:r>
        <w:rPr>
          <w:i/>
          <w:iCs/>
          <w:lang w:eastAsia="zh-CN"/>
        </w:rPr>
        <w:t>Child abuse &amp; neglect, 51</w:t>
      </w:r>
      <w:r>
        <w:rPr>
          <w:lang w:eastAsia="zh-CN"/>
        </w:rPr>
        <w:t>, 68-77.</w:t>
      </w:r>
    </w:p>
    <w:p w14:paraId="1A4C93F4" w14:textId="77777777" w:rsidR="007E4AE6" w:rsidRDefault="007E4AE6">
      <w:pPr>
        <w:numPr>
          <w:ilvl w:val="0"/>
          <w:numId w:val="2"/>
        </w:numPr>
        <w:rPr>
          <w:lang w:eastAsia="zh-CN"/>
        </w:rPr>
      </w:pPr>
      <w:r>
        <w:rPr>
          <w:lang w:eastAsia="zh-CN"/>
        </w:rPr>
        <w:t xml:space="preserve">Murphey, D., and Barry, M. (2016). </w:t>
      </w:r>
      <w:r>
        <w:rPr>
          <w:i/>
          <w:iCs/>
          <w:lang w:eastAsia="zh-CN"/>
        </w:rPr>
        <w:t>Adverse childhood experiences and hope for a brighter future: A national survey.</w:t>
      </w:r>
      <w:r>
        <w:rPr>
          <w:lang w:eastAsia="zh-CN"/>
        </w:rPr>
        <w:t xml:space="preserve"> Child Trends.</w:t>
      </w:r>
    </w:p>
    <w:p w14:paraId="06D4C160" w14:textId="77777777" w:rsidR="007E4AE6" w:rsidRDefault="007E4AE6">
      <w:pPr>
        <w:numPr>
          <w:ilvl w:val="0"/>
          <w:numId w:val="2"/>
        </w:numPr>
        <w:rPr>
          <w:lang w:eastAsia="zh-CN"/>
        </w:rPr>
      </w:pPr>
      <w:r>
        <w:rPr>
          <w:lang w:eastAsia="zh-CN"/>
        </w:rPr>
        <w:t xml:space="preserve">Piotrowski, C. C., Storfer-Isser, A., and Saldana, L. (2016). Adverse childhood experiences and sleep disturbance in adolescents. </w:t>
      </w:r>
      <w:r>
        <w:rPr>
          <w:i/>
          <w:iCs/>
          <w:lang w:eastAsia="zh-CN"/>
        </w:rPr>
        <w:t>Sleep Medicine, 21,</w:t>
      </w:r>
      <w:r>
        <w:rPr>
          <w:lang w:eastAsia="zh-CN"/>
        </w:rPr>
        <w:t xml:space="preserve"> 12-18.</w:t>
      </w:r>
    </w:p>
    <w:p w14:paraId="2B0B2929" w14:textId="77777777" w:rsidR="007E4AE6" w:rsidRDefault="007E4AE6">
      <w:pPr>
        <w:numPr>
          <w:ilvl w:val="0"/>
          <w:numId w:val="2"/>
        </w:numPr>
        <w:rPr>
          <w:lang w:eastAsia="zh-CN"/>
        </w:rPr>
      </w:pPr>
      <w:r>
        <w:rPr>
          <w:lang w:eastAsia="zh-CN"/>
        </w:rPr>
        <w:t xml:space="preserve">Schilling, S., Goosby, B. J., and Su, D. (2017). Adverse childhood experiences and biomarkers of aging in a population-based sample of older adults in the United States. </w:t>
      </w:r>
      <w:r>
        <w:rPr>
          <w:i/>
          <w:iCs/>
          <w:lang w:eastAsia="zh-CN"/>
        </w:rPr>
        <w:t>BMC public health, 15</w:t>
      </w:r>
      <w:r>
        <w:rPr>
          <w:lang w:eastAsia="zh-CN"/>
        </w:rPr>
        <w:t>(1), 1-12.</w:t>
      </w:r>
    </w:p>
    <w:p w14:paraId="6636E6F4" w14:textId="77777777" w:rsidR="007E4AE6" w:rsidRDefault="007E4AE6">
      <w:pPr>
        <w:numPr>
          <w:ilvl w:val="0"/>
          <w:numId w:val="2"/>
        </w:numPr>
        <w:rPr>
          <w:lang w:val="en-US" w:eastAsia="zh-CN"/>
        </w:rPr>
      </w:pPr>
      <w:r>
        <w:rPr>
          <w:lang w:eastAsia="zh-CN"/>
        </w:rPr>
        <w:t xml:space="preserve">Trickett, P. K., Noll, J. G., Susman, E. J., Shenk, C. E., and Putnam, F. W. (2016). Attenuation of cortisol across development for victims of sexual abuse. </w:t>
      </w:r>
      <w:r>
        <w:rPr>
          <w:i/>
          <w:iCs/>
          <w:lang w:eastAsia="zh-CN"/>
        </w:rPr>
        <w:t>Development and Psychopathology, 28</w:t>
      </w:r>
      <w:r>
        <w:rPr>
          <w:lang w:eastAsia="zh-CN"/>
        </w:rPr>
        <w:t>(4pt2), 1267-1280.</w:t>
      </w:r>
    </w:p>
    <w:sectPr w:rsidR="007E4AE6">
      <w:footerReference w:type="even" r:id="rId10"/>
      <w:footerReference w:type="default" r:id="rId11"/>
      <w:footerReference w:type="first" r:id="rId12"/>
      <w:pgSz w:w="11907" w:h="16840"/>
      <w:pgMar w:top="1418" w:right="1418" w:bottom="1418" w:left="1418"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7FEB" w14:textId="77777777" w:rsidR="007F4C90" w:rsidRDefault="007F4C90">
      <w:pPr>
        <w:spacing w:line="240" w:lineRule="auto"/>
      </w:pPr>
      <w:r>
        <w:separator/>
      </w:r>
    </w:p>
  </w:endnote>
  <w:endnote w:type="continuationSeparator" w:id="0">
    <w:p w14:paraId="44045A2A" w14:textId="77777777" w:rsidR="007F4C90" w:rsidRDefault="007F4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3BA4C" w14:textId="77777777" w:rsidR="00DF1912" w:rsidRDefault="007F4C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6EBBD0" w14:textId="77777777" w:rsidR="00DF1912" w:rsidRDefault="00DF19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F5D0" w14:textId="77777777" w:rsidR="00DF1912" w:rsidRDefault="007F4C90">
    <w:pPr>
      <w:pStyle w:val="Footer"/>
      <w:tabs>
        <w:tab w:val="clear" w:pos="4153"/>
        <w:tab w:val="clear" w:pos="8306"/>
        <w:tab w:val="center" w:pos="4820"/>
        <w:tab w:val="right" w:pos="8931"/>
      </w:tabs>
      <w:ind w:right="-143"/>
      <w:rPr>
        <w:color w:val="808080"/>
      </w:rPr>
    </w:pPr>
    <w:r>
      <w:rPr>
        <w:noProof/>
        <w:lang w:val="en-US"/>
      </w:rPr>
      <mc:AlternateContent>
        <mc:Choice Requires="wps">
          <w:drawing>
            <wp:anchor distT="0" distB="0" distL="114300" distR="114300" simplePos="0" relativeHeight="251659264" behindDoc="0" locked="0" layoutInCell="1" allowOverlap="1" wp14:anchorId="43AC14B8" wp14:editId="3BA3A359">
              <wp:simplePos x="0" y="0"/>
              <wp:positionH relativeFrom="margin">
                <wp:align>right</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5A2EC" w14:textId="77777777" w:rsidR="00DF1912" w:rsidRDefault="007F4C90">
                          <w:pPr>
                            <w:pStyle w:val="Footer"/>
                          </w:pPr>
                          <w:r>
                            <w:fldChar w:fldCharType="begin"/>
                          </w:r>
                          <w:r>
                            <w:instrText xml:space="preserve"> PAGE  \* MERGEFORMAT </w:instrText>
                          </w:r>
                          <w:r>
                            <w:fldChar w:fldCharType="separate"/>
                          </w:r>
                          <w:r w:rsidR="007E4AE6">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3AC14B8" id="_x0000_t202" coordsize="21600,21600" o:spt="202" path="m,l,21600r21600,l21600,xe">
              <v:stroke joinstyle="miter"/>
              <v:path gradientshapeok="t" o:connecttype="rect"/>
            </v:shapetype>
            <v:shape id="Text Box 5" o:spid="_x0000_s1026"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B95A2EC" w14:textId="77777777" w:rsidR="00DF1912" w:rsidRDefault="007F4C90">
                    <w:pPr>
                      <w:pStyle w:val="Footer"/>
                    </w:pPr>
                    <w:r>
                      <w:fldChar w:fldCharType="begin"/>
                    </w:r>
                    <w:r>
                      <w:instrText xml:space="preserve"> PAGE  \* MERGEFORMAT </w:instrText>
                    </w:r>
                    <w:r>
                      <w:fldChar w:fldCharType="separate"/>
                    </w:r>
                    <w:r w:rsidR="007E4AE6">
                      <w:rPr>
                        <w:noProof/>
                      </w:rPr>
                      <w:t>3</w:t>
                    </w:r>
                    <w:r>
                      <w:fldChar w:fldCharType="end"/>
                    </w:r>
                  </w:p>
                </w:txbxContent>
              </v:textbox>
              <w10:wrap anchorx="margin"/>
            </v:shape>
          </w:pict>
        </mc:Fallback>
      </mc:AlternateContent>
    </w:r>
  </w:p>
  <w:p w14:paraId="2E180BB9" w14:textId="77777777" w:rsidR="00DF1912" w:rsidRDefault="00DF1912">
    <w:pPr>
      <w:pStyle w:val="Footer"/>
      <w:tabs>
        <w:tab w:val="clear" w:pos="4153"/>
        <w:tab w:val="clear" w:pos="8306"/>
        <w:tab w:val="center" w:pos="4820"/>
        <w:tab w:val="right" w:pos="8931"/>
      </w:tabs>
      <w:ind w:right="360"/>
      <w:rPr>
        <w:rFonts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BFCFC" w14:textId="77777777" w:rsidR="00DF1912" w:rsidRDefault="007F4C90">
    <w:pPr>
      <w:pStyle w:val="Footer"/>
    </w:pPr>
    <w:r>
      <w:rPr>
        <w:noProof/>
        <w:lang w:val="en-US"/>
      </w:rPr>
      <mc:AlternateContent>
        <mc:Choice Requires="wps">
          <w:drawing>
            <wp:anchor distT="0" distB="0" distL="114300" distR="114300" simplePos="0" relativeHeight="251660288" behindDoc="0" locked="0" layoutInCell="1" allowOverlap="1" wp14:anchorId="0FBE5245" wp14:editId="1366D8BE">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7E85BE" w14:textId="77777777" w:rsidR="00DF1912" w:rsidRDefault="007F4C90">
                          <w:pPr>
                            <w:pStyle w:val="Footer"/>
                          </w:pPr>
                          <w:r>
                            <w:fldChar w:fldCharType="begin"/>
                          </w:r>
                          <w:r>
                            <w:instrText xml:space="preserve"> PAGE  \* MERGEFORMAT </w:instrText>
                          </w:r>
                          <w:r>
                            <w:fldChar w:fldCharType="separate"/>
                          </w:r>
                          <w:r w:rsidR="007E4AE6">
                            <w:rPr>
                              <w:noProof/>
                            </w:rP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FBE5245" id="_x0000_t202" coordsize="21600,21600" o:spt="202" path="m,l,21600r21600,l21600,xe">
              <v:stroke joinstyle="miter"/>
              <v:path gradientshapeok="t" o:connecttype="rect"/>
            </v:shapetype>
            <v:shape id="Text Box 3" o:spid="_x0000_s1027" type="#_x0000_t202" style="position:absolute;left:0;text-align:left;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87E85BE" w14:textId="77777777" w:rsidR="00DF1912" w:rsidRDefault="007F4C90">
                    <w:pPr>
                      <w:pStyle w:val="Footer"/>
                    </w:pPr>
                    <w:r>
                      <w:fldChar w:fldCharType="begin"/>
                    </w:r>
                    <w:r>
                      <w:instrText xml:space="preserve"> PAGE  \* MERGEFORMAT </w:instrText>
                    </w:r>
                    <w:r>
                      <w:fldChar w:fldCharType="separate"/>
                    </w:r>
                    <w:r w:rsidR="007E4AE6">
                      <w:rPr>
                        <w:noProof/>
                      </w:rPr>
                      <w:t>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01706" w14:textId="77777777" w:rsidR="007F4C90" w:rsidRDefault="007F4C90">
      <w:r>
        <w:separator/>
      </w:r>
    </w:p>
  </w:footnote>
  <w:footnote w:type="continuationSeparator" w:id="0">
    <w:p w14:paraId="4259EB85" w14:textId="77777777" w:rsidR="007F4C90" w:rsidRDefault="007F4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8A7435"/>
    <w:multiLevelType w:val="singleLevel"/>
    <w:tmpl w:val="828A7435"/>
    <w:lvl w:ilvl="0">
      <w:start w:val="1"/>
      <w:numFmt w:val="decimal"/>
      <w:lvlText w:val="%1."/>
      <w:lvlJc w:val="left"/>
      <w:pPr>
        <w:tabs>
          <w:tab w:val="left" w:pos="425"/>
        </w:tabs>
        <w:ind w:left="425" w:hanging="425"/>
      </w:pPr>
      <w:rPr>
        <w:rFonts w:hint="default"/>
      </w:rPr>
    </w:lvl>
  </w:abstractNum>
  <w:abstractNum w:abstractNumId="1" w15:restartNumberingAfterBreak="0">
    <w:nsid w:val="FE3836F6"/>
    <w:multiLevelType w:val="singleLevel"/>
    <w:tmpl w:val="FE3836F6"/>
    <w:lvl w:ilvl="0">
      <w:start w:val="1"/>
      <w:numFmt w:val="bullet"/>
      <w:lvlText w:val=""/>
      <w:lvlJc w:val="left"/>
      <w:pPr>
        <w:tabs>
          <w:tab w:val="left" w:pos="420"/>
        </w:tabs>
        <w:ind w:left="420" w:hanging="420"/>
      </w:pPr>
      <w:rPr>
        <w:rFonts w:ascii="Wingdings" w:hAnsi="Wingdings" w:hint="default"/>
      </w:rPr>
    </w:lvl>
  </w:abstractNum>
  <w:num w:numId="1" w16cid:durableId="2020113636">
    <w:abstractNumId w:val="1"/>
  </w:num>
  <w:num w:numId="2" w16cid:durableId="65163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46E44"/>
    <w:rsid w:val="000B4437"/>
    <w:rsid w:val="00121F55"/>
    <w:rsid w:val="0013317C"/>
    <w:rsid w:val="001419FA"/>
    <w:rsid w:val="00146E7D"/>
    <w:rsid w:val="00170739"/>
    <w:rsid w:val="001863C5"/>
    <w:rsid w:val="001B41A3"/>
    <w:rsid w:val="001D7819"/>
    <w:rsid w:val="002009FC"/>
    <w:rsid w:val="00232836"/>
    <w:rsid w:val="00253E51"/>
    <w:rsid w:val="00271C73"/>
    <w:rsid w:val="00273D3B"/>
    <w:rsid w:val="002A6D41"/>
    <w:rsid w:val="002B4361"/>
    <w:rsid w:val="002E250A"/>
    <w:rsid w:val="002E7AD2"/>
    <w:rsid w:val="00326907"/>
    <w:rsid w:val="00343255"/>
    <w:rsid w:val="0039231B"/>
    <w:rsid w:val="003A6B56"/>
    <w:rsid w:val="003B2AB9"/>
    <w:rsid w:val="003C3011"/>
    <w:rsid w:val="00452E19"/>
    <w:rsid w:val="004A2D28"/>
    <w:rsid w:val="0050312D"/>
    <w:rsid w:val="00555B07"/>
    <w:rsid w:val="005708C2"/>
    <w:rsid w:val="00573D40"/>
    <w:rsid w:val="005D11C9"/>
    <w:rsid w:val="005F1701"/>
    <w:rsid w:val="006A45FC"/>
    <w:rsid w:val="00720865"/>
    <w:rsid w:val="007E4AE6"/>
    <w:rsid w:val="007F4C90"/>
    <w:rsid w:val="008368EB"/>
    <w:rsid w:val="00867218"/>
    <w:rsid w:val="00867B3B"/>
    <w:rsid w:val="00891C24"/>
    <w:rsid w:val="008A13C4"/>
    <w:rsid w:val="008A6BAA"/>
    <w:rsid w:val="00922C28"/>
    <w:rsid w:val="00954BB4"/>
    <w:rsid w:val="009B1E4E"/>
    <w:rsid w:val="009E323F"/>
    <w:rsid w:val="00A15340"/>
    <w:rsid w:val="00A161F3"/>
    <w:rsid w:val="00A86586"/>
    <w:rsid w:val="00A95874"/>
    <w:rsid w:val="00AC4E52"/>
    <w:rsid w:val="00AE63E0"/>
    <w:rsid w:val="00B6070F"/>
    <w:rsid w:val="00B65ECB"/>
    <w:rsid w:val="00B97DFD"/>
    <w:rsid w:val="00BA261E"/>
    <w:rsid w:val="00BE3814"/>
    <w:rsid w:val="00C036B6"/>
    <w:rsid w:val="00C04762"/>
    <w:rsid w:val="00C5794D"/>
    <w:rsid w:val="00C740B6"/>
    <w:rsid w:val="00C76315"/>
    <w:rsid w:val="00CC2135"/>
    <w:rsid w:val="00D11A75"/>
    <w:rsid w:val="00D42CF0"/>
    <w:rsid w:val="00DE5D91"/>
    <w:rsid w:val="00DF1912"/>
    <w:rsid w:val="00EA3119"/>
    <w:rsid w:val="00EC5544"/>
    <w:rsid w:val="00ED48B6"/>
    <w:rsid w:val="00ED5DCE"/>
    <w:rsid w:val="00EE5898"/>
    <w:rsid w:val="00F22B7E"/>
    <w:rsid w:val="00F22F9D"/>
    <w:rsid w:val="00F27FA9"/>
    <w:rsid w:val="00F30748"/>
    <w:rsid w:val="00FB4065"/>
    <w:rsid w:val="00FD1302"/>
    <w:rsid w:val="01050F22"/>
    <w:rsid w:val="014E3892"/>
    <w:rsid w:val="01B91D0C"/>
    <w:rsid w:val="02145195"/>
    <w:rsid w:val="028B5457"/>
    <w:rsid w:val="02A209F3"/>
    <w:rsid w:val="02CB3234"/>
    <w:rsid w:val="02D50DC8"/>
    <w:rsid w:val="037B22CD"/>
    <w:rsid w:val="03854360"/>
    <w:rsid w:val="03B4688D"/>
    <w:rsid w:val="03E04E72"/>
    <w:rsid w:val="049D76C3"/>
    <w:rsid w:val="04E14FEA"/>
    <w:rsid w:val="051E6A56"/>
    <w:rsid w:val="058C7E64"/>
    <w:rsid w:val="05CA098C"/>
    <w:rsid w:val="064424ED"/>
    <w:rsid w:val="06874077"/>
    <w:rsid w:val="07166026"/>
    <w:rsid w:val="07801E7D"/>
    <w:rsid w:val="07C440E8"/>
    <w:rsid w:val="084C38DA"/>
    <w:rsid w:val="086C1BEB"/>
    <w:rsid w:val="08D97F72"/>
    <w:rsid w:val="092752BD"/>
    <w:rsid w:val="092C32BA"/>
    <w:rsid w:val="0939616D"/>
    <w:rsid w:val="09766816"/>
    <w:rsid w:val="09860127"/>
    <w:rsid w:val="0A183DFF"/>
    <w:rsid w:val="0A7F59C4"/>
    <w:rsid w:val="0AFB52F4"/>
    <w:rsid w:val="0B9C2E15"/>
    <w:rsid w:val="0BAD28E2"/>
    <w:rsid w:val="0BC1638D"/>
    <w:rsid w:val="0C18239B"/>
    <w:rsid w:val="0C6E65A1"/>
    <w:rsid w:val="0D3226EC"/>
    <w:rsid w:val="0D9308F8"/>
    <w:rsid w:val="0D984ECC"/>
    <w:rsid w:val="0DF465A6"/>
    <w:rsid w:val="0E2F32D0"/>
    <w:rsid w:val="0ECA5559"/>
    <w:rsid w:val="0F113188"/>
    <w:rsid w:val="0F401D5C"/>
    <w:rsid w:val="0F8C280E"/>
    <w:rsid w:val="0FA22E51"/>
    <w:rsid w:val="0FD109F9"/>
    <w:rsid w:val="102A4870"/>
    <w:rsid w:val="102B21FA"/>
    <w:rsid w:val="10DD77C5"/>
    <w:rsid w:val="10EE19D3"/>
    <w:rsid w:val="11E44B84"/>
    <w:rsid w:val="12072620"/>
    <w:rsid w:val="136917E4"/>
    <w:rsid w:val="14302302"/>
    <w:rsid w:val="145C4EA5"/>
    <w:rsid w:val="149D0158"/>
    <w:rsid w:val="151D2A22"/>
    <w:rsid w:val="1523727F"/>
    <w:rsid w:val="15AE34DE"/>
    <w:rsid w:val="1653438F"/>
    <w:rsid w:val="16BA1CA3"/>
    <w:rsid w:val="17210DCB"/>
    <w:rsid w:val="17B84AE8"/>
    <w:rsid w:val="183933EE"/>
    <w:rsid w:val="18585984"/>
    <w:rsid w:val="18F31102"/>
    <w:rsid w:val="195F2D42"/>
    <w:rsid w:val="19DB4ABE"/>
    <w:rsid w:val="1A083561"/>
    <w:rsid w:val="1A515E3D"/>
    <w:rsid w:val="1A6A6061"/>
    <w:rsid w:val="1AA66E7A"/>
    <w:rsid w:val="1AB07CF9"/>
    <w:rsid w:val="1B2E0C1E"/>
    <w:rsid w:val="1B6D3958"/>
    <w:rsid w:val="1B707488"/>
    <w:rsid w:val="1BA809D0"/>
    <w:rsid w:val="1BA97912"/>
    <w:rsid w:val="1BAE14B6"/>
    <w:rsid w:val="1BC34EB7"/>
    <w:rsid w:val="1CAC2742"/>
    <w:rsid w:val="1D5203A7"/>
    <w:rsid w:val="1E451553"/>
    <w:rsid w:val="1E652BA8"/>
    <w:rsid w:val="1EC60D44"/>
    <w:rsid w:val="1EC75611"/>
    <w:rsid w:val="1EDE624F"/>
    <w:rsid w:val="1EE14925"/>
    <w:rsid w:val="1F321BCC"/>
    <w:rsid w:val="1F435B57"/>
    <w:rsid w:val="1F4F67AC"/>
    <w:rsid w:val="201D273C"/>
    <w:rsid w:val="20675088"/>
    <w:rsid w:val="20DD377F"/>
    <w:rsid w:val="21050673"/>
    <w:rsid w:val="223340FF"/>
    <w:rsid w:val="22482F0D"/>
    <w:rsid w:val="237F295E"/>
    <w:rsid w:val="2386021A"/>
    <w:rsid w:val="239E2206"/>
    <w:rsid w:val="23A60E02"/>
    <w:rsid w:val="23B31F24"/>
    <w:rsid w:val="23D96D32"/>
    <w:rsid w:val="24276EB2"/>
    <w:rsid w:val="242F2BDB"/>
    <w:rsid w:val="24D84948"/>
    <w:rsid w:val="25164BFC"/>
    <w:rsid w:val="25426F0E"/>
    <w:rsid w:val="254E353D"/>
    <w:rsid w:val="2564005E"/>
    <w:rsid w:val="25757D0D"/>
    <w:rsid w:val="25A25740"/>
    <w:rsid w:val="25DF3773"/>
    <w:rsid w:val="2625613D"/>
    <w:rsid w:val="26B930D0"/>
    <w:rsid w:val="277416F4"/>
    <w:rsid w:val="2810134E"/>
    <w:rsid w:val="28354C94"/>
    <w:rsid w:val="289B3D96"/>
    <w:rsid w:val="28F21696"/>
    <w:rsid w:val="28F614A7"/>
    <w:rsid w:val="29081A80"/>
    <w:rsid w:val="290A61DC"/>
    <w:rsid w:val="295201CD"/>
    <w:rsid w:val="2964687E"/>
    <w:rsid w:val="29C64714"/>
    <w:rsid w:val="29DF48AB"/>
    <w:rsid w:val="2A133E00"/>
    <w:rsid w:val="2A2957D5"/>
    <w:rsid w:val="2ADE0984"/>
    <w:rsid w:val="2C3712E3"/>
    <w:rsid w:val="2C974875"/>
    <w:rsid w:val="2CD63BB6"/>
    <w:rsid w:val="2D375F40"/>
    <w:rsid w:val="2D8549C8"/>
    <w:rsid w:val="2E33681F"/>
    <w:rsid w:val="2E4A4A49"/>
    <w:rsid w:val="2EC31C19"/>
    <w:rsid w:val="2ECE6548"/>
    <w:rsid w:val="2F0804D0"/>
    <w:rsid w:val="2F230C14"/>
    <w:rsid w:val="2FA026BE"/>
    <w:rsid w:val="30710C85"/>
    <w:rsid w:val="308652F3"/>
    <w:rsid w:val="30B05A3D"/>
    <w:rsid w:val="310444A3"/>
    <w:rsid w:val="317E6003"/>
    <w:rsid w:val="31943A79"/>
    <w:rsid w:val="31C845BB"/>
    <w:rsid w:val="31D16A7B"/>
    <w:rsid w:val="32445DE3"/>
    <w:rsid w:val="32522D6B"/>
    <w:rsid w:val="339C09C3"/>
    <w:rsid w:val="33E22FD7"/>
    <w:rsid w:val="34031313"/>
    <w:rsid w:val="34197C30"/>
    <w:rsid w:val="342310E4"/>
    <w:rsid w:val="34427402"/>
    <w:rsid w:val="34936F02"/>
    <w:rsid w:val="34B55F89"/>
    <w:rsid w:val="34C401D1"/>
    <w:rsid w:val="35A40002"/>
    <w:rsid w:val="35EE2580"/>
    <w:rsid w:val="35EE6609"/>
    <w:rsid w:val="364B2424"/>
    <w:rsid w:val="36502DAD"/>
    <w:rsid w:val="36AF4EB1"/>
    <w:rsid w:val="36FB3520"/>
    <w:rsid w:val="376C4E31"/>
    <w:rsid w:val="377A726D"/>
    <w:rsid w:val="37AB1B1C"/>
    <w:rsid w:val="37DE3C9F"/>
    <w:rsid w:val="386D476C"/>
    <w:rsid w:val="39301A51"/>
    <w:rsid w:val="3A19526E"/>
    <w:rsid w:val="3A322081"/>
    <w:rsid w:val="3B2E79CF"/>
    <w:rsid w:val="3B9B5A04"/>
    <w:rsid w:val="3C7E15AD"/>
    <w:rsid w:val="3D0329CE"/>
    <w:rsid w:val="3D205344"/>
    <w:rsid w:val="3D6F7A43"/>
    <w:rsid w:val="3D8175A7"/>
    <w:rsid w:val="3DA816A8"/>
    <w:rsid w:val="3DF06948"/>
    <w:rsid w:val="3E492E08"/>
    <w:rsid w:val="3F0A537A"/>
    <w:rsid w:val="3F3146B5"/>
    <w:rsid w:val="3F6F78D3"/>
    <w:rsid w:val="3F9C7B52"/>
    <w:rsid w:val="3F9D1D4A"/>
    <w:rsid w:val="40624D42"/>
    <w:rsid w:val="40CD43BD"/>
    <w:rsid w:val="41111C5F"/>
    <w:rsid w:val="41A3665C"/>
    <w:rsid w:val="41CF2062"/>
    <w:rsid w:val="426F4B35"/>
    <w:rsid w:val="42B9333F"/>
    <w:rsid w:val="42FA234D"/>
    <w:rsid w:val="432E27A3"/>
    <w:rsid w:val="434B06AA"/>
    <w:rsid w:val="436275FE"/>
    <w:rsid w:val="4392593E"/>
    <w:rsid w:val="439F4DF3"/>
    <w:rsid w:val="444A644B"/>
    <w:rsid w:val="447907FE"/>
    <w:rsid w:val="44A61895"/>
    <w:rsid w:val="44B77EA1"/>
    <w:rsid w:val="450338D7"/>
    <w:rsid w:val="45E1035A"/>
    <w:rsid w:val="468A0B4E"/>
    <w:rsid w:val="472471F5"/>
    <w:rsid w:val="472F66E6"/>
    <w:rsid w:val="4779309D"/>
    <w:rsid w:val="47EE470A"/>
    <w:rsid w:val="480F57AF"/>
    <w:rsid w:val="481039F9"/>
    <w:rsid w:val="48253552"/>
    <w:rsid w:val="484624D9"/>
    <w:rsid w:val="48617B04"/>
    <w:rsid w:val="4A1D5E78"/>
    <w:rsid w:val="4AC079A4"/>
    <w:rsid w:val="4B3F0159"/>
    <w:rsid w:val="4C1C66ED"/>
    <w:rsid w:val="4C6E4F8A"/>
    <w:rsid w:val="4CC307BC"/>
    <w:rsid w:val="4CDF1BF4"/>
    <w:rsid w:val="4E1C3738"/>
    <w:rsid w:val="4ED84B4D"/>
    <w:rsid w:val="4FA7451F"/>
    <w:rsid w:val="4FA82F89"/>
    <w:rsid w:val="501B0676"/>
    <w:rsid w:val="502D2C76"/>
    <w:rsid w:val="503A57CF"/>
    <w:rsid w:val="51CF19F5"/>
    <w:rsid w:val="51D05FAF"/>
    <w:rsid w:val="52630BD1"/>
    <w:rsid w:val="52754DA9"/>
    <w:rsid w:val="536F35A6"/>
    <w:rsid w:val="540F7364"/>
    <w:rsid w:val="541A79B6"/>
    <w:rsid w:val="542919A7"/>
    <w:rsid w:val="54370568"/>
    <w:rsid w:val="546D5D37"/>
    <w:rsid w:val="552B174F"/>
    <w:rsid w:val="55772D83"/>
    <w:rsid w:val="559B68D4"/>
    <w:rsid w:val="55C7060C"/>
    <w:rsid w:val="55FF3307"/>
    <w:rsid w:val="56903F5F"/>
    <w:rsid w:val="56C63E25"/>
    <w:rsid w:val="56EE10A3"/>
    <w:rsid w:val="57607AA5"/>
    <w:rsid w:val="57991C29"/>
    <w:rsid w:val="58871675"/>
    <w:rsid w:val="58F24A5D"/>
    <w:rsid w:val="591C1ADA"/>
    <w:rsid w:val="595D7771"/>
    <w:rsid w:val="5A3F3FCC"/>
    <w:rsid w:val="5B495696"/>
    <w:rsid w:val="5B962018"/>
    <w:rsid w:val="5C1E200D"/>
    <w:rsid w:val="5CAB5170"/>
    <w:rsid w:val="5CCE08FE"/>
    <w:rsid w:val="5CD32DF8"/>
    <w:rsid w:val="5CF60894"/>
    <w:rsid w:val="5D5F1D5C"/>
    <w:rsid w:val="5DB1138B"/>
    <w:rsid w:val="5E183FA6"/>
    <w:rsid w:val="5E792935"/>
    <w:rsid w:val="5F5024DD"/>
    <w:rsid w:val="601033A2"/>
    <w:rsid w:val="601F0B11"/>
    <w:rsid w:val="602437A7"/>
    <w:rsid w:val="603E44B2"/>
    <w:rsid w:val="61271964"/>
    <w:rsid w:val="619141DE"/>
    <w:rsid w:val="61C176C2"/>
    <w:rsid w:val="6209484B"/>
    <w:rsid w:val="62290BAD"/>
    <w:rsid w:val="62612C54"/>
    <w:rsid w:val="62D1322E"/>
    <w:rsid w:val="62D77FFB"/>
    <w:rsid w:val="632C14B3"/>
    <w:rsid w:val="63535476"/>
    <w:rsid w:val="63A23524"/>
    <w:rsid w:val="63C60C88"/>
    <w:rsid w:val="63DC4C88"/>
    <w:rsid w:val="64414AEB"/>
    <w:rsid w:val="64584A4F"/>
    <w:rsid w:val="64C01EB3"/>
    <w:rsid w:val="652E2FEC"/>
    <w:rsid w:val="65A50C19"/>
    <w:rsid w:val="67334BBF"/>
    <w:rsid w:val="682312A9"/>
    <w:rsid w:val="68CF755F"/>
    <w:rsid w:val="68D1270D"/>
    <w:rsid w:val="68F55EA4"/>
    <w:rsid w:val="696077C1"/>
    <w:rsid w:val="69C340F2"/>
    <w:rsid w:val="6A5E61C0"/>
    <w:rsid w:val="6A745C1A"/>
    <w:rsid w:val="6A7A04D6"/>
    <w:rsid w:val="6AE23558"/>
    <w:rsid w:val="6B5670CE"/>
    <w:rsid w:val="6BD32BD7"/>
    <w:rsid w:val="6C046B2A"/>
    <w:rsid w:val="6C123F77"/>
    <w:rsid w:val="6C2076DB"/>
    <w:rsid w:val="6C4F77F2"/>
    <w:rsid w:val="6C7F2654"/>
    <w:rsid w:val="6CBA7B30"/>
    <w:rsid w:val="6D700CD0"/>
    <w:rsid w:val="6D97577B"/>
    <w:rsid w:val="6DDD62EF"/>
    <w:rsid w:val="6E072901"/>
    <w:rsid w:val="6E1D2124"/>
    <w:rsid w:val="6E314A9F"/>
    <w:rsid w:val="6E9F340B"/>
    <w:rsid w:val="6ECE341F"/>
    <w:rsid w:val="6EEA78EF"/>
    <w:rsid w:val="6F0772A4"/>
    <w:rsid w:val="6F352E36"/>
    <w:rsid w:val="6F465BC5"/>
    <w:rsid w:val="6FC62FD9"/>
    <w:rsid w:val="70533B33"/>
    <w:rsid w:val="708446DD"/>
    <w:rsid w:val="70F058CE"/>
    <w:rsid w:val="713E488C"/>
    <w:rsid w:val="71F92107"/>
    <w:rsid w:val="72037883"/>
    <w:rsid w:val="725549C1"/>
    <w:rsid w:val="727655E1"/>
    <w:rsid w:val="727D3816"/>
    <w:rsid w:val="72C7341C"/>
    <w:rsid w:val="72D2048F"/>
    <w:rsid w:val="73FB2F08"/>
    <w:rsid w:val="745D2AE8"/>
    <w:rsid w:val="75461F61"/>
    <w:rsid w:val="76BF3E0E"/>
    <w:rsid w:val="7758127B"/>
    <w:rsid w:val="77E5622B"/>
    <w:rsid w:val="78095A50"/>
    <w:rsid w:val="78132EB5"/>
    <w:rsid w:val="78FD0B56"/>
    <w:rsid w:val="793A002E"/>
    <w:rsid w:val="79782413"/>
    <w:rsid w:val="79B40DB8"/>
    <w:rsid w:val="79BA485E"/>
    <w:rsid w:val="79FD0865"/>
    <w:rsid w:val="7A3E1D6E"/>
    <w:rsid w:val="7A5404F2"/>
    <w:rsid w:val="7A8719DC"/>
    <w:rsid w:val="7A9E7181"/>
    <w:rsid w:val="7AF83CFD"/>
    <w:rsid w:val="7B8E6A22"/>
    <w:rsid w:val="7BD61B65"/>
    <w:rsid w:val="7C042B76"/>
    <w:rsid w:val="7D913F95"/>
    <w:rsid w:val="7E292420"/>
    <w:rsid w:val="7E682F48"/>
    <w:rsid w:val="7F1E7AAB"/>
    <w:rsid w:val="7F451ACC"/>
    <w:rsid w:val="7F5304D8"/>
    <w:rsid w:val="7F5B2AAD"/>
    <w:rsid w:val="7FCD3FD2"/>
    <w:rsid w:val="7FF15F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5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line="360" w:lineRule="auto"/>
      <w:jc w:val="both"/>
      <w:textAlignment w:val="baseline"/>
    </w:pPr>
    <w:rPr>
      <w:rFonts w:eastAsia="Times New Roman"/>
      <w:sz w:val="24"/>
      <w:lang w:val="en-GB"/>
    </w:rPr>
  </w:style>
  <w:style w:type="paragraph" w:styleId="Heading1">
    <w:name w:val="heading 1"/>
    <w:basedOn w:val="Normal"/>
    <w:next w:val="Normal"/>
    <w:link w:val="Heading1Char"/>
    <w:uiPriority w:val="9"/>
    <w:qFormat/>
    <w:pPr>
      <w:keepNext/>
      <w:keepLines/>
      <w:spacing w:before="340" w:after="330"/>
      <w:outlineLvl w:val="0"/>
    </w:pPr>
    <w:rPr>
      <w:b/>
      <w:bCs/>
      <w:kern w:val="44"/>
      <w:sz w:val="36"/>
      <w:szCs w:val="44"/>
    </w:rPr>
  </w:style>
  <w:style w:type="paragraph" w:styleId="Heading2">
    <w:name w:val="heading 2"/>
    <w:basedOn w:val="Normal"/>
    <w:next w:val="Normal"/>
    <w:link w:val="Heading2Char"/>
    <w:qFormat/>
    <w:pPr>
      <w:keepNext/>
      <w:outlineLvl w:val="1"/>
    </w:pPr>
    <w:rPr>
      <w:b/>
      <w:bCs/>
      <w:iCs/>
      <w:sz w:val="32"/>
    </w:rPr>
  </w:style>
  <w:style w:type="paragraph" w:styleId="Heading3">
    <w:name w:val="heading 3"/>
    <w:basedOn w:val="Normal"/>
    <w:next w:val="Normal"/>
    <w:link w:val="Heading3Char"/>
    <w:qFormat/>
    <w:pPr>
      <w:keepNext/>
      <w:outlineLvl w:val="2"/>
    </w:pPr>
    <w:rPr>
      <w:b/>
      <w:sz w:val="26"/>
    </w:rPr>
  </w:style>
  <w:style w:type="paragraph" w:styleId="Heading4">
    <w:name w:val="heading 4"/>
    <w:basedOn w:val="Normal"/>
    <w:next w:val="Normal"/>
    <w:link w:val="Heading4Char"/>
    <w:qFormat/>
    <w:pPr>
      <w:keepNext/>
      <w:jc w:val="center"/>
      <w:outlineLvl w:val="3"/>
    </w:pPr>
    <w:rPr>
      <w:rFonts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overflowPunct/>
      <w:autoSpaceDE/>
      <w:autoSpaceDN/>
      <w:adjustRightInd/>
      <w:textAlignment w:val="auto"/>
    </w:pPr>
    <w:rPr>
      <w:b/>
    </w:rPr>
  </w:style>
  <w:style w:type="paragraph" w:styleId="BodyText3">
    <w:name w:val="Body Text 3"/>
    <w:basedOn w:val="Normal"/>
    <w:link w:val="BodyText3Char"/>
    <w:qFormat/>
    <w:rPr>
      <w:i/>
      <w:iCs/>
    </w:rPr>
  </w:style>
  <w:style w:type="paragraph" w:styleId="Caption">
    <w:name w:val="caption"/>
    <w:basedOn w:val="Normal"/>
    <w:next w:val="Normal"/>
    <w:uiPriority w:val="35"/>
    <w:unhideWhenUsed/>
    <w:qFormat/>
    <w:rPr>
      <w:rFonts w:eastAsia="SimHei" w:cs="Arial"/>
      <w:i/>
      <w:sz w:val="18"/>
    </w:rPr>
  </w:style>
  <w:style w:type="paragraph" w:styleId="Footer">
    <w:name w:val="footer"/>
    <w:basedOn w:val="Normal"/>
    <w:link w:val="FooterChar"/>
    <w:pPr>
      <w:tabs>
        <w:tab w:val="center" w:pos="4153"/>
        <w:tab w:val="right" w:pos="8306"/>
      </w:tabs>
    </w:pPr>
  </w:style>
  <w:style w:type="paragraph" w:styleId="Header">
    <w:name w:val="header"/>
    <w:basedOn w:val="Normal"/>
    <w:link w:val="HeaderChar"/>
    <w:qFormat/>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line="360" w:lineRule="auto"/>
      <w:jc w:val="both"/>
    </w:pPr>
    <w:rPr>
      <w:sz w:val="24"/>
      <w:szCs w:val="24"/>
      <w:lang w:eastAsia="zh-CN"/>
    </w:rPr>
  </w:style>
  <w:style w:type="character" w:styleId="PageNumber">
    <w:name w:val="page number"/>
    <w:basedOn w:val="DefaultParagraphFont"/>
    <w:qFormat/>
  </w:style>
  <w:style w:type="table" w:styleId="TableGrid">
    <w:name w:val="Table Grid"/>
    <w:basedOn w:val="TableNormal"/>
    <w:uiPriority w:val="5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240" w:after="60"/>
      <w:jc w:val="center"/>
      <w:outlineLvl w:val="0"/>
    </w:pPr>
    <w:rPr>
      <w:rFonts w:cs="Arial"/>
      <w:b/>
      <w:bCs/>
      <w:sz w:val="56"/>
      <w:szCs w:val="32"/>
    </w:rPr>
  </w:style>
  <w:style w:type="paragraph" w:styleId="TOC1">
    <w:name w:val="toc 1"/>
    <w:basedOn w:val="Normal"/>
    <w:next w:val="Normal"/>
    <w:uiPriority w:val="39"/>
    <w:unhideWhenUsed/>
  </w:style>
  <w:style w:type="character" w:customStyle="1" w:styleId="Heading2Char">
    <w:name w:val="Heading 2 Char"/>
    <w:basedOn w:val="DefaultParagraphFont"/>
    <w:link w:val="Heading2"/>
    <w:qFormat/>
    <w:rPr>
      <w:rFonts w:ascii="Arial" w:eastAsia="Times New Roman" w:hAnsi="Arial" w:cs="Times New Roman"/>
      <w:b/>
      <w:bCs/>
      <w:iCs/>
      <w:sz w:val="32"/>
      <w:szCs w:val="20"/>
    </w:rPr>
  </w:style>
  <w:style w:type="character" w:customStyle="1" w:styleId="Heading3Char">
    <w:name w:val="Heading 3 Char"/>
    <w:basedOn w:val="DefaultParagraphFont"/>
    <w:link w:val="Heading3"/>
    <w:qFormat/>
    <w:rPr>
      <w:rFonts w:ascii="Arial" w:eastAsia="Times New Roman" w:hAnsi="Arial" w:cs="Times New Roman"/>
      <w:b/>
      <w:sz w:val="26"/>
      <w:szCs w:val="20"/>
    </w:rPr>
  </w:style>
  <w:style w:type="character" w:customStyle="1" w:styleId="Heading4Char">
    <w:name w:val="Heading 4 Char"/>
    <w:basedOn w:val="DefaultParagraphFont"/>
    <w:link w:val="Heading4"/>
    <w:qFormat/>
    <w:rPr>
      <w:rFonts w:ascii="Arial" w:eastAsia="Times New Roman" w:hAnsi="Arial" w:cs="Arial"/>
      <w:b/>
      <w:bCs/>
      <w:sz w:val="40"/>
      <w:szCs w:val="20"/>
    </w:rPr>
  </w:style>
  <w:style w:type="character" w:customStyle="1" w:styleId="HeaderChar">
    <w:name w:val="Header Char"/>
    <w:basedOn w:val="DefaultParagraphFont"/>
    <w:link w:val="Header"/>
    <w:qFormat/>
    <w:rPr>
      <w:rFonts w:ascii="Bookman Old Style" w:eastAsia="Times New Roman" w:hAnsi="Bookman Old Style" w:cs="Times New Roman"/>
      <w:snapToGrid w:val="0"/>
      <w:sz w:val="24"/>
      <w:szCs w:val="20"/>
      <w:lang w:val="en-US"/>
    </w:rPr>
  </w:style>
  <w:style w:type="character" w:customStyle="1" w:styleId="FooterChar">
    <w:name w:val="Footer Char"/>
    <w:basedOn w:val="DefaultParagraphFont"/>
    <w:link w:val="Footer"/>
    <w:qFormat/>
    <w:rPr>
      <w:rFonts w:ascii="Times New Roman" w:eastAsia="Times New Roman" w:hAnsi="Times New Roman" w:cs="Times New Roman"/>
      <w:sz w:val="20"/>
      <w:szCs w:val="20"/>
    </w:rPr>
  </w:style>
  <w:style w:type="character" w:customStyle="1" w:styleId="BodyTextChar">
    <w:name w:val="Body Text Char"/>
    <w:basedOn w:val="DefaultParagraphFont"/>
    <w:link w:val="BodyText"/>
    <w:qFormat/>
    <w:rPr>
      <w:rFonts w:ascii="Times New Roman" w:eastAsia="Times New Roman" w:hAnsi="Times New Roman" w:cs="Times New Roman"/>
      <w:b/>
      <w:sz w:val="24"/>
      <w:szCs w:val="20"/>
    </w:rPr>
  </w:style>
  <w:style w:type="character" w:customStyle="1" w:styleId="BodyText3Char">
    <w:name w:val="Body Text 3 Char"/>
    <w:basedOn w:val="DefaultParagraphFont"/>
    <w:link w:val="BodyText3"/>
    <w:qFormat/>
    <w:rPr>
      <w:rFonts w:ascii="Times New Roman" w:eastAsia="Times New Roman" w:hAnsi="Times New Roman" w:cs="Times New Roman"/>
      <w:i/>
      <w:iCs/>
      <w:sz w:val="24"/>
      <w:szCs w:val="20"/>
    </w:rPr>
  </w:style>
  <w:style w:type="paragraph" w:styleId="ListParagraph">
    <w:name w:val="List Paragraph"/>
    <w:basedOn w:val="Normal"/>
    <w:uiPriority w:val="34"/>
    <w:qFormat/>
    <w:pPr>
      <w:ind w:left="720"/>
      <w:contextualSpacing/>
    </w:pPr>
  </w:style>
  <w:style w:type="character" w:customStyle="1" w:styleId="Heading1Char">
    <w:name w:val="Heading 1 Char"/>
    <w:link w:val="Heading1"/>
    <w:qFormat/>
    <w:rPr>
      <w:rFonts w:ascii="Times New Roman" w:hAnsi="Times New Roman"/>
      <w:b/>
      <w:bCs/>
      <w:kern w:val="44"/>
      <w:sz w:val="36"/>
      <w:szCs w:val="44"/>
    </w:rPr>
  </w:style>
  <w:style w:type="paragraph" w:customStyle="1" w:styleId="WPSOffice1">
    <w:name w:val="WPSOffice手动目录 1"/>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DD6F31-6D2F-4D78-BC69-BF5AB8776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2023-03-21T15:38:00Z</dcterms:created>
  <dcterms:modified xsi:type="dcterms:W3CDTF">2023-03-21T15:38:00Z</dcterms:modified>
</cp:coreProperties>
</file>