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A87FA" w14:textId="77777777" w:rsidR="000C446F" w:rsidRDefault="000C446F" w:rsidP="000C446F">
      <w:pPr>
        <w:rPr>
          <w:rFonts w:ascii="Arial" w:hAnsi="Arial" w:cs="Arial"/>
          <w:sz w:val="24"/>
          <w:szCs w:val="24"/>
          <w:lang w:val="en-US"/>
        </w:rPr>
      </w:pPr>
      <w:r>
        <w:rPr>
          <w:rFonts w:ascii="Arial" w:hAnsi="Arial" w:cs="Arial"/>
          <w:sz w:val="24"/>
          <w:szCs w:val="24"/>
          <w:lang w:val="en-US"/>
        </w:rPr>
        <w:t xml:space="preserve">This assignment will explore the criminal liabilities of Paula and Harriet, evaluating the mens reus and actus reus and the result when a person is legally responsible for the criminal acts of another. One of the issues in this appeal is determining whether Paula had direct intention to permanently deprive Christine’s of her designer handbag, giving rise to prosecution under </w:t>
      </w:r>
      <w:r w:rsidRPr="000C726B">
        <w:rPr>
          <w:rFonts w:ascii="Arial" w:hAnsi="Arial" w:cs="Arial"/>
          <w:sz w:val="24"/>
          <w:szCs w:val="24"/>
          <w:lang w:val="en-US"/>
        </w:rPr>
        <w:t>s</w:t>
      </w:r>
      <w:r>
        <w:rPr>
          <w:rFonts w:ascii="Arial" w:hAnsi="Arial" w:cs="Arial"/>
          <w:sz w:val="24"/>
          <w:szCs w:val="24"/>
          <w:lang w:val="en-US"/>
        </w:rPr>
        <w:t xml:space="preserve">ection 6 (1) </w:t>
      </w:r>
      <w:r w:rsidRPr="000C726B">
        <w:rPr>
          <w:rFonts w:ascii="Arial" w:hAnsi="Arial" w:cs="Arial"/>
          <w:sz w:val="24"/>
          <w:szCs w:val="24"/>
          <w:lang w:val="en-US"/>
        </w:rPr>
        <w:t xml:space="preserve">Theft Act </w:t>
      </w:r>
      <w:r>
        <w:rPr>
          <w:rFonts w:ascii="Arial" w:hAnsi="Arial" w:cs="Arial"/>
          <w:sz w:val="24"/>
          <w:szCs w:val="24"/>
          <w:lang w:val="en-US"/>
        </w:rPr>
        <w:t xml:space="preserve">[1968]. Paula displayed clear intentions to not return the designer handbag to the property by breaching the elements of theft by dishonestly appropriating property belonging to another and permanently depriving Christine of her designer handbag. </w:t>
      </w:r>
    </w:p>
    <w:p w14:paraId="348F5883" w14:textId="77777777" w:rsidR="000C446F" w:rsidRDefault="000C446F" w:rsidP="000C446F">
      <w:pPr>
        <w:rPr>
          <w:rFonts w:ascii="Arial" w:hAnsi="Arial" w:cs="Arial"/>
          <w:sz w:val="24"/>
          <w:szCs w:val="24"/>
          <w:lang w:val="en-US"/>
        </w:rPr>
      </w:pPr>
    </w:p>
    <w:p w14:paraId="7A43797F" w14:textId="77777777" w:rsidR="000C446F" w:rsidRDefault="000C446F" w:rsidP="000C446F">
      <w:pPr>
        <w:rPr>
          <w:rFonts w:ascii="Arial" w:hAnsi="Arial" w:cs="Arial"/>
          <w:sz w:val="24"/>
          <w:szCs w:val="24"/>
          <w:lang w:val="en-US"/>
        </w:rPr>
      </w:pPr>
      <w:r>
        <w:rPr>
          <w:rFonts w:ascii="Arial" w:hAnsi="Arial" w:cs="Arial"/>
          <w:sz w:val="24"/>
          <w:szCs w:val="24"/>
          <w:lang w:val="en-US"/>
        </w:rPr>
        <w:t xml:space="preserve">Moreover, Harriet is eligible for a plea of automatism (an excuse defense), due to her environmental influences causing her to execute involuntary actions, without having any unlawful intentions. The involuntary actions include assault and criminal damage. The defendant’s involuntary drunkenness leads debate as to whether Harriet should be held accountable for her actions. It is present that Leon spiked Harriet’s drink, making an external factor, giving rise to defense for Harriet. It is vital to prove that the defendant did not commit the actus reus of the automatism offence and the mens rea does not fit the crime. Harriet acted in the state of automatism when the crime was committed involuntarily, therefore it can be found that Harriet’s consciousness lacked voluntary self-control. Automatism inhibits the defendant from making the unlawful intent required to carry out the crime. Regardless of this, the offences to be applied are the offences against the person act section 20 [1861] and the criminal damage act section 5 (2) (a). </w:t>
      </w:r>
    </w:p>
    <w:p w14:paraId="4BAC7A6C" w14:textId="4CDE76AC" w:rsidR="006245D2" w:rsidRDefault="006245D2"/>
    <w:p w14:paraId="53BE7DF0" w14:textId="77777777" w:rsidR="000C446F" w:rsidRDefault="000C446F" w:rsidP="000C446F">
      <w:pPr>
        <w:rPr>
          <w:rFonts w:ascii="Arial" w:hAnsi="Arial" w:cs="Arial"/>
          <w:sz w:val="24"/>
          <w:szCs w:val="24"/>
        </w:rPr>
      </w:pPr>
      <w:r>
        <w:rPr>
          <w:rFonts w:ascii="Arial" w:hAnsi="Arial" w:cs="Arial"/>
          <w:sz w:val="24"/>
          <w:szCs w:val="24"/>
        </w:rPr>
        <w:t>It was established in R v Cahill [1993] that removing another’s property as a joke is probable under s.6 Theft Act [1968], and such actions can be theft. Likewise, Paula violated the appropriation of property by assuming she had the rights to possess Christine’s personal property and then deal with it as an owner. It is undeniable that Paula was dishonest in stealing the designer handbag, due to the s.6 (1) Theft Act; it proves that Paula did permanently deprive Christine of her personal property by taking further actions in putting the handbag in her car and driving it home. Paula appropriated the property belonging to another with intent to permanently deprive the handbag, despite Christine’s rights. Legislation.gov.uk (</w:t>
      </w:r>
      <w:proofErr w:type="spellStart"/>
      <w:r>
        <w:rPr>
          <w:rFonts w:ascii="Arial" w:hAnsi="Arial" w:cs="Arial"/>
          <w:sz w:val="24"/>
          <w:szCs w:val="24"/>
        </w:rPr>
        <w:t>n.d</w:t>
      </w:r>
      <w:proofErr w:type="spellEnd"/>
      <w:r>
        <w:rPr>
          <w:rFonts w:ascii="Arial" w:hAnsi="Arial" w:cs="Arial"/>
          <w:sz w:val="24"/>
          <w:szCs w:val="24"/>
        </w:rPr>
        <w:t xml:space="preserve">). </w:t>
      </w:r>
    </w:p>
    <w:p w14:paraId="4DF247BD" w14:textId="77777777" w:rsidR="000C446F" w:rsidRDefault="000C446F" w:rsidP="000C446F">
      <w:pPr>
        <w:rPr>
          <w:rFonts w:ascii="Arial" w:hAnsi="Arial" w:cs="Arial"/>
          <w:sz w:val="24"/>
          <w:szCs w:val="24"/>
        </w:rPr>
      </w:pPr>
    </w:p>
    <w:p w14:paraId="62B6F88C" w14:textId="77777777" w:rsidR="000C446F" w:rsidRDefault="000C446F" w:rsidP="000C446F">
      <w:pPr>
        <w:rPr>
          <w:rFonts w:ascii="Arial" w:eastAsia="Arial" w:hAnsi="Arial" w:cs="Arial"/>
          <w:sz w:val="24"/>
          <w:szCs w:val="24"/>
        </w:rPr>
      </w:pPr>
      <w:r>
        <w:rPr>
          <w:rFonts w:ascii="Arial" w:hAnsi="Arial" w:cs="Arial"/>
          <w:sz w:val="24"/>
          <w:szCs w:val="24"/>
        </w:rPr>
        <w:t xml:space="preserve">The mens rea of theft must prove that Paula has a guilty mind, which is showing she had intention to commit the offence, and the actus reus must prove she committed the physical act. </w:t>
      </w:r>
      <w:proofErr w:type="spellStart"/>
      <w:r>
        <w:rPr>
          <w:rFonts w:ascii="Arial" w:hAnsi="Arial" w:cs="Arial"/>
          <w:sz w:val="24"/>
          <w:szCs w:val="24"/>
        </w:rPr>
        <w:t>MCalhone</w:t>
      </w:r>
      <w:proofErr w:type="spellEnd"/>
      <w:r>
        <w:rPr>
          <w:rFonts w:ascii="Arial" w:hAnsi="Arial" w:cs="Arial"/>
          <w:sz w:val="24"/>
          <w:szCs w:val="24"/>
        </w:rPr>
        <w:t xml:space="preserve"> et al (2007). The mens rea proves Paula’s dishonesty by presenting her jealous tendencies acting into stealing Christine’s handbag, then moving the handbag from the property and discretely placing it underneath her car, to which Paula then drove home, being dishonest about stealing the handbag. Paula had clear intentions to permanently deprive Christine of her handbag, thus giving rise to the mens rea of theft. A case where dishonesty was present is in the </w:t>
      </w:r>
      <w:r w:rsidRPr="006E2E34">
        <w:rPr>
          <w:rFonts w:ascii="Arial" w:eastAsia="Arial" w:hAnsi="Arial" w:cs="Arial"/>
          <w:sz w:val="24"/>
          <w:szCs w:val="24"/>
        </w:rPr>
        <w:t>Ivey v Genting Casinos (UK) ltd [2017]</w:t>
      </w:r>
      <w:r>
        <w:rPr>
          <w:rFonts w:ascii="Arial" w:eastAsia="Arial" w:hAnsi="Arial" w:cs="Arial"/>
          <w:sz w:val="24"/>
          <w:szCs w:val="24"/>
        </w:rPr>
        <w:t xml:space="preserve">, where a gambler sues a casino for his winnings. There were issues implied such as the debate of dishonesty and whether dishonesty </w:t>
      </w:r>
      <w:r>
        <w:rPr>
          <w:rFonts w:ascii="Arial" w:eastAsia="Arial" w:hAnsi="Arial" w:cs="Arial"/>
          <w:sz w:val="24"/>
          <w:szCs w:val="24"/>
        </w:rPr>
        <w:lastRenderedPageBreak/>
        <w:t xml:space="preserve">is a crucial factor of cheating. The component of dishonesty became required as a common law violation of cheating, which laid out the legitimacy of cheating fraudulently in the context of gaming and gambling. Dishonesty fits the mens rea of section 6 Theft Act [1968] and gives rise to the offence. Amin et al (2020), evokes how the jury used the objective test in order to distinguish the defendants definite state of mind regarding to knowledge and certainty to the circumstances. Now used in case law, the Ivey test simplifies the problem of dishonesty for a jury (and the prosecution) by eliminating the chance for a defendant to contend that the ‘subjective test’ is not fulfilled by taking advantage of his own view of what was truthful and dishonest. It is present that being dishonest is wrong and gives reason to fit the crime, therefore Paula’s illegal actions pacify the mens rea of theft by displaying dishonesty. Pg. 13. The Supreme Court (2017). </w:t>
      </w:r>
    </w:p>
    <w:p w14:paraId="2069F95D" w14:textId="77777777" w:rsidR="000C446F" w:rsidRDefault="000C446F" w:rsidP="000C446F">
      <w:pPr>
        <w:rPr>
          <w:rFonts w:ascii="Arial" w:hAnsi="Arial" w:cs="Arial"/>
          <w:sz w:val="24"/>
          <w:szCs w:val="24"/>
        </w:rPr>
      </w:pPr>
    </w:p>
    <w:p w14:paraId="1C902AD8" w14:textId="77777777" w:rsidR="000C446F" w:rsidRDefault="000C446F" w:rsidP="000C446F">
      <w:pPr>
        <w:rPr>
          <w:rFonts w:ascii="Arial" w:hAnsi="Arial" w:cs="Arial"/>
          <w:sz w:val="24"/>
          <w:szCs w:val="24"/>
        </w:rPr>
      </w:pPr>
      <w:r>
        <w:rPr>
          <w:rFonts w:ascii="Arial" w:hAnsi="Arial" w:cs="Arial"/>
          <w:sz w:val="24"/>
          <w:szCs w:val="24"/>
        </w:rPr>
        <w:t xml:space="preserve">The offence meets the actus reus elements by appropriating property belonging to another. Paula had assumption that she had the right to move Christine’s personal property which breaches the rights of the owner, and she further had the assumption of a right to keep the handbag and distribute it as an owner. As soon as Paula took the handbag, the actus reus components had been met as the physical act was present. All the components of theft have been </w:t>
      </w:r>
      <w:r w:rsidRPr="007C3B1D">
        <w:rPr>
          <w:rFonts w:ascii="Arial" w:hAnsi="Arial" w:cs="Arial"/>
          <w:sz w:val="24"/>
          <w:szCs w:val="24"/>
        </w:rPr>
        <w:t xml:space="preserve">met for the offence to be obtained. A case which exemplifies the assumption of appropriation is R v Morris [1983], where the owner had the right to make sure the supplies were marketed at the price </w:t>
      </w:r>
      <w:r>
        <w:rPr>
          <w:rFonts w:ascii="Arial" w:hAnsi="Arial" w:cs="Arial"/>
          <w:sz w:val="24"/>
          <w:szCs w:val="24"/>
        </w:rPr>
        <w:t>chosen</w:t>
      </w:r>
      <w:r w:rsidRPr="007C3B1D">
        <w:rPr>
          <w:rFonts w:ascii="Arial" w:hAnsi="Arial" w:cs="Arial"/>
          <w:sz w:val="24"/>
          <w:szCs w:val="24"/>
        </w:rPr>
        <w:t>, and the defendant changed the labels to be able to pay less. The defendan</w:t>
      </w:r>
      <w:r>
        <w:rPr>
          <w:rFonts w:ascii="Arial" w:hAnsi="Arial" w:cs="Arial"/>
          <w:sz w:val="24"/>
          <w:szCs w:val="24"/>
        </w:rPr>
        <w:t xml:space="preserve">t had assumption of the owners’ rights, therefore an appropriation. The appropriation is of relevance by completing the elements of the actus reus of theft. The actus reus was completed as soon as the goods were removed from the shelves and the labels switched. The defendants were convicted of s.1 of the Theft Act [1968]. Similarly, to Paula’s scenario, the actus reus was completed once the handbag had been taken. This case exemplifies the argument against Paula, proving that she is liable under appropriating property belonging to another. </w:t>
      </w:r>
    </w:p>
    <w:p w14:paraId="61C873F0" w14:textId="77777777" w:rsidR="000C446F" w:rsidRDefault="000C446F" w:rsidP="000C446F">
      <w:pPr>
        <w:rPr>
          <w:rFonts w:ascii="Arial" w:hAnsi="Arial" w:cs="Arial"/>
          <w:sz w:val="24"/>
          <w:szCs w:val="24"/>
        </w:rPr>
      </w:pPr>
    </w:p>
    <w:p w14:paraId="6214A55D" w14:textId="31D22856" w:rsidR="000C446F" w:rsidRDefault="000C446F" w:rsidP="000C446F">
      <w:pPr>
        <w:rPr>
          <w:rFonts w:ascii="Arial" w:hAnsi="Arial" w:cs="Arial"/>
          <w:sz w:val="24"/>
          <w:szCs w:val="24"/>
        </w:rPr>
      </w:pPr>
      <w:r>
        <w:rPr>
          <w:rFonts w:ascii="Arial" w:hAnsi="Arial" w:cs="Arial"/>
          <w:sz w:val="24"/>
          <w:szCs w:val="24"/>
        </w:rPr>
        <w:t xml:space="preserve">For Harriet to meet the defence requirements, it is fundamental to discuss if the crime fits both the mental and physical elements of the offences. The problem regarding prosecution under s.5 (2) (a) criminal damage act [1971] is concerning the mens rea, did Harriet intentionally cause criminal damage to Christine’s property? The evidence supporting Harriet’s reasoning behind smashing the glass doors is due to hallucinating that the room was on fire from being spiked with alcohol by Leon, which was beyond the defendant’s control. It can be argued at the time of the criminal act, without lawful excuse the defendant believed that the owner of the property (Christine) would have consented to the damage to the property or would have consented if asked or would have </w:t>
      </w:r>
      <w:r>
        <w:rPr>
          <w:rFonts w:ascii="Arial" w:hAnsi="Arial" w:cs="Arial"/>
          <w:sz w:val="24"/>
          <w:szCs w:val="24"/>
        </w:rPr>
        <w:t>given</w:t>
      </w:r>
      <w:r>
        <w:rPr>
          <w:rFonts w:ascii="Arial" w:hAnsi="Arial" w:cs="Arial"/>
          <w:sz w:val="24"/>
          <w:szCs w:val="24"/>
        </w:rPr>
        <w:t xml:space="preserve"> consent if they had known the circumstances. </w:t>
      </w:r>
    </w:p>
    <w:p w14:paraId="66624A79" w14:textId="63CFFEFD" w:rsidR="000C446F" w:rsidRDefault="000C446F" w:rsidP="000C446F">
      <w:pPr>
        <w:rPr>
          <w:rFonts w:ascii="Arial" w:hAnsi="Arial" w:cs="Arial"/>
          <w:sz w:val="24"/>
          <w:szCs w:val="24"/>
        </w:rPr>
      </w:pPr>
    </w:p>
    <w:p w14:paraId="3D76137E" w14:textId="75D68B9B" w:rsidR="000C446F" w:rsidRDefault="000C446F" w:rsidP="000C446F">
      <w:pPr>
        <w:rPr>
          <w:rFonts w:ascii="Arial" w:hAnsi="Arial" w:cs="Arial"/>
          <w:sz w:val="24"/>
          <w:szCs w:val="24"/>
        </w:rPr>
      </w:pPr>
    </w:p>
    <w:p w14:paraId="771A26C8" w14:textId="77777777" w:rsidR="000C446F" w:rsidRDefault="000C446F" w:rsidP="000C446F">
      <w:pPr>
        <w:rPr>
          <w:rFonts w:ascii="Arial" w:hAnsi="Arial" w:cs="Arial"/>
          <w:b/>
          <w:bCs/>
          <w:sz w:val="24"/>
          <w:szCs w:val="24"/>
          <w:u w:val="single"/>
          <w:lang w:val="en-US"/>
        </w:rPr>
      </w:pPr>
      <w:r>
        <w:rPr>
          <w:rFonts w:ascii="Arial" w:hAnsi="Arial" w:cs="Arial"/>
          <w:b/>
          <w:bCs/>
          <w:sz w:val="24"/>
          <w:szCs w:val="24"/>
          <w:u w:val="single"/>
          <w:lang w:val="en-US"/>
        </w:rPr>
        <w:lastRenderedPageBreak/>
        <w:t xml:space="preserve">References: </w:t>
      </w:r>
    </w:p>
    <w:p w14:paraId="414EC24A" w14:textId="77777777" w:rsidR="000C446F" w:rsidRDefault="000C446F" w:rsidP="000C446F">
      <w:pPr>
        <w:rPr>
          <w:rFonts w:ascii="Arial" w:hAnsi="Arial" w:cs="Arial"/>
          <w:sz w:val="24"/>
          <w:szCs w:val="24"/>
          <w:lang w:val="en-US"/>
        </w:rPr>
      </w:pPr>
    </w:p>
    <w:p w14:paraId="05805FA3" w14:textId="77777777" w:rsidR="000C446F" w:rsidRDefault="000C446F" w:rsidP="000C446F">
      <w:pPr>
        <w:rPr>
          <w:rFonts w:ascii="Arial" w:hAnsi="Arial" w:cs="Arial"/>
          <w:sz w:val="24"/>
          <w:szCs w:val="24"/>
        </w:rPr>
      </w:pPr>
      <w:r>
        <w:rPr>
          <w:rFonts w:ascii="Arial" w:hAnsi="Arial" w:cs="Arial"/>
          <w:sz w:val="24"/>
          <w:szCs w:val="24"/>
        </w:rPr>
        <w:t>Legislation.gov.uk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 xml:space="preserve">Theft Act 1968, </w:t>
      </w:r>
      <w:r>
        <w:rPr>
          <w:rFonts w:ascii="Arial" w:hAnsi="Arial" w:cs="Arial"/>
          <w:sz w:val="24"/>
          <w:szCs w:val="24"/>
        </w:rPr>
        <w:t xml:space="preserve">[online], Available at: </w:t>
      </w:r>
      <w:hyperlink r:id="rId4" w:history="1">
        <w:r w:rsidRPr="00DE0B54">
          <w:rPr>
            <w:rStyle w:val="Hyperlink"/>
            <w:rFonts w:ascii="Arial" w:hAnsi="Arial" w:cs="Arial"/>
            <w:sz w:val="24"/>
            <w:szCs w:val="24"/>
          </w:rPr>
          <w:t>https://www.legislation.gov.uk/ukpga/1968/60/section/6</w:t>
        </w:r>
      </w:hyperlink>
      <w:r>
        <w:rPr>
          <w:rFonts w:ascii="Arial" w:hAnsi="Arial" w:cs="Arial"/>
          <w:sz w:val="24"/>
          <w:szCs w:val="24"/>
        </w:rPr>
        <w:t>, (Accessed: 25</w:t>
      </w:r>
      <w:r w:rsidRPr="008859A8">
        <w:rPr>
          <w:rFonts w:ascii="Arial" w:hAnsi="Arial" w:cs="Arial"/>
          <w:sz w:val="24"/>
          <w:szCs w:val="24"/>
          <w:vertAlign w:val="superscript"/>
        </w:rPr>
        <w:t>th</w:t>
      </w:r>
      <w:r>
        <w:rPr>
          <w:rFonts w:ascii="Arial" w:hAnsi="Arial" w:cs="Arial"/>
          <w:sz w:val="24"/>
          <w:szCs w:val="24"/>
        </w:rPr>
        <w:t xml:space="preserve"> November 2021). </w:t>
      </w:r>
    </w:p>
    <w:p w14:paraId="28E1A005" w14:textId="77777777" w:rsidR="000C446F" w:rsidRDefault="000C446F" w:rsidP="000C446F">
      <w:pPr>
        <w:rPr>
          <w:rFonts w:ascii="Arial" w:hAnsi="Arial" w:cs="Arial"/>
          <w:sz w:val="24"/>
          <w:szCs w:val="24"/>
          <w:lang w:val="en-US"/>
        </w:rPr>
      </w:pPr>
    </w:p>
    <w:p w14:paraId="72C4B54F" w14:textId="77777777" w:rsidR="000C446F" w:rsidRDefault="000C446F" w:rsidP="000C446F">
      <w:pPr>
        <w:rPr>
          <w:rFonts w:ascii="Arial" w:hAnsi="Arial" w:cs="Arial"/>
          <w:sz w:val="24"/>
          <w:szCs w:val="24"/>
        </w:rPr>
      </w:pPr>
      <w:proofErr w:type="spellStart"/>
      <w:r>
        <w:rPr>
          <w:rFonts w:ascii="Arial" w:hAnsi="Arial" w:cs="Arial"/>
          <w:sz w:val="24"/>
          <w:szCs w:val="24"/>
        </w:rPr>
        <w:t>Mcalhone</w:t>
      </w:r>
      <w:proofErr w:type="spellEnd"/>
      <w:r>
        <w:rPr>
          <w:rFonts w:ascii="Arial" w:hAnsi="Arial" w:cs="Arial"/>
          <w:sz w:val="24"/>
          <w:szCs w:val="24"/>
        </w:rPr>
        <w:t>. C, Huxley-</w:t>
      </w:r>
      <w:proofErr w:type="spellStart"/>
      <w:r>
        <w:rPr>
          <w:rFonts w:ascii="Arial" w:hAnsi="Arial" w:cs="Arial"/>
          <w:sz w:val="24"/>
          <w:szCs w:val="24"/>
        </w:rPr>
        <w:t>Binns</w:t>
      </w:r>
      <w:proofErr w:type="spellEnd"/>
      <w:r>
        <w:rPr>
          <w:rFonts w:ascii="Arial" w:hAnsi="Arial" w:cs="Arial"/>
          <w:sz w:val="24"/>
          <w:szCs w:val="24"/>
        </w:rPr>
        <w:t xml:space="preserve">. R (2007), </w:t>
      </w:r>
      <w:r>
        <w:rPr>
          <w:rFonts w:ascii="Arial" w:hAnsi="Arial" w:cs="Arial"/>
          <w:i/>
          <w:iCs/>
          <w:sz w:val="24"/>
          <w:szCs w:val="24"/>
        </w:rPr>
        <w:t xml:space="preserve">Criminal Law the Fundamentals, </w:t>
      </w:r>
      <w:r>
        <w:rPr>
          <w:rFonts w:ascii="Arial" w:hAnsi="Arial" w:cs="Arial"/>
          <w:sz w:val="24"/>
          <w:szCs w:val="24"/>
        </w:rPr>
        <w:t xml:space="preserve">First Edition, Published by Sweet and Maxwell Limited. </w:t>
      </w:r>
    </w:p>
    <w:p w14:paraId="7F6C7B33" w14:textId="77777777" w:rsidR="000C446F" w:rsidRDefault="000C446F" w:rsidP="000C446F">
      <w:pPr>
        <w:rPr>
          <w:rFonts w:ascii="Arial" w:hAnsi="Arial" w:cs="Arial"/>
          <w:sz w:val="24"/>
          <w:szCs w:val="24"/>
        </w:rPr>
      </w:pPr>
    </w:p>
    <w:p w14:paraId="7FBF5C1E" w14:textId="77777777" w:rsidR="000C446F" w:rsidRDefault="000C446F" w:rsidP="000C446F">
      <w:pPr>
        <w:rPr>
          <w:rFonts w:ascii="Arial" w:eastAsia="Arial" w:hAnsi="Arial" w:cs="Arial"/>
          <w:sz w:val="24"/>
          <w:szCs w:val="24"/>
        </w:rPr>
      </w:pPr>
      <w:r>
        <w:rPr>
          <w:rFonts w:ascii="Arial" w:eastAsia="Arial" w:hAnsi="Arial" w:cs="Arial"/>
          <w:sz w:val="24"/>
          <w:szCs w:val="24"/>
        </w:rPr>
        <w:t xml:space="preserve">The Supreme Court (2017), </w:t>
      </w:r>
      <w:r w:rsidRPr="00BB38E1">
        <w:rPr>
          <w:rFonts w:ascii="Arial" w:eastAsia="Arial" w:hAnsi="Arial" w:cs="Arial"/>
          <w:i/>
          <w:iCs/>
          <w:sz w:val="24"/>
          <w:szCs w:val="24"/>
        </w:rPr>
        <w:t>JUDGMENT, Ivey (Appellant) v Genting Casinos (UK) Ltd t/a Crockfords (Respondent)</w:t>
      </w:r>
      <w:r>
        <w:rPr>
          <w:rFonts w:ascii="Arial" w:eastAsia="Arial" w:hAnsi="Arial" w:cs="Arial"/>
          <w:i/>
          <w:iCs/>
          <w:sz w:val="24"/>
          <w:szCs w:val="24"/>
        </w:rPr>
        <w:t xml:space="preserve">, </w:t>
      </w:r>
      <w:r>
        <w:rPr>
          <w:rFonts w:ascii="Arial" w:eastAsia="Arial" w:hAnsi="Arial" w:cs="Arial"/>
          <w:sz w:val="24"/>
          <w:szCs w:val="24"/>
        </w:rPr>
        <w:t xml:space="preserve">[online], Available at: </w:t>
      </w:r>
      <w:hyperlink r:id="rId5" w:history="1">
        <w:r w:rsidRPr="00DE0B54">
          <w:rPr>
            <w:rStyle w:val="Hyperlink"/>
            <w:rFonts w:ascii="Arial" w:eastAsia="Arial" w:hAnsi="Arial" w:cs="Arial"/>
            <w:sz w:val="24"/>
            <w:szCs w:val="24"/>
          </w:rPr>
          <w:t>https://www.supremecourt.uk/cases/docs/uksc-2016-0213-judgment.pdf</w:t>
        </w:r>
      </w:hyperlink>
      <w:r>
        <w:rPr>
          <w:rFonts w:ascii="Arial" w:eastAsia="Arial" w:hAnsi="Arial" w:cs="Arial"/>
          <w:sz w:val="24"/>
          <w:szCs w:val="24"/>
        </w:rPr>
        <w:t>, (Accessed 26</w:t>
      </w:r>
      <w:r w:rsidRPr="0097218D">
        <w:rPr>
          <w:rFonts w:ascii="Arial" w:eastAsia="Arial" w:hAnsi="Arial" w:cs="Arial"/>
          <w:sz w:val="24"/>
          <w:szCs w:val="24"/>
          <w:vertAlign w:val="superscript"/>
        </w:rPr>
        <w:t>th</w:t>
      </w:r>
      <w:r>
        <w:rPr>
          <w:rFonts w:ascii="Arial" w:eastAsia="Arial" w:hAnsi="Arial" w:cs="Arial"/>
          <w:sz w:val="24"/>
          <w:szCs w:val="24"/>
        </w:rPr>
        <w:t xml:space="preserve"> November). </w:t>
      </w:r>
    </w:p>
    <w:p w14:paraId="6B3DF032" w14:textId="77777777" w:rsidR="000C446F" w:rsidRDefault="000C446F" w:rsidP="000C446F">
      <w:pPr>
        <w:rPr>
          <w:rFonts w:ascii="Arial" w:eastAsia="Arial" w:hAnsi="Arial" w:cs="Arial"/>
          <w:sz w:val="24"/>
          <w:szCs w:val="24"/>
        </w:rPr>
      </w:pPr>
    </w:p>
    <w:p w14:paraId="42348D66" w14:textId="77777777" w:rsidR="000C446F" w:rsidRDefault="000C446F" w:rsidP="000C446F">
      <w:pPr>
        <w:rPr>
          <w:rFonts w:ascii="Arial" w:hAnsi="Arial" w:cs="Arial"/>
          <w:sz w:val="24"/>
          <w:szCs w:val="24"/>
        </w:rPr>
      </w:pPr>
      <w:r>
        <w:rPr>
          <w:rFonts w:ascii="Arial" w:eastAsia="Arial" w:hAnsi="Arial" w:cs="Arial"/>
          <w:sz w:val="24"/>
          <w:szCs w:val="24"/>
        </w:rPr>
        <w:t xml:space="preserve">Amin. A, </w:t>
      </w:r>
      <w:proofErr w:type="spellStart"/>
      <w:r>
        <w:rPr>
          <w:rFonts w:ascii="Arial" w:eastAsia="Arial" w:hAnsi="Arial" w:cs="Arial"/>
          <w:sz w:val="24"/>
          <w:szCs w:val="24"/>
        </w:rPr>
        <w:t>Sallybanks</w:t>
      </w:r>
      <w:proofErr w:type="spellEnd"/>
      <w:r>
        <w:rPr>
          <w:rFonts w:ascii="Arial" w:eastAsia="Arial" w:hAnsi="Arial" w:cs="Arial"/>
          <w:sz w:val="24"/>
          <w:szCs w:val="24"/>
        </w:rPr>
        <w:t xml:space="preserve">. R (2020), BCL Solicitors LLP, </w:t>
      </w:r>
      <w:r w:rsidRPr="00853CE0">
        <w:rPr>
          <w:rFonts w:ascii="Arial" w:hAnsi="Arial" w:cs="Arial"/>
          <w:i/>
          <w:iCs/>
          <w:sz w:val="24"/>
          <w:szCs w:val="24"/>
        </w:rPr>
        <w:t>The test for dishonesty in criminal cases – Ghosh gone, Ivey confirmed</w:t>
      </w:r>
      <w:r>
        <w:rPr>
          <w:rFonts w:ascii="Arial" w:hAnsi="Arial" w:cs="Arial"/>
          <w:i/>
          <w:iCs/>
          <w:sz w:val="24"/>
          <w:szCs w:val="24"/>
        </w:rPr>
        <w:t xml:space="preserve">, </w:t>
      </w:r>
      <w:r>
        <w:rPr>
          <w:rFonts w:ascii="Arial" w:hAnsi="Arial" w:cs="Arial"/>
          <w:sz w:val="24"/>
          <w:szCs w:val="24"/>
        </w:rPr>
        <w:t xml:space="preserve">[online], Available at: </w:t>
      </w:r>
      <w:hyperlink r:id="rId6" w:history="1">
        <w:r w:rsidRPr="00D70AD1">
          <w:rPr>
            <w:rStyle w:val="Hyperlink"/>
            <w:rFonts w:ascii="Arial" w:hAnsi="Arial" w:cs="Arial"/>
            <w:sz w:val="24"/>
            <w:szCs w:val="24"/>
          </w:rPr>
          <w:t>https://www.bcl.com/the-test-for-dishonesty-in-criminal-cases-ghosh-gone-ivey-confirmed/</w:t>
        </w:r>
      </w:hyperlink>
      <w:r>
        <w:rPr>
          <w:rFonts w:ascii="Arial" w:hAnsi="Arial" w:cs="Arial"/>
          <w:sz w:val="24"/>
          <w:szCs w:val="24"/>
        </w:rPr>
        <w:t>, (Accessed: 30</w:t>
      </w:r>
      <w:r w:rsidRPr="0036110F">
        <w:rPr>
          <w:rFonts w:ascii="Arial" w:hAnsi="Arial" w:cs="Arial"/>
          <w:sz w:val="24"/>
          <w:szCs w:val="24"/>
          <w:vertAlign w:val="superscript"/>
        </w:rPr>
        <w:t>th</w:t>
      </w:r>
      <w:r>
        <w:rPr>
          <w:rFonts w:ascii="Arial" w:hAnsi="Arial" w:cs="Arial"/>
          <w:sz w:val="24"/>
          <w:szCs w:val="24"/>
        </w:rPr>
        <w:t xml:space="preserve"> November 2021). </w:t>
      </w:r>
    </w:p>
    <w:p w14:paraId="752156CC" w14:textId="77777777" w:rsidR="000C446F" w:rsidRDefault="000C446F" w:rsidP="000C446F">
      <w:pPr>
        <w:rPr>
          <w:rFonts w:ascii="Arial" w:hAnsi="Arial" w:cs="Arial"/>
          <w:sz w:val="24"/>
          <w:szCs w:val="24"/>
        </w:rPr>
      </w:pPr>
    </w:p>
    <w:p w14:paraId="1B0BBAA9" w14:textId="77777777" w:rsidR="000C446F" w:rsidRPr="00853CE0" w:rsidRDefault="000C446F" w:rsidP="000C446F">
      <w:pPr>
        <w:rPr>
          <w:rFonts w:ascii="Arial" w:eastAsia="Arial" w:hAnsi="Arial" w:cs="Arial"/>
          <w:sz w:val="24"/>
          <w:szCs w:val="24"/>
        </w:rPr>
      </w:pPr>
    </w:p>
    <w:p w14:paraId="2C04A443" w14:textId="77777777" w:rsidR="000C446F" w:rsidRDefault="000C446F" w:rsidP="000C446F">
      <w:pPr>
        <w:rPr>
          <w:rFonts w:ascii="Arial" w:eastAsia="Arial" w:hAnsi="Arial" w:cs="Arial"/>
          <w:sz w:val="24"/>
          <w:szCs w:val="24"/>
        </w:rPr>
      </w:pPr>
    </w:p>
    <w:p w14:paraId="491E6107" w14:textId="77777777" w:rsidR="000C446F" w:rsidRDefault="000C446F" w:rsidP="000C446F">
      <w:pPr>
        <w:rPr>
          <w:rFonts w:ascii="Arial" w:eastAsia="Arial" w:hAnsi="Arial" w:cs="Arial"/>
          <w:sz w:val="24"/>
          <w:szCs w:val="24"/>
        </w:rPr>
      </w:pPr>
      <w:hyperlink r:id="rId7" w:history="1">
        <w:r w:rsidRPr="00D70AD1">
          <w:rPr>
            <w:rStyle w:val="Hyperlink"/>
            <w:rFonts w:ascii="Arial" w:eastAsia="Arial" w:hAnsi="Arial" w:cs="Arial"/>
            <w:sz w:val="24"/>
            <w:szCs w:val="24"/>
          </w:rPr>
          <w:t>https://www.bailii.org/uk/cases/UKSC/2017/67.html</w:t>
        </w:r>
      </w:hyperlink>
      <w:r>
        <w:rPr>
          <w:rFonts w:ascii="Arial" w:eastAsia="Arial" w:hAnsi="Arial" w:cs="Arial"/>
          <w:sz w:val="24"/>
          <w:szCs w:val="24"/>
        </w:rPr>
        <w:t xml:space="preserve"> - Ivey Case </w:t>
      </w:r>
    </w:p>
    <w:p w14:paraId="42B6BA69" w14:textId="77777777" w:rsidR="000C446F" w:rsidRDefault="000C446F" w:rsidP="000C446F">
      <w:pPr>
        <w:rPr>
          <w:rFonts w:ascii="Arial" w:hAnsi="Arial" w:cs="Arial"/>
          <w:sz w:val="24"/>
          <w:szCs w:val="24"/>
        </w:rPr>
      </w:pPr>
    </w:p>
    <w:p w14:paraId="4D18BF32" w14:textId="77777777" w:rsidR="000C446F" w:rsidRDefault="000C446F" w:rsidP="000C446F">
      <w:pPr>
        <w:rPr>
          <w:rFonts w:ascii="Arial" w:hAnsi="Arial" w:cs="Arial"/>
          <w:sz w:val="24"/>
          <w:szCs w:val="24"/>
        </w:rPr>
      </w:pPr>
    </w:p>
    <w:p w14:paraId="0D7B7184" w14:textId="77777777" w:rsidR="000C446F" w:rsidRDefault="000C446F"/>
    <w:sectPr w:rsidR="000C4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46F"/>
    <w:rsid w:val="000C446F"/>
    <w:rsid w:val="00624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85931"/>
  <w15:chartTrackingRefBased/>
  <w15:docId w15:val="{5559FACA-239B-40B6-9AA4-945F52D9B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4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44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ailii.org/uk/cases/UKSC/2017/67.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cl.com/the-test-for-dishonesty-in-criminal-cases-ghosh-gone-ivey-confirmed/" TargetMode="External"/><Relationship Id="rId5" Type="http://schemas.openxmlformats.org/officeDocument/2006/relationships/hyperlink" Target="https://www.supremecourt.uk/cases/docs/uksc-2016-0213-judgment.pdf" TargetMode="External"/><Relationship Id="rId4" Type="http://schemas.openxmlformats.org/officeDocument/2006/relationships/hyperlink" Target="https://www.legislation.gov.uk/ukpga/1968/60/section/6"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1122</Words>
  <Characters>6398</Characters>
  <Application>Microsoft Office Word</Application>
  <DocSecurity>0</DocSecurity>
  <Lines>53</Lines>
  <Paragraphs>15</Paragraphs>
  <ScaleCrop>false</ScaleCrop>
  <Company/>
  <LinksUpToDate>false</LinksUpToDate>
  <CharactersWithSpaces>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dc:creator>
  <cp:keywords/>
  <dc:description/>
  <cp:lastModifiedBy>nigella</cp:lastModifiedBy>
  <cp:revision>1</cp:revision>
  <dcterms:created xsi:type="dcterms:W3CDTF">2021-12-09T16:55:00Z</dcterms:created>
  <dcterms:modified xsi:type="dcterms:W3CDTF">2021-12-09T16:58:00Z</dcterms:modified>
</cp:coreProperties>
</file>