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D90F75" w14:textId="77777777" w:rsidR="00D45B2C" w:rsidRDefault="00D45B2C" w:rsidP="00B90753">
      <w:pPr>
        <w:rPr>
          <w:b/>
          <w:bCs/>
          <w:sz w:val="36"/>
          <w:szCs w:val="36"/>
        </w:rPr>
      </w:pPr>
      <w:r>
        <w:rPr>
          <w:rFonts w:hint="eastAsia"/>
          <w:b/>
          <w:bCs/>
          <w:noProof/>
          <w:sz w:val="36"/>
          <w:szCs w:val="36"/>
        </w:rPr>
        <w:drawing>
          <wp:inline distT="0" distB="0" distL="0" distR="0" wp14:anchorId="5756C42B" wp14:editId="72AD1142">
            <wp:extent cx="1781175" cy="989542"/>
            <wp:effectExtent l="0" t="0" r="0" b="1270"/>
            <wp:docPr id="239895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787840" cy="993245"/>
                    </a:xfrm>
                    <a:prstGeom prst="rect">
                      <a:avLst/>
                    </a:prstGeom>
                    <a:noFill/>
                  </pic:spPr>
                </pic:pic>
              </a:graphicData>
            </a:graphic>
          </wp:inline>
        </w:drawing>
      </w:r>
    </w:p>
    <w:p w14:paraId="7ADB9BC6" w14:textId="08B79B9A" w:rsidR="00D45B2C" w:rsidRPr="00D45B2C" w:rsidRDefault="00D45B2C" w:rsidP="00B90753">
      <w:pPr>
        <w:rPr>
          <w:b/>
          <w:bCs/>
          <w:sz w:val="36"/>
          <w:szCs w:val="36"/>
        </w:rPr>
      </w:pPr>
      <w:r w:rsidRPr="00D45B2C">
        <w:t>Tyler Anson</w:t>
      </w:r>
    </w:p>
    <w:p w14:paraId="03D8ABC5" w14:textId="77777777" w:rsidR="00D45B2C" w:rsidRPr="00D45B2C" w:rsidRDefault="00D45B2C" w:rsidP="00B90753">
      <w:r w:rsidRPr="00D45B2C">
        <w:t>2439281</w:t>
      </w:r>
    </w:p>
    <w:p w14:paraId="2AFF61EA" w14:textId="240F8E74" w:rsidR="00D45B2C" w:rsidRPr="00D45B2C" w:rsidRDefault="00D45B2C" w:rsidP="00B90753">
      <w:r w:rsidRPr="00D45B2C">
        <w:rPr>
          <w:rFonts w:hint="eastAsia"/>
        </w:rPr>
        <w:t>BMSW4014_SWAN</w:t>
      </w:r>
    </w:p>
    <w:p w14:paraId="3348F5BA" w14:textId="77777777" w:rsidR="00D45B2C" w:rsidRDefault="00D45B2C" w:rsidP="00B90753">
      <w:proofErr w:type="spellStart"/>
      <w:r w:rsidRPr="00D45B2C">
        <w:rPr>
          <w:rFonts w:hint="eastAsia"/>
        </w:rPr>
        <w:t>Arpu</w:t>
      </w:r>
      <w:proofErr w:type="spellEnd"/>
      <w:r w:rsidRPr="00D45B2C">
        <w:rPr>
          <w:rFonts w:hint="eastAsia"/>
        </w:rPr>
        <w:t xml:space="preserve"> Kumar</w:t>
      </w:r>
    </w:p>
    <w:p w14:paraId="2D720701" w14:textId="7CDC878C" w:rsidR="00B90753" w:rsidRPr="00D45B2C" w:rsidRDefault="00B90753" w:rsidP="00B90753">
      <w:pPr>
        <w:rPr>
          <w:rFonts w:hint="eastAsia"/>
        </w:rPr>
      </w:pPr>
      <w:r w:rsidRPr="00B90753">
        <w:rPr>
          <w:rFonts w:hint="eastAsia"/>
          <w:b/>
          <w:bCs/>
          <w:sz w:val="36"/>
          <w:szCs w:val="36"/>
        </w:rPr>
        <w:t>Greenwashing in the Automobile Industry: Problem Description</w:t>
      </w:r>
    </w:p>
    <w:p w14:paraId="72A2C585" w14:textId="77777777" w:rsidR="00B90753" w:rsidRPr="00B90753" w:rsidRDefault="00B90753" w:rsidP="00B90753">
      <w:pPr>
        <w:rPr>
          <w:rFonts w:hint="eastAsia"/>
          <w:b/>
          <w:bCs/>
        </w:rPr>
      </w:pPr>
      <w:r w:rsidRPr="00B90753">
        <w:rPr>
          <w:rFonts w:hint="eastAsia"/>
          <w:b/>
          <w:bCs/>
        </w:rPr>
        <w:t>Introduction</w:t>
      </w:r>
    </w:p>
    <w:p w14:paraId="7D677400" w14:textId="77777777" w:rsidR="00B90753" w:rsidRDefault="00B90753" w:rsidP="00B90753">
      <w:pPr>
        <w:rPr>
          <w:rFonts w:hint="eastAsia"/>
        </w:rPr>
      </w:pPr>
      <w:r>
        <w:rPr>
          <w:rFonts w:hint="eastAsia"/>
        </w:rPr>
        <w:t>Greenwashing in the auto industry means promoting products, policies or practices as environmentally friendly while not meeting these claims or providing misleading information (Delmas &amp; Burbano, 2011). This issue has been more under the spotlight after major greenwashing scandals like Volkswagen</w:t>
      </w:r>
      <w:r>
        <w:rPr>
          <w:rFonts w:hint="eastAsia"/>
        </w:rPr>
        <w:t>’</w:t>
      </w:r>
      <w:r>
        <w:rPr>
          <w:rFonts w:hint="eastAsia"/>
        </w:rPr>
        <w:t xml:space="preserve">s </w:t>
      </w:r>
      <w:proofErr w:type="spellStart"/>
      <w:r>
        <w:rPr>
          <w:rFonts w:hint="eastAsia"/>
        </w:rPr>
        <w:t>Dieselgate</w:t>
      </w:r>
      <w:proofErr w:type="spellEnd"/>
      <w:r>
        <w:rPr>
          <w:rFonts w:hint="eastAsia"/>
        </w:rPr>
        <w:t xml:space="preserve"> emissions cheating (Kell, 2022). Greenwashing misleads consumers, damages the corporate image, undermines sustainability and can affect policy debates. In this presentation, we explore the root causes of greenwashing in the auto industry, including contributing factors, corporate incentives and industry pressures.</w:t>
      </w:r>
    </w:p>
    <w:p w14:paraId="3DF3E480" w14:textId="77777777" w:rsidR="00B90753" w:rsidRPr="00B90753" w:rsidRDefault="00B90753" w:rsidP="00B90753">
      <w:pPr>
        <w:rPr>
          <w:rFonts w:hint="eastAsia"/>
          <w:b/>
          <w:bCs/>
        </w:rPr>
      </w:pPr>
      <w:r w:rsidRPr="00B90753">
        <w:rPr>
          <w:rFonts w:hint="eastAsia"/>
          <w:b/>
          <w:bCs/>
        </w:rPr>
        <w:t>Impact of the Current Situation</w:t>
      </w:r>
    </w:p>
    <w:p w14:paraId="05857561" w14:textId="77777777" w:rsidR="00B90753" w:rsidRDefault="00B90753" w:rsidP="00B90753">
      <w:pPr>
        <w:rPr>
          <w:rFonts w:hint="eastAsia"/>
        </w:rPr>
      </w:pPr>
      <w:r>
        <w:rPr>
          <w:rFonts w:hint="eastAsia"/>
        </w:rPr>
        <w:t xml:space="preserve">The Volkswagen </w:t>
      </w:r>
      <w:proofErr w:type="spellStart"/>
      <w:r>
        <w:rPr>
          <w:rFonts w:hint="eastAsia"/>
        </w:rPr>
        <w:t>Dieselgate</w:t>
      </w:r>
      <w:proofErr w:type="spellEnd"/>
      <w:r>
        <w:rPr>
          <w:rFonts w:hint="eastAsia"/>
        </w:rPr>
        <w:t xml:space="preserve"> scandal, in which software was used to pass emissions tests </w:t>
      </w:r>
      <w:proofErr w:type="gramStart"/>
      <w:r>
        <w:rPr>
          <w:rFonts w:hint="eastAsia"/>
        </w:rPr>
        <w:t>while in reality, polluting</w:t>
      </w:r>
      <w:proofErr w:type="gramEnd"/>
      <w:r>
        <w:rPr>
          <w:rFonts w:hint="eastAsia"/>
        </w:rPr>
        <w:t xml:space="preserve"> more, showed the high costs of greenwashing. Volkswagen had to pay fines </w:t>
      </w:r>
      <w:proofErr w:type="gramStart"/>
      <w:r>
        <w:rPr>
          <w:rFonts w:hint="eastAsia"/>
        </w:rPr>
        <w:t>in excess of</w:t>
      </w:r>
      <w:proofErr w:type="gramEnd"/>
      <w:r>
        <w:rPr>
          <w:rFonts w:hint="eastAsia"/>
        </w:rPr>
        <w:t xml:space="preserve"> </w:t>
      </w:r>
      <w:r>
        <w:rPr>
          <w:rFonts w:hint="eastAsia"/>
        </w:rPr>
        <w:t>€</w:t>
      </w:r>
      <w:r>
        <w:rPr>
          <w:rFonts w:hint="eastAsia"/>
        </w:rPr>
        <w:t>30 billion and suffered severe reputation damage (</w:t>
      </w:r>
      <w:proofErr w:type="spellStart"/>
      <w:r>
        <w:rPr>
          <w:rFonts w:hint="eastAsia"/>
        </w:rPr>
        <w:t>Boiral</w:t>
      </w:r>
      <w:proofErr w:type="spellEnd"/>
      <w:r>
        <w:rPr>
          <w:rFonts w:hint="eastAsia"/>
        </w:rPr>
        <w:t xml:space="preserve"> et al., 2022). Consumers were sceptical about green claims of other auto manufacturers, and regulators tightened their emission monitoring. Mercedes, BMW and other companies have faced similar allegations of making too many green claims (Syal, 2025). The cost is not just financial, but public trust in companies</w:t>
      </w:r>
      <w:r>
        <w:rPr>
          <w:rFonts w:hint="eastAsia"/>
        </w:rPr>
        <w:t>’</w:t>
      </w:r>
      <w:r>
        <w:rPr>
          <w:rFonts w:hint="eastAsia"/>
        </w:rPr>
        <w:t xml:space="preserve"> sustainability reporting has been lost, and greenwashing can even deter real environmental efforts by creating the narrative that all claims can</w:t>
      </w:r>
      <w:r>
        <w:rPr>
          <w:rFonts w:hint="eastAsia"/>
        </w:rPr>
        <w:t>’</w:t>
      </w:r>
      <w:r>
        <w:rPr>
          <w:rFonts w:hint="eastAsia"/>
        </w:rPr>
        <w:t>t be trusted.</w:t>
      </w:r>
    </w:p>
    <w:p w14:paraId="71A0D324" w14:textId="77777777" w:rsidR="00D45B2C" w:rsidRDefault="00D45B2C" w:rsidP="00B90753">
      <w:pPr>
        <w:rPr>
          <w:b/>
          <w:bCs/>
        </w:rPr>
      </w:pPr>
    </w:p>
    <w:p w14:paraId="78D1E723" w14:textId="1107C1C1" w:rsidR="00B90753" w:rsidRPr="00B90753" w:rsidRDefault="00B90753" w:rsidP="00B90753">
      <w:pPr>
        <w:rPr>
          <w:b/>
          <w:bCs/>
        </w:rPr>
      </w:pPr>
      <w:r w:rsidRPr="00B90753">
        <w:rPr>
          <w:rFonts w:hint="eastAsia"/>
          <w:b/>
          <w:bCs/>
        </w:rPr>
        <w:t xml:space="preserve">Root Cause Analysis (RCA) </w:t>
      </w:r>
      <w:r w:rsidRPr="00B90753">
        <w:rPr>
          <w:rFonts w:hint="eastAsia"/>
          <w:b/>
          <w:bCs/>
        </w:rPr>
        <w:t>–</w:t>
      </w:r>
      <w:r w:rsidRPr="00B90753">
        <w:rPr>
          <w:rFonts w:hint="eastAsia"/>
          <w:b/>
          <w:bCs/>
        </w:rPr>
        <w:t xml:space="preserve"> Key Factors</w:t>
      </w:r>
    </w:p>
    <w:p w14:paraId="18CF389E" w14:textId="3770AE0D" w:rsidR="00B90753" w:rsidRPr="00D45B2C" w:rsidRDefault="00B90753" w:rsidP="00B90753">
      <w:pPr>
        <w:rPr>
          <w:rFonts w:hint="eastAsia"/>
          <w:i/>
          <w:iCs/>
        </w:rPr>
      </w:pPr>
      <w:r w:rsidRPr="00D45B2C">
        <w:rPr>
          <w:rFonts w:hint="eastAsia"/>
          <w:i/>
          <w:iCs/>
        </w:rPr>
        <w:t>By applying RCA methodology, we can identify the following key factors that drive greenwashing in the automobile industry:</w:t>
      </w:r>
    </w:p>
    <w:p w14:paraId="62DC6D35" w14:textId="77777777" w:rsidR="00B90753" w:rsidRPr="00B90753" w:rsidRDefault="00B90753" w:rsidP="00B90753">
      <w:pPr>
        <w:rPr>
          <w:b/>
          <w:bCs/>
        </w:rPr>
      </w:pPr>
      <w:r w:rsidRPr="00B90753">
        <w:rPr>
          <w:rFonts w:hint="eastAsia"/>
          <w:b/>
          <w:bCs/>
        </w:rPr>
        <w:lastRenderedPageBreak/>
        <w:t>Competitive Pressure</w:t>
      </w:r>
    </w:p>
    <w:p w14:paraId="2105C921" w14:textId="69DD1E33" w:rsidR="00B90753" w:rsidRDefault="00B90753" w:rsidP="00B90753">
      <w:pPr>
        <w:rPr>
          <w:rFonts w:hint="eastAsia"/>
        </w:rPr>
      </w:pPr>
      <w:r>
        <w:rPr>
          <w:rFonts w:hint="eastAsia"/>
        </w:rPr>
        <w:t>Companies are under market pressure to offer low-emission vehicles but are not ready to invest in technology, which creates incentives for greenwashing claims (Koch &amp; Denner, 2025).</w:t>
      </w:r>
    </w:p>
    <w:p w14:paraId="3BF7C63E" w14:textId="77777777" w:rsidR="00B90753" w:rsidRPr="00B90753" w:rsidRDefault="00B90753" w:rsidP="00B90753">
      <w:pPr>
        <w:rPr>
          <w:rFonts w:hint="eastAsia"/>
          <w:b/>
          <w:bCs/>
        </w:rPr>
      </w:pPr>
      <w:r w:rsidRPr="00B90753">
        <w:rPr>
          <w:rFonts w:hint="eastAsia"/>
          <w:b/>
          <w:bCs/>
        </w:rPr>
        <w:t>Regulatory Complexity</w:t>
      </w:r>
    </w:p>
    <w:p w14:paraId="79613E01" w14:textId="77777777" w:rsidR="00B90753" w:rsidRDefault="00B90753" w:rsidP="00B90753">
      <w:pPr>
        <w:rPr>
          <w:rFonts w:hint="eastAsia"/>
        </w:rPr>
      </w:pPr>
      <w:r>
        <w:rPr>
          <w:rFonts w:hint="eastAsia"/>
        </w:rPr>
        <w:t>Environmental regulations are different in different regions and create opportunities for manipulation (</w:t>
      </w:r>
      <w:proofErr w:type="spellStart"/>
      <w:r>
        <w:rPr>
          <w:rFonts w:hint="eastAsia"/>
        </w:rPr>
        <w:t>Boiral</w:t>
      </w:r>
      <w:proofErr w:type="spellEnd"/>
      <w:r>
        <w:rPr>
          <w:rFonts w:hint="eastAsia"/>
        </w:rPr>
        <w:t xml:space="preserve"> et al., 2022).</w:t>
      </w:r>
    </w:p>
    <w:p w14:paraId="3B9ED494" w14:textId="3D566C8F" w:rsidR="00B90753" w:rsidRPr="00B90753" w:rsidRDefault="00B90753" w:rsidP="00B90753">
      <w:pPr>
        <w:rPr>
          <w:rFonts w:hint="eastAsia"/>
          <w:b/>
          <w:bCs/>
        </w:rPr>
      </w:pPr>
      <w:r w:rsidRPr="00B90753">
        <w:rPr>
          <w:rFonts w:hint="eastAsia"/>
          <w:b/>
          <w:bCs/>
        </w:rPr>
        <w:t>Consumer Perception and Marketing</w:t>
      </w:r>
    </w:p>
    <w:p w14:paraId="69A9D943" w14:textId="77777777" w:rsidR="00B90753" w:rsidRDefault="00B90753" w:rsidP="00B90753">
      <w:pPr>
        <w:rPr>
          <w:rFonts w:hint="eastAsia"/>
        </w:rPr>
      </w:pPr>
      <w:r>
        <w:rPr>
          <w:rFonts w:hint="eastAsia"/>
        </w:rPr>
        <w:t>Marketing teams want to create a positive brand image, which is why they are prioritizing it over transparency, and exaggerating the actual green credentials to make their cars appealing to eco-friendly consumers (Delmas &amp; Burbano, 2011).</w:t>
      </w:r>
    </w:p>
    <w:p w14:paraId="1C5C7969" w14:textId="77777777" w:rsidR="00B90753" w:rsidRDefault="00B90753" w:rsidP="00B90753">
      <w:pPr>
        <w:rPr>
          <w:rFonts w:hint="eastAsia"/>
        </w:rPr>
      </w:pPr>
      <w:r>
        <w:rPr>
          <w:rFonts w:hint="eastAsia"/>
        </w:rPr>
        <w:t>Corporate Culture and Ethics: Incentives in the companies are set to provide better results in a short period of time while the internal compliance monitoring system is non-existent or weak, which drives to enable the short-term greenwashing wins (Kell, 2022).</w:t>
      </w:r>
    </w:p>
    <w:p w14:paraId="7E3655AE" w14:textId="77777777" w:rsidR="00B90753" w:rsidRPr="00B90753" w:rsidRDefault="00B90753" w:rsidP="00B90753">
      <w:pPr>
        <w:rPr>
          <w:rFonts w:hint="eastAsia"/>
          <w:b/>
          <w:bCs/>
        </w:rPr>
      </w:pPr>
      <w:r w:rsidRPr="00B90753">
        <w:rPr>
          <w:rFonts w:hint="eastAsia"/>
          <w:b/>
          <w:bCs/>
        </w:rPr>
        <w:t>Technological Limitations</w:t>
      </w:r>
    </w:p>
    <w:p w14:paraId="64CF80BC" w14:textId="77777777" w:rsidR="00B90753" w:rsidRDefault="00B90753" w:rsidP="00B90753">
      <w:pPr>
        <w:rPr>
          <w:rFonts w:hint="eastAsia"/>
        </w:rPr>
      </w:pPr>
      <w:r>
        <w:rPr>
          <w:rFonts w:hint="eastAsia"/>
        </w:rPr>
        <w:t>Some greenwashing claims are possible in lab conditions (testing the car emissions), but their real-world performances are not close to these advertised environmental benefits (Syal, 2025).</w:t>
      </w:r>
    </w:p>
    <w:p w14:paraId="6A344845" w14:textId="77777777" w:rsidR="00B90753" w:rsidRDefault="00B90753" w:rsidP="00B90753">
      <w:pPr>
        <w:rPr>
          <w:rFonts w:hint="eastAsia"/>
        </w:rPr>
      </w:pPr>
      <w:r>
        <w:rPr>
          <w:rFonts w:hint="eastAsia"/>
        </w:rPr>
        <w:t xml:space="preserve">The combination of the factors described above create systemic incentives for greenwashing, which is why to stop it, the internal control system and company leadership </w:t>
      </w:r>
      <w:proofErr w:type="gramStart"/>
      <w:r>
        <w:rPr>
          <w:rFonts w:hint="eastAsia"/>
        </w:rPr>
        <w:t>have to</w:t>
      </w:r>
      <w:proofErr w:type="gramEnd"/>
      <w:r>
        <w:rPr>
          <w:rFonts w:hint="eastAsia"/>
        </w:rPr>
        <w:t xml:space="preserve"> be ethical and provide robust and trustworthy data. It is also important for regulations to be clear and provide guidance, including on how companies can best report on their sustainability performance.</w:t>
      </w:r>
    </w:p>
    <w:p w14:paraId="1B7FC4F6" w14:textId="77777777" w:rsidR="00B90753" w:rsidRPr="00B90753" w:rsidRDefault="00B90753" w:rsidP="00B90753">
      <w:pPr>
        <w:rPr>
          <w:rFonts w:hint="eastAsia"/>
          <w:b/>
          <w:bCs/>
        </w:rPr>
      </w:pPr>
      <w:r w:rsidRPr="00B90753">
        <w:rPr>
          <w:rFonts w:hint="eastAsia"/>
          <w:b/>
          <w:bCs/>
        </w:rPr>
        <w:t>Conclusion</w:t>
      </w:r>
    </w:p>
    <w:p w14:paraId="7E376847" w14:textId="77777777" w:rsidR="00B90753" w:rsidRDefault="00B90753" w:rsidP="00B90753">
      <w:pPr>
        <w:rPr>
          <w:rFonts w:hint="eastAsia"/>
        </w:rPr>
      </w:pPr>
      <w:r>
        <w:rPr>
          <w:rFonts w:hint="eastAsia"/>
        </w:rPr>
        <w:t xml:space="preserve">Greenwashing in the automobile industry is the result of a combination of competitive pressure, regulatory complexity, consumer perception, corporate culture, and technological limitations. The solution to this problem requires a better internal control and compliance system, transparency in reporting and a company culture that is not incentivised by short-term wins and is ready to be transparent even if that would be at the detriment of short-term marketing goals. Businesses should incorporate ethical considerations into the decision-making process to ensure that greenwashing is a less attractive </w:t>
      </w:r>
      <w:proofErr w:type="gramStart"/>
      <w:r>
        <w:rPr>
          <w:rFonts w:hint="eastAsia"/>
        </w:rPr>
        <w:t>option</w:t>
      </w:r>
      <w:proofErr w:type="gramEnd"/>
      <w:r>
        <w:rPr>
          <w:rFonts w:hint="eastAsia"/>
        </w:rPr>
        <w:t xml:space="preserve"> and all green claims are verifiable. By understanding the underlying causes, the industry can move forward with more accountability and restoring trust in sustainability efforts.</w:t>
      </w:r>
    </w:p>
    <w:p w14:paraId="2EA855F8" w14:textId="77777777" w:rsidR="00B90753" w:rsidRDefault="00B90753" w:rsidP="00B90753">
      <w:pPr>
        <w:rPr>
          <w:rFonts w:hint="eastAsia"/>
        </w:rPr>
      </w:pPr>
    </w:p>
    <w:p w14:paraId="0AF6CD69" w14:textId="77777777" w:rsidR="00B90753" w:rsidRDefault="00B90753" w:rsidP="00B90753">
      <w:pPr>
        <w:rPr>
          <w:rFonts w:hint="eastAsia"/>
        </w:rPr>
      </w:pPr>
      <w:r>
        <w:rPr>
          <w:rFonts w:hint="eastAsia"/>
        </w:rPr>
        <w:lastRenderedPageBreak/>
        <w:t>References (Harvard style)</w:t>
      </w:r>
    </w:p>
    <w:p w14:paraId="6FA5DDDB" w14:textId="77777777" w:rsidR="00B90753" w:rsidRDefault="00B90753" w:rsidP="00B90753">
      <w:pPr>
        <w:rPr>
          <w:rFonts w:hint="eastAsia"/>
        </w:rPr>
      </w:pPr>
      <w:proofErr w:type="spellStart"/>
      <w:r>
        <w:rPr>
          <w:rFonts w:hint="eastAsia"/>
        </w:rPr>
        <w:t>Boiral</w:t>
      </w:r>
      <w:proofErr w:type="spellEnd"/>
      <w:r>
        <w:rPr>
          <w:rFonts w:hint="eastAsia"/>
        </w:rPr>
        <w:t xml:space="preserve">, O., Brotherton, M.C. and Cayer, M. (2022) </w:t>
      </w:r>
      <w:r>
        <w:rPr>
          <w:rFonts w:hint="eastAsia"/>
        </w:rPr>
        <w:t>‘</w:t>
      </w:r>
      <w:r>
        <w:rPr>
          <w:rFonts w:hint="eastAsia"/>
        </w:rPr>
        <w:t xml:space="preserve">Through the smokescreen of the </w:t>
      </w:r>
      <w:proofErr w:type="spellStart"/>
      <w:r>
        <w:rPr>
          <w:rFonts w:hint="eastAsia"/>
        </w:rPr>
        <w:t>Dieselgate</w:t>
      </w:r>
      <w:proofErr w:type="spellEnd"/>
      <w:r>
        <w:rPr>
          <w:rFonts w:hint="eastAsia"/>
        </w:rPr>
        <w:t xml:space="preserve"> disclosure: Neutralizing the impacts of a major sustainability scandal</w:t>
      </w:r>
      <w:r>
        <w:rPr>
          <w:rFonts w:hint="eastAsia"/>
        </w:rPr>
        <w:t>’</w:t>
      </w:r>
      <w:r>
        <w:rPr>
          <w:rFonts w:hint="eastAsia"/>
        </w:rPr>
        <w:t xml:space="preserve">, Journal of Business </w:t>
      </w:r>
      <w:proofErr w:type="gramStart"/>
      <w:r>
        <w:rPr>
          <w:rFonts w:hint="eastAsia"/>
        </w:rPr>
        <w:t>Ethics ,</w:t>
      </w:r>
      <w:proofErr w:type="gramEnd"/>
      <w:r>
        <w:rPr>
          <w:rFonts w:hint="eastAsia"/>
        </w:rPr>
        <w:t xml:space="preserve"> 177 (2), pp. 345</w:t>
      </w:r>
      <w:r>
        <w:rPr>
          <w:rFonts w:hint="eastAsia"/>
        </w:rPr>
        <w:t>–</w:t>
      </w:r>
      <w:r>
        <w:rPr>
          <w:rFonts w:hint="eastAsia"/>
        </w:rPr>
        <w:t>362.</w:t>
      </w:r>
    </w:p>
    <w:p w14:paraId="4619351B" w14:textId="77777777" w:rsidR="00B90753" w:rsidRDefault="00B90753" w:rsidP="00B90753">
      <w:pPr>
        <w:rPr>
          <w:rFonts w:hint="eastAsia"/>
        </w:rPr>
      </w:pPr>
      <w:r>
        <w:rPr>
          <w:rFonts w:hint="eastAsia"/>
        </w:rPr>
        <w:t xml:space="preserve">Delmas, M.A. and Burbano, V.C. (2011) </w:t>
      </w:r>
      <w:r>
        <w:rPr>
          <w:rFonts w:hint="eastAsia"/>
        </w:rPr>
        <w:t>‘</w:t>
      </w:r>
      <w:r>
        <w:rPr>
          <w:rFonts w:hint="eastAsia"/>
        </w:rPr>
        <w:t>The drivers of greenwashing</w:t>
      </w:r>
      <w:r>
        <w:rPr>
          <w:rFonts w:hint="eastAsia"/>
        </w:rPr>
        <w:t>’</w:t>
      </w:r>
      <w:r>
        <w:rPr>
          <w:rFonts w:hint="eastAsia"/>
        </w:rPr>
        <w:t xml:space="preserve">, California Management </w:t>
      </w:r>
      <w:proofErr w:type="gramStart"/>
      <w:r>
        <w:rPr>
          <w:rFonts w:hint="eastAsia"/>
        </w:rPr>
        <w:t>Review ,</w:t>
      </w:r>
      <w:proofErr w:type="gramEnd"/>
      <w:r>
        <w:rPr>
          <w:rFonts w:hint="eastAsia"/>
        </w:rPr>
        <w:t xml:space="preserve"> 54 (1), pp. 64</w:t>
      </w:r>
      <w:r>
        <w:rPr>
          <w:rFonts w:hint="eastAsia"/>
        </w:rPr>
        <w:t>–</w:t>
      </w:r>
      <w:r>
        <w:rPr>
          <w:rFonts w:hint="eastAsia"/>
        </w:rPr>
        <w:t>87.</w:t>
      </w:r>
    </w:p>
    <w:p w14:paraId="2135B6DF" w14:textId="77777777" w:rsidR="00B90753" w:rsidRDefault="00B90753" w:rsidP="00B90753">
      <w:pPr>
        <w:rPr>
          <w:rFonts w:hint="eastAsia"/>
        </w:rPr>
      </w:pPr>
      <w:r>
        <w:rPr>
          <w:rFonts w:hint="eastAsia"/>
        </w:rPr>
        <w:t xml:space="preserve">Kell, J. (2022) </w:t>
      </w:r>
      <w:r>
        <w:rPr>
          <w:rFonts w:hint="eastAsia"/>
        </w:rPr>
        <w:t>‘</w:t>
      </w:r>
      <w:r>
        <w:rPr>
          <w:rFonts w:hint="eastAsia"/>
        </w:rPr>
        <w:t>Volkswagen</w:t>
      </w:r>
      <w:r>
        <w:rPr>
          <w:rFonts w:hint="eastAsia"/>
        </w:rPr>
        <w:t>’</w:t>
      </w:r>
      <w:r>
        <w:rPr>
          <w:rFonts w:hint="eastAsia"/>
        </w:rPr>
        <w:t xml:space="preserve">s </w:t>
      </w:r>
      <w:proofErr w:type="spellStart"/>
      <w:r>
        <w:rPr>
          <w:rFonts w:hint="eastAsia"/>
        </w:rPr>
        <w:t>Dieselgate</w:t>
      </w:r>
      <w:proofErr w:type="spellEnd"/>
      <w:r>
        <w:rPr>
          <w:rFonts w:hint="eastAsia"/>
        </w:rPr>
        <w:t xml:space="preserve"> continues to shape debates on greenwashing in the auto sector</w:t>
      </w:r>
      <w:r>
        <w:rPr>
          <w:rFonts w:hint="eastAsia"/>
        </w:rPr>
        <w:t>’</w:t>
      </w:r>
      <w:r>
        <w:rPr>
          <w:rFonts w:hint="eastAsia"/>
        </w:rPr>
        <w:t xml:space="preserve">, Financial </w:t>
      </w:r>
      <w:proofErr w:type="gramStart"/>
      <w:r>
        <w:rPr>
          <w:rFonts w:hint="eastAsia"/>
        </w:rPr>
        <w:t>Times ,</w:t>
      </w:r>
      <w:proofErr w:type="gramEnd"/>
      <w:r>
        <w:rPr>
          <w:rFonts w:hint="eastAsia"/>
        </w:rPr>
        <w:t xml:space="preserve"> 15 June. Available at: [URL] (Accessed: 25 November 2025).</w:t>
      </w:r>
    </w:p>
    <w:p w14:paraId="57E138F4" w14:textId="77777777" w:rsidR="00B90753" w:rsidRDefault="00B90753" w:rsidP="00B90753">
      <w:pPr>
        <w:rPr>
          <w:rFonts w:hint="eastAsia"/>
        </w:rPr>
      </w:pPr>
      <w:r>
        <w:rPr>
          <w:rFonts w:hint="eastAsia"/>
        </w:rPr>
        <w:t xml:space="preserve">Koch, T. and Denner, T. (2025) </w:t>
      </w:r>
      <w:r>
        <w:rPr>
          <w:rFonts w:hint="eastAsia"/>
        </w:rPr>
        <w:t>‘</w:t>
      </w:r>
      <w:r>
        <w:rPr>
          <w:rFonts w:hint="eastAsia"/>
        </w:rPr>
        <w:t>Different shades of green deception: Greenwashing</w:t>
      </w:r>
      <w:r>
        <w:rPr>
          <w:rFonts w:hint="eastAsia"/>
        </w:rPr>
        <w:t>’</w:t>
      </w:r>
      <w:r>
        <w:rPr>
          <w:rFonts w:hint="eastAsia"/>
        </w:rPr>
        <w:t>s adverse effects on corporate image and credibility</w:t>
      </w:r>
      <w:r>
        <w:rPr>
          <w:rFonts w:hint="eastAsia"/>
        </w:rPr>
        <w:t>’</w:t>
      </w:r>
      <w:r>
        <w:rPr>
          <w:rFonts w:hint="eastAsia"/>
        </w:rPr>
        <w:t xml:space="preserve">, Corporate Reputation </w:t>
      </w:r>
      <w:proofErr w:type="gramStart"/>
      <w:r>
        <w:rPr>
          <w:rFonts w:hint="eastAsia"/>
        </w:rPr>
        <w:t>Review ,</w:t>
      </w:r>
      <w:proofErr w:type="gramEnd"/>
      <w:r>
        <w:rPr>
          <w:rFonts w:hint="eastAsia"/>
        </w:rPr>
        <w:t xml:space="preserve"> 28 (1), pp. 15</w:t>
      </w:r>
      <w:r>
        <w:rPr>
          <w:rFonts w:hint="eastAsia"/>
        </w:rPr>
        <w:t>–</w:t>
      </w:r>
      <w:r>
        <w:rPr>
          <w:rFonts w:hint="eastAsia"/>
        </w:rPr>
        <w:t>29.</w:t>
      </w:r>
    </w:p>
    <w:p w14:paraId="004D94E3" w14:textId="5F4C623E" w:rsidR="00B90753" w:rsidRDefault="00B90753" w:rsidP="00B90753">
      <w:r>
        <w:rPr>
          <w:rFonts w:hint="eastAsia"/>
        </w:rPr>
        <w:t xml:space="preserve">Syal, R. (2025) </w:t>
      </w:r>
      <w:r>
        <w:rPr>
          <w:rFonts w:hint="eastAsia"/>
        </w:rPr>
        <w:t>‘</w:t>
      </w:r>
      <w:r>
        <w:rPr>
          <w:rFonts w:hint="eastAsia"/>
        </w:rPr>
        <w:t>Green claims under scrutiny: How carmakers mislead consumers on emissions and sustainability</w:t>
      </w:r>
      <w:r>
        <w:rPr>
          <w:rFonts w:hint="eastAsia"/>
        </w:rPr>
        <w:t>’</w:t>
      </w:r>
      <w:r>
        <w:rPr>
          <w:rFonts w:hint="eastAsia"/>
        </w:rPr>
        <w:t xml:space="preserve">, The </w:t>
      </w:r>
      <w:proofErr w:type="gramStart"/>
      <w:r>
        <w:rPr>
          <w:rFonts w:hint="eastAsia"/>
        </w:rPr>
        <w:t>Guardian ,</w:t>
      </w:r>
      <w:proofErr w:type="gramEnd"/>
      <w:r>
        <w:rPr>
          <w:rFonts w:hint="eastAsia"/>
        </w:rPr>
        <w:t xml:space="preserve"> 10 March. Available at: [URL] (Accessed: 25 November 2025).</w:t>
      </w:r>
    </w:p>
    <w:sectPr w:rsidR="00B907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753"/>
    <w:rsid w:val="002A586C"/>
    <w:rsid w:val="00B90753"/>
    <w:rsid w:val="00D45B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B45E3"/>
  <w15:chartTrackingRefBased/>
  <w15:docId w15:val="{BC06B824-A731-4328-96B2-BD7D091F4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07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07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07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07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07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07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07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07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07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07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07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07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07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07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07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07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07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0753"/>
    <w:rPr>
      <w:rFonts w:eastAsiaTheme="majorEastAsia" w:cstheme="majorBidi"/>
      <w:color w:val="272727" w:themeColor="text1" w:themeTint="D8"/>
    </w:rPr>
  </w:style>
  <w:style w:type="paragraph" w:styleId="Title">
    <w:name w:val="Title"/>
    <w:basedOn w:val="Normal"/>
    <w:next w:val="Normal"/>
    <w:link w:val="TitleChar"/>
    <w:uiPriority w:val="10"/>
    <w:qFormat/>
    <w:rsid w:val="00B907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07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07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07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0753"/>
    <w:pPr>
      <w:spacing w:before="160"/>
      <w:jc w:val="center"/>
    </w:pPr>
    <w:rPr>
      <w:i/>
      <w:iCs/>
      <w:color w:val="404040" w:themeColor="text1" w:themeTint="BF"/>
    </w:rPr>
  </w:style>
  <w:style w:type="character" w:customStyle="1" w:styleId="QuoteChar">
    <w:name w:val="Quote Char"/>
    <w:basedOn w:val="DefaultParagraphFont"/>
    <w:link w:val="Quote"/>
    <w:uiPriority w:val="29"/>
    <w:rsid w:val="00B90753"/>
    <w:rPr>
      <w:i/>
      <w:iCs/>
      <w:color w:val="404040" w:themeColor="text1" w:themeTint="BF"/>
    </w:rPr>
  </w:style>
  <w:style w:type="paragraph" w:styleId="ListParagraph">
    <w:name w:val="List Paragraph"/>
    <w:basedOn w:val="Normal"/>
    <w:uiPriority w:val="34"/>
    <w:qFormat/>
    <w:rsid w:val="00B90753"/>
    <w:pPr>
      <w:ind w:left="720"/>
      <w:contextualSpacing/>
    </w:pPr>
  </w:style>
  <w:style w:type="character" w:styleId="IntenseEmphasis">
    <w:name w:val="Intense Emphasis"/>
    <w:basedOn w:val="DefaultParagraphFont"/>
    <w:uiPriority w:val="21"/>
    <w:qFormat/>
    <w:rsid w:val="00B90753"/>
    <w:rPr>
      <w:i/>
      <w:iCs/>
      <w:color w:val="0F4761" w:themeColor="accent1" w:themeShade="BF"/>
    </w:rPr>
  </w:style>
  <w:style w:type="paragraph" w:styleId="IntenseQuote">
    <w:name w:val="Intense Quote"/>
    <w:basedOn w:val="Normal"/>
    <w:next w:val="Normal"/>
    <w:link w:val="IntenseQuoteChar"/>
    <w:uiPriority w:val="30"/>
    <w:qFormat/>
    <w:rsid w:val="00B907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0753"/>
    <w:rPr>
      <w:i/>
      <w:iCs/>
      <w:color w:val="0F4761" w:themeColor="accent1" w:themeShade="BF"/>
    </w:rPr>
  </w:style>
  <w:style w:type="character" w:styleId="IntenseReference">
    <w:name w:val="Intense Reference"/>
    <w:basedOn w:val="DefaultParagraphFont"/>
    <w:uiPriority w:val="32"/>
    <w:qFormat/>
    <w:rsid w:val="00B9075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727</Words>
  <Characters>4149</Characters>
  <Application>Microsoft Office Word</Application>
  <DocSecurity>0</DocSecurity>
  <Lines>34</Lines>
  <Paragraphs>9</Paragraphs>
  <ScaleCrop>false</ScaleCrop>
  <Company/>
  <LinksUpToDate>false</LinksUpToDate>
  <CharactersWithSpaces>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Anson (2439281)</dc:creator>
  <cp:keywords/>
  <dc:description/>
  <cp:lastModifiedBy>Tyler Anson (2439281)</cp:lastModifiedBy>
  <cp:revision>2</cp:revision>
  <dcterms:created xsi:type="dcterms:W3CDTF">2025-11-25T17:58:00Z</dcterms:created>
  <dcterms:modified xsi:type="dcterms:W3CDTF">2025-11-25T18:06:00Z</dcterms:modified>
</cp:coreProperties>
</file>