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05B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Module:</w:t>
      </w:r>
    </w:p>
    <w:p w14:paraId="66006104" w14:textId="740F3002"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8E6FEB">
        <w:rPr>
          <w:rFonts w:ascii="Times New Roman" w:eastAsia="Times New Roman" w:hAnsi="Times New Roman" w:cs="Times New Roman"/>
          <w:color w:val="000000" w:themeColor="text1"/>
          <w:kern w:val="36"/>
          <w:sz w:val="40"/>
          <w:szCs w:val="40"/>
        </w:rPr>
        <w:t>Islamic Law in the Contemporary World</w:t>
      </w:r>
      <w:r w:rsidR="00E46FE9" w:rsidRPr="008E6FEB">
        <w:rPr>
          <w:rFonts w:ascii="Times New Roman" w:eastAsia="Times New Roman" w:hAnsi="Times New Roman" w:cs="Times New Roman"/>
          <w:color w:val="000000" w:themeColor="text1"/>
          <w:kern w:val="36"/>
          <w:sz w:val="40"/>
          <w:szCs w:val="40"/>
        </w:rPr>
        <w:t xml:space="preserve"> (TRDL 7</w:t>
      </w:r>
      <w:r w:rsidRPr="008E6FEB">
        <w:rPr>
          <w:rFonts w:ascii="Times New Roman" w:eastAsia="Times New Roman" w:hAnsi="Times New Roman" w:cs="Times New Roman"/>
          <w:color w:val="000000" w:themeColor="text1"/>
          <w:kern w:val="36"/>
          <w:sz w:val="40"/>
          <w:szCs w:val="40"/>
        </w:rPr>
        <w:t>064</w:t>
      </w:r>
      <w:r w:rsidR="00E46FE9" w:rsidRPr="008E6FEB">
        <w:rPr>
          <w:rFonts w:ascii="Times New Roman" w:eastAsia="Times New Roman" w:hAnsi="Times New Roman" w:cs="Times New Roman"/>
          <w:color w:val="000000" w:themeColor="text1"/>
          <w:kern w:val="36"/>
          <w:sz w:val="40"/>
          <w:szCs w:val="40"/>
        </w:rPr>
        <w:t>)</w:t>
      </w:r>
    </w:p>
    <w:p w14:paraId="3796D14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627C374" w14:textId="75B51E94" w:rsidR="00806747" w:rsidRDefault="00806747" w:rsidP="00806747">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Assignment </w:t>
      </w:r>
      <w:r>
        <w:rPr>
          <w:rFonts w:ascii="Times New Roman" w:eastAsia="Times New Roman" w:hAnsi="Times New Roman" w:cs="Times New Roman"/>
          <w:color w:val="000000" w:themeColor="text1"/>
          <w:kern w:val="36"/>
        </w:rPr>
        <w:t>Two (Encyclopaedia) - Entry Three:</w:t>
      </w:r>
    </w:p>
    <w:p w14:paraId="40630EA6" w14:textId="77777777" w:rsidR="00806747" w:rsidRDefault="00806747" w:rsidP="00806747">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F687387" w14:textId="4399934F" w:rsidR="00E46FE9" w:rsidRPr="008E6FEB" w:rsidRDefault="00806747"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hAnsi="Times New Roman" w:cs="Times New Roman"/>
          <w:i/>
          <w:sz w:val="28"/>
          <w:szCs w:val="28"/>
        </w:rPr>
        <w:t>Proofs of Shari’ah “Al-Adillah Ash-Shar’iyyah”.</w:t>
      </w:r>
    </w:p>
    <w:p w14:paraId="1524FEBA"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74CE2A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B9F627A" w14:textId="3C67FF5E"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Tutor:</w:t>
      </w:r>
    </w:p>
    <w:p w14:paraId="5C91C54D" w14:textId="056EDD25"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Prof </w:t>
      </w:r>
      <w:r w:rsidR="000543E2" w:rsidRPr="008E6FEB">
        <w:rPr>
          <w:rFonts w:ascii="Times New Roman" w:eastAsia="Times New Roman" w:hAnsi="Times New Roman" w:cs="Times New Roman"/>
          <w:color w:val="000000" w:themeColor="text1"/>
          <w:kern w:val="36"/>
        </w:rPr>
        <w:t>Gary Bunt</w:t>
      </w:r>
    </w:p>
    <w:p w14:paraId="5F4AF2DD"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953E49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0275930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3965E6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AAFFCE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C86A500"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474E4D7" w14:textId="2381FF79"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eastAsia="Times New Roman" w:hAnsi="Times New Roman" w:cs="Times New Roman"/>
          <w:i/>
          <w:color w:val="000000" w:themeColor="text1"/>
          <w:kern w:val="36"/>
        </w:rPr>
        <w:t>Submitt</w:t>
      </w:r>
      <w:r w:rsidR="00E46FE9" w:rsidRPr="008E6FEB">
        <w:rPr>
          <w:rFonts w:ascii="Times New Roman" w:eastAsia="Times New Roman" w:hAnsi="Times New Roman" w:cs="Times New Roman"/>
          <w:i/>
          <w:color w:val="000000" w:themeColor="text1"/>
          <w:kern w:val="36"/>
        </w:rPr>
        <w:t>ed by:</w:t>
      </w:r>
    </w:p>
    <w:p w14:paraId="237BDF0E"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8E6FEB">
        <w:rPr>
          <w:rFonts w:ascii="Times New Roman" w:eastAsia="Times New Roman" w:hAnsi="Times New Roman" w:cs="Times New Roman"/>
          <w:b/>
          <w:color w:val="000000" w:themeColor="text1"/>
          <w:kern w:val="36"/>
          <w:sz w:val="32"/>
          <w:szCs w:val="32"/>
        </w:rPr>
        <w:t>Mohammed Adebayo (1603804)</w:t>
      </w:r>
    </w:p>
    <w:p w14:paraId="6228D27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University of Wales Trinity Saint David </w:t>
      </w:r>
    </w:p>
    <w:p w14:paraId="531FB3F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Lampeter Campus</w:t>
      </w:r>
    </w:p>
    <w:p w14:paraId="0246F6AD" w14:textId="4A03F8E6" w:rsidR="00E46FE9" w:rsidRPr="008E6FEB" w:rsidRDefault="002246FB"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eastAsia="Times New Roman" w:hAnsi="Times New Roman" w:cs="Times New Roman"/>
          <w:color w:val="000000" w:themeColor="text1"/>
          <w:kern w:val="36"/>
        </w:rPr>
        <w:t>May</w:t>
      </w:r>
      <w:r w:rsidR="00E46FE9" w:rsidRPr="008E6FEB">
        <w:rPr>
          <w:rFonts w:ascii="Times New Roman" w:eastAsia="Times New Roman" w:hAnsi="Times New Roman" w:cs="Times New Roman"/>
          <w:color w:val="000000" w:themeColor="text1"/>
          <w:kern w:val="36"/>
        </w:rPr>
        <w:t xml:space="preserve"> 2019</w:t>
      </w:r>
    </w:p>
    <w:p w14:paraId="0F5868E4" w14:textId="4D51EAD0" w:rsidR="00E46FE9" w:rsidRPr="008E6FEB" w:rsidRDefault="00E46FE9">
      <w:pPr>
        <w:rPr>
          <w:rFonts w:ascii="Times New Roman" w:hAnsi="Times New Roman" w:cs="Times New Roman"/>
        </w:rPr>
      </w:pPr>
    </w:p>
    <w:p w14:paraId="5AAA08C0" w14:textId="481E89C3" w:rsidR="000543E2" w:rsidRPr="008E6FEB" w:rsidRDefault="000543E2">
      <w:pPr>
        <w:rPr>
          <w:rFonts w:ascii="Times New Roman" w:hAnsi="Times New Roman" w:cs="Times New Roman"/>
        </w:rPr>
      </w:pPr>
    </w:p>
    <w:p w14:paraId="5697D9C7" w14:textId="1A8A7C44" w:rsidR="000543E2" w:rsidRPr="008E6FEB" w:rsidRDefault="000543E2">
      <w:pPr>
        <w:rPr>
          <w:rFonts w:ascii="Times New Roman" w:hAnsi="Times New Roman" w:cs="Times New Roman"/>
        </w:rPr>
      </w:pPr>
    </w:p>
    <w:p w14:paraId="4DCDEF6E" w14:textId="706727AC" w:rsidR="000543E2" w:rsidRPr="008E6FEB" w:rsidRDefault="000543E2">
      <w:pPr>
        <w:rPr>
          <w:rFonts w:ascii="Times New Roman" w:hAnsi="Times New Roman" w:cs="Times New Roman"/>
        </w:rPr>
      </w:pPr>
    </w:p>
    <w:p w14:paraId="4069F416" w14:textId="3BC5BA8C" w:rsidR="000543E2" w:rsidRPr="008E6FEB" w:rsidRDefault="000543E2">
      <w:pPr>
        <w:rPr>
          <w:rFonts w:ascii="Times New Roman" w:hAnsi="Times New Roman" w:cs="Times New Roman"/>
        </w:rPr>
      </w:pPr>
    </w:p>
    <w:p w14:paraId="71966E6F" w14:textId="3335CBF3" w:rsidR="00B20C4A" w:rsidRDefault="00B20C4A" w:rsidP="00B20C4A">
      <w:pPr>
        <w:spacing w:line="480" w:lineRule="auto"/>
        <w:rPr>
          <w:rFonts w:ascii="Times New Roman" w:eastAsia="Times New Roman" w:hAnsi="Times New Roman" w:cs="Times New Roman"/>
        </w:rPr>
      </w:pPr>
    </w:p>
    <w:p w14:paraId="5201C67B" w14:textId="77777777" w:rsidR="00767F36" w:rsidRDefault="00767F36" w:rsidP="00EE3B98">
      <w:pPr>
        <w:spacing w:line="480" w:lineRule="auto"/>
        <w:jc w:val="both"/>
        <w:rPr>
          <w:rFonts w:ascii="Times New Roman" w:eastAsia="Times New Roman" w:hAnsi="Times New Roman" w:cs="Times New Roman"/>
          <w:b/>
          <w:sz w:val="28"/>
          <w:szCs w:val="28"/>
        </w:rPr>
      </w:pPr>
    </w:p>
    <w:p w14:paraId="31DDF45B" w14:textId="1E9194AF" w:rsidR="00806747" w:rsidRPr="00EE3B98" w:rsidRDefault="00806747" w:rsidP="00EE3B98">
      <w:pPr>
        <w:spacing w:line="480" w:lineRule="auto"/>
        <w:jc w:val="both"/>
        <w:rPr>
          <w:rFonts w:ascii="Times New Roman" w:eastAsia="Times New Roman" w:hAnsi="Times New Roman" w:cs="Times New Roman"/>
          <w:b/>
          <w:sz w:val="28"/>
          <w:szCs w:val="28"/>
        </w:rPr>
      </w:pPr>
      <w:bookmarkStart w:id="0" w:name="_GoBack"/>
      <w:bookmarkEnd w:id="0"/>
      <w:r w:rsidRPr="00EE3B98">
        <w:rPr>
          <w:rFonts w:ascii="Times New Roman" w:eastAsia="Times New Roman" w:hAnsi="Times New Roman" w:cs="Times New Roman"/>
          <w:b/>
          <w:sz w:val="28"/>
          <w:szCs w:val="28"/>
        </w:rPr>
        <w:t>The Proofs of Shari’ah – Al-Adillah Ash-Shar’iyyah</w:t>
      </w:r>
    </w:p>
    <w:p w14:paraId="1BF0DE3A" w14:textId="3D6F411E" w:rsidR="00806747" w:rsidRDefault="00806747" w:rsidP="00EE3B98">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The ahkaam and the proofs of shari’ah are the regulating laws biding the behaviours of the Mukallaf and they are the two major themes of Usul Al Fiqh. According to some scholars of shari’ah, the most important of the two is the </w:t>
      </w:r>
      <w:r w:rsidR="00630E40">
        <w:rPr>
          <w:rFonts w:ascii="Times New Roman" w:eastAsia="Times New Roman" w:hAnsi="Times New Roman" w:cs="Times New Roman"/>
        </w:rPr>
        <w:t>‘</w:t>
      </w:r>
      <w:r>
        <w:rPr>
          <w:rFonts w:ascii="Times New Roman" w:eastAsia="Times New Roman" w:hAnsi="Times New Roman" w:cs="Times New Roman"/>
        </w:rPr>
        <w:t>Adillah Shar’iyyah</w:t>
      </w:r>
      <w:r w:rsidR="00630E40">
        <w:rPr>
          <w:rFonts w:ascii="Times New Roman" w:eastAsia="Times New Roman" w:hAnsi="Times New Roman" w:cs="Times New Roman"/>
        </w:rPr>
        <w:t xml:space="preserve">’ proofs of shari’ah, this is because the origin of ahkaam itself are deduced from the Adillah Shar’iyyah, therefore, Ahkaam is a subsidiary of the Adillah. In view of the major importance of the two as related to Usul Al Fiqh, scholars have defined the Ahkaam as the science to proof the Fiqh ‘Adillah al-Fiqh’ along with the provision of indications </w:t>
      </w:r>
      <w:r w:rsidR="00912867">
        <w:rPr>
          <w:rFonts w:ascii="Times New Roman" w:eastAsia="Times New Roman" w:hAnsi="Times New Roman" w:cs="Times New Roman"/>
        </w:rPr>
        <w:t>in regard to the Ahkaam of Islamic law.</w:t>
      </w:r>
    </w:p>
    <w:p w14:paraId="7021F7E8" w14:textId="62308194" w:rsidR="00912867" w:rsidRDefault="00912867" w:rsidP="00EE3B98">
      <w:pPr>
        <w:spacing w:line="480" w:lineRule="auto"/>
        <w:jc w:val="both"/>
        <w:rPr>
          <w:rFonts w:ascii="Times New Roman" w:eastAsia="Times New Roman" w:hAnsi="Times New Roman" w:cs="Times New Roman"/>
        </w:rPr>
      </w:pPr>
    </w:p>
    <w:p w14:paraId="79E8062B" w14:textId="7FB7D734" w:rsidR="00912867" w:rsidRDefault="00EE3B98" w:rsidP="00EE3B98">
      <w:pPr>
        <w:spacing w:line="480" w:lineRule="auto"/>
        <w:jc w:val="both"/>
        <w:rPr>
          <w:rFonts w:ascii="Times New Roman" w:eastAsia="Times New Roman" w:hAnsi="Times New Roman" w:cs="Times New Roman"/>
        </w:rPr>
      </w:pPr>
      <w:r>
        <w:rPr>
          <w:rFonts w:ascii="Times New Roman" w:eastAsia="Times New Roman" w:hAnsi="Times New Roman" w:cs="Times New Roman"/>
        </w:rPr>
        <w:t>‘</w:t>
      </w:r>
      <w:r w:rsidR="00912867">
        <w:rPr>
          <w:rFonts w:ascii="Times New Roman" w:eastAsia="Times New Roman" w:hAnsi="Times New Roman" w:cs="Times New Roman"/>
        </w:rPr>
        <w:t>Dalil</w:t>
      </w:r>
      <w:r>
        <w:rPr>
          <w:rFonts w:ascii="Times New Roman" w:eastAsia="Times New Roman" w:hAnsi="Times New Roman" w:cs="Times New Roman"/>
        </w:rPr>
        <w:t>’</w:t>
      </w:r>
      <w:r w:rsidR="00912867">
        <w:rPr>
          <w:rFonts w:ascii="Times New Roman" w:eastAsia="Times New Roman" w:hAnsi="Times New Roman" w:cs="Times New Roman"/>
        </w:rPr>
        <w:t xml:space="preserve"> is an Arabic word that literally means proof, evidence or indication. In a technical term, it is referred to as an indication from the sources where a practicable rulings of Islam law or ahkaam is derived. Obtaining the Hukm from the source, it may be either speculative ‘zanni’ or definitive ‘qat’i’ both depend on the subject in question, the textual clarity and on the established values attached</w:t>
      </w:r>
      <w:r w:rsidR="006F7590">
        <w:rPr>
          <w:rFonts w:ascii="Times New Roman" w:eastAsia="Times New Roman" w:hAnsi="Times New Roman" w:cs="Times New Roman"/>
        </w:rPr>
        <w:t xml:space="preserve">. The term Usul Al Fiqh as the name implied, Adillah Ash-Shar’iyyah are indications of four different proofs or four different sources of Islamic law which are: Al – Qur’an, Sunnah, Analogy and Consensus. In this sense, it is reasonable to say that </w:t>
      </w:r>
      <w:r>
        <w:rPr>
          <w:rFonts w:ascii="Times New Roman" w:eastAsia="Times New Roman" w:hAnsi="Times New Roman" w:cs="Times New Roman"/>
        </w:rPr>
        <w:t>‘</w:t>
      </w:r>
      <w:r w:rsidR="006F7590">
        <w:rPr>
          <w:rFonts w:ascii="Times New Roman" w:eastAsia="Times New Roman" w:hAnsi="Times New Roman" w:cs="Times New Roman"/>
        </w:rPr>
        <w:t>Dalil</w:t>
      </w:r>
      <w:r>
        <w:rPr>
          <w:rFonts w:ascii="Times New Roman" w:eastAsia="Times New Roman" w:hAnsi="Times New Roman" w:cs="Times New Roman"/>
        </w:rPr>
        <w:t>’</w:t>
      </w:r>
      <w:r w:rsidR="006F7590">
        <w:rPr>
          <w:rFonts w:ascii="Times New Roman" w:eastAsia="Times New Roman" w:hAnsi="Times New Roman" w:cs="Times New Roman"/>
        </w:rPr>
        <w:t xml:space="preserve"> is a synonym of </w:t>
      </w:r>
      <w:r>
        <w:rPr>
          <w:rFonts w:ascii="Times New Roman" w:eastAsia="Times New Roman" w:hAnsi="Times New Roman" w:cs="Times New Roman"/>
        </w:rPr>
        <w:t>‘</w:t>
      </w:r>
      <w:r w:rsidR="006F7590">
        <w:rPr>
          <w:rFonts w:ascii="Times New Roman" w:eastAsia="Times New Roman" w:hAnsi="Times New Roman" w:cs="Times New Roman"/>
        </w:rPr>
        <w:t>Asl</w:t>
      </w:r>
      <w:r>
        <w:rPr>
          <w:rFonts w:ascii="Times New Roman" w:eastAsia="Times New Roman" w:hAnsi="Times New Roman" w:cs="Times New Roman"/>
        </w:rPr>
        <w:t>’</w:t>
      </w:r>
      <w:r w:rsidR="006F7590">
        <w:rPr>
          <w:rFonts w:ascii="Times New Roman" w:eastAsia="Times New Roman" w:hAnsi="Times New Roman" w:cs="Times New Roman"/>
        </w:rPr>
        <w:t>. Perhaps, the four sources of Shari’ah are all refer to as Adillah and Usul. There are lots of verses in the Qur’an which analyses the orderliness of the priorities of all the sources of shari’ah</w:t>
      </w:r>
      <w:r w:rsidR="00954199">
        <w:rPr>
          <w:rFonts w:ascii="Times New Roman" w:eastAsia="Times New Roman" w:hAnsi="Times New Roman" w:cs="Times New Roman"/>
        </w:rPr>
        <w:t>. A verse of the Qur’an</w:t>
      </w:r>
      <w:r w:rsidR="006F7590">
        <w:rPr>
          <w:rFonts w:ascii="Times New Roman" w:eastAsia="Times New Roman" w:hAnsi="Times New Roman" w:cs="Times New Roman"/>
        </w:rPr>
        <w:t xml:space="preserve"> </w:t>
      </w:r>
      <w:r w:rsidR="00954199">
        <w:rPr>
          <w:rFonts w:ascii="Times New Roman" w:eastAsia="Times New Roman" w:hAnsi="Times New Roman" w:cs="Times New Roman"/>
        </w:rPr>
        <w:t xml:space="preserve">that actually indicates all the principal sources is found in </w:t>
      </w:r>
      <w:r>
        <w:rPr>
          <w:rFonts w:ascii="Times New Roman" w:eastAsia="Times New Roman" w:hAnsi="Times New Roman" w:cs="Times New Roman"/>
        </w:rPr>
        <w:t>‘</w:t>
      </w:r>
      <w:r w:rsidR="00954199">
        <w:rPr>
          <w:rFonts w:ascii="Times New Roman" w:eastAsia="Times New Roman" w:hAnsi="Times New Roman" w:cs="Times New Roman"/>
        </w:rPr>
        <w:t>Surat al Nissai</w:t>
      </w:r>
      <w:proofErr w:type="gramStart"/>
      <w:r>
        <w:rPr>
          <w:rFonts w:ascii="Times New Roman" w:eastAsia="Times New Roman" w:hAnsi="Times New Roman" w:cs="Times New Roman"/>
        </w:rPr>
        <w:t>’</w:t>
      </w:r>
      <w:r w:rsidR="00954199">
        <w:rPr>
          <w:rFonts w:ascii="Times New Roman" w:eastAsia="Times New Roman" w:hAnsi="Times New Roman" w:cs="Times New Roman"/>
        </w:rPr>
        <w:t>,</w:t>
      </w:r>
      <w:proofErr w:type="gramEnd"/>
      <w:r w:rsidR="00954199">
        <w:rPr>
          <w:rFonts w:ascii="Times New Roman" w:eastAsia="Times New Roman" w:hAnsi="Times New Roman" w:cs="Times New Roman"/>
        </w:rPr>
        <w:t xml:space="preserve"> Allah says:</w:t>
      </w:r>
    </w:p>
    <w:p w14:paraId="03D8BE01" w14:textId="2CFDD055" w:rsidR="00954199" w:rsidRDefault="00954199" w:rsidP="00EE3B98">
      <w:pPr>
        <w:spacing w:line="480" w:lineRule="auto"/>
        <w:jc w:val="both"/>
        <w:rPr>
          <w:rFonts w:ascii="Times New Roman" w:eastAsia="Times New Roman" w:hAnsi="Times New Roman" w:cs="Times New Roman"/>
        </w:rPr>
      </w:pPr>
    </w:p>
    <w:p w14:paraId="0BAA0FF7" w14:textId="714E8638" w:rsidR="00954199" w:rsidRDefault="00954199" w:rsidP="00EE3B98">
      <w:pPr>
        <w:shd w:val="clear" w:color="auto" w:fill="FFFFFF"/>
        <w:spacing w:before="75" w:after="375" w:line="480" w:lineRule="auto"/>
        <w:jc w:val="both"/>
        <w:outlineLvl w:val="1"/>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w:t>
      </w:r>
      <w:proofErr w:type="spellStart"/>
      <w:r w:rsidRPr="00954199">
        <w:rPr>
          <w:rFonts w:ascii="Times New Roman" w:eastAsia="Times New Roman" w:hAnsi="Times New Roman" w:cs="Times New Roman"/>
          <w:color w:val="000000" w:themeColor="text1"/>
        </w:rPr>
        <w:t>O</w:t>
      </w:r>
      <w:proofErr w:type="spellEnd"/>
      <w:r w:rsidRPr="00954199">
        <w:rPr>
          <w:rFonts w:ascii="Times New Roman" w:eastAsia="Times New Roman" w:hAnsi="Times New Roman" w:cs="Times New Roman"/>
          <w:color w:val="000000" w:themeColor="text1"/>
        </w:rPr>
        <w:t xml:space="preserve"> you who have believed, obey Allah and obey the Messenger and those in authority among you. And if you disagree over anything, refer it to Allah and the Messenger, if you should believe in Allah and the Last Day. That is the best [way] and best in result</w:t>
      </w:r>
      <w:r>
        <w:rPr>
          <w:rFonts w:ascii="Times New Roman" w:eastAsia="Times New Roman" w:hAnsi="Times New Roman" w:cs="Times New Roman"/>
          <w:color w:val="000000" w:themeColor="text1"/>
        </w:rPr>
        <w:t>” (Q4:59).</w:t>
      </w:r>
    </w:p>
    <w:p w14:paraId="6C8001C2" w14:textId="4111AFF9" w:rsidR="00954199" w:rsidRPr="00954199" w:rsidRDefault="0010594A" w:rsidP="00EE3B98">
      <w:pPr>
        <w:shd w:val="clear" w:color="auto" w:fill="FFFFFF"/>
        <w:spacing w:before="75" w:after="375" w:line="480" w:lineRule="auto"/>
        <w:jc w:val="both"/>
        <w:outlineLvl w:val="1"/>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word ‘Obey God’ in the verse refers to abiding with the rules of the Qur’an, and obeying the messenger means adopting the Sunnah. And the obedience of the people in charge of affairs is a juristic evidence of Ijma’ while the last bit of the verse mentioned referring dispute cases to Allah and his messenger is a proven evidence for Qiyas. Essentially, Qiyas is an extensive measure of Qur’an and Sunnah injunctions. </w:t>
      </w:r>
      <w:r w:rsidR="003D60CF">
        <w:rPr>
          <w:rFonts w:ascii="Times New Roman" w:eastAsia="Times New Roman" w:hAnsi="Times New Roman" w:cs="Times New Roman"/>
          <w:color w:val="000000" w:themeColor="text1"/>
        </w:rPr>
        <w:t xml:space="preserve">The aim or the effective rationale of Qiyas may be clearly identified in the major sources and it may be indicated by method of inference known as “istinbaat”. In other words, Qiyas is a deduction of hukm discovered from an already indicated proofs in the divine primary sources. </w:t>
      </w:r>
    </w:p>
    <w:p w14:paraId="202E078D" w14:textId="292FF9F5" w:rsidR="00954199" w:rsidRPr="00EE3B98" w:rsidRDefault="00EE3B98" w:rsidP="00EE3B98">
      <w:pPr>
        <w:spacing w:line="480" w:lineRule="auto"/>
        <w:jc w:val="both"/>
        <w:rPr>
          <w:rFonts w:ascii="Times New Roman" w:eastAsia="Times New Roman" w:hAnsi="Times New Roman" w:cs="Times New Roman"/>
          <w:b/>
          <w:sz w:val="28"/>
          <w:szCs w:val="28"/>
        </w:rPr>
      </w:pPr>
      <w:r w:rsidRPr="00EE3B98">
        <w:rPr>
          <w:rFonts w:ascii="Times New Roman" w:eastAsia="Times New Roman" w:hAnsi="Times New Roman" w:cs="Times New Roman"/>
          <w:b/>
          <w:sz w:val="28"/>
          <w:szCs w:val="28"/>
        </w:rPr>
        <w:t>Reference:</w:t>
      </w:r>
    </w:p>
    <w:p w14:paraId="576E91FD" w14:textId="77777777" w:rsidR="00EE3B98" w:rsidRPr="001E5399" w:rsidRDefault="00EE3B98" w:rsidP="00EE3B98">
      <w:pPr>
        <w:widowControl w:val="0"/>
        <w:spacing w:line="480" w:lineRule="auto"/>
        <w:jc w:val="both"/>
        <w:rPr>
          <w:rFonts w:ascii="Times New Roman" w:hAnsi="Times New Roman" w:cs="Times New Roman"/>
          <w:bCs/>
          <w:i/>
          <w:iCs/>
        </w:rPr>
      </w:pPr>
      <w:r w:rsidRPr="001E5399">
        <w:rPr>
          <w:rFonts w:ascii="Times New Roman" w:hAnsi="Times New Roman" w:cs="Times New Roman"/>
          <w:bCs/>
        </w:rPr>
        <w:t xml:space="preserve">Kamali, M. (1991). </w:t>
      </w:r>
      <w:r w:rsidRPr="001E5399">
        <w:rPr>
          <w:rFonts w:ascii="Times New Roman" w:hAnsi="Times New Roman" w:cs="Times New Roman"/>
          <w:bCs/>
          <w:i/>
          <w:iCs/>
        </w:rPr>
        <w:t xml:space="preserve">Principles of Islamic Jurisprudence. </w:t>
      </w:r>
      <w:r w:rsidRPr="001E5399">
        <w:rPr>
          <w:rFonts w:ascii="Times New Roman" w:hAnsi="Times New Roman" w:cs="Times New Roman"/>
          <w:bCs/>
        </w:rPr>
        <w:t>Islamic Text Society, Cambridge</w:t>
      </w:r>
    </w:p>
    <w:p w14:paraId="3094F164" w14:textId="77777777" w:rsidR="00EE3B98" w:rsidRPr="00B20C4A" w:rsidRDefault="00EE3B98" w:rsidP="00EE3B98">
      <w:pPr>
        <w:spacing w:line="480" w:lineRule="auto"/>
        <w:jc w:val="both"/>
        <w:rPr>
          <w:rFonts w:ascii="Times New Roman" w:eastAsia="Times New Roman" w:hAnsi="Times New Roman" w:cs="Times New Roman"/>
        </w:rPr>
      </w:pPr>
    </w:p>
    <w:sectPr w:rsidR="00EE3B98" w:rsidRPr="00B20C4A"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07DE8" w14:textId="77777777" w:rsidR="000766C9" w:rsidRDefault="000766C9" w:rsidP="00B20C4A">
      <w:r>
        <w:separator/>
      </w:r>
    </w:p>
  </w:endnote>
  <w:endnote w:type="continuationSeparator" w:id="0">
    <w:p w14:paraId="205B0605" w14:textId="77777777" w:rsidR="000766C9" w:rsidRDefault="000766C9" w:rsidP="00B2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8662593"/>
      <w:docPartObj>
        <w:docPartGallery w:val="Page Numbers (Bottom of Page)"/>
        <w:docPartUnique/>
      </w:docPartObj>
    </w:sdtPr>
    <w:sdtEndPr>
      <w:rPr>
        <w:rStyle w:val="PageNumber"/>
      </w:rPr>
    </w:sdtEndPr>
    <w:sdtContent>
      <w:p w14:paraId="23B160A2" w14:textId="12FBA9D3"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530345" w14:textId="77777777" w:rsidR="00B20C4A" w:rsidRDefault="00B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58747"/>
      <w:docPartObj>
        <w:docPartGallery w:val="Page Numbers (Bottom of Page)"/>
        <w:docPartUnique/>
      </w:docPartObj>
    </w:sdtPr>
    <w:sdtEndPr>
      <w:rPr>
        <w:rStyle w:val="PageNumber"/>
      </w:rPr>
    </w:sdtEndPr>
    <w:sdtContent>
      <w:p w14:paraId="55F55437" w14:textId="6E7A39A6"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83C7" w14:textId="77777777" w:rsidR="00B20C4A" w:rsidRDefault="00B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0505E" w14:textId="77777777" w:rsidR="000766C9" w:rsidRDefault="000766C9" w:rsidP="00B20C4A">
      <w:r>
        <w:separator/>
      </w:r>
    </w:p>
  </w:footnote>
  <w:footnote w:type="continuationSeparator" w:id="0">
    <w:p w14:paraId="1A8FC783" w14:textId="77777777" w:rsidR="000766C9" w:rsidRDefault="000766C9" w:rsidP="00B20C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A900F" w14:textId="601F1B80" w:rsidR="00B20C4A" w:rsidRDefault="00B20C4A">
    <w:pPr>
      <w:pStyle w:val="Header"/>
    </w:pPr>
    <w:r>
      <w:t>TRDL7064</w:t>
    </w:r>
    <w:r>
      <w:ptab w:relativeTo="margin" w:alignment="center" w:leader="none"/>
    </w:r>
    <w:r>
      <w:t>Islamic Law in the Contemporary World</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00BB"/>
    <w:multiLevelType w:val="hybridMultilevel"/>
    <w:tmpl w:val="A1E2D3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E9"/>
    <w:rsid w:val="000010EC"/>
    <w:rsid w:val="000543E2"/>
    <w:rsid w:val="000613CD"/>
    <w:rsid w:val="000766C9"/>
    <w:rsid w:val="000B6799"/>
    <w:rsid w:val="0010594A"/>
    <w:rsid w:val="0013162F"/>
    <w:rsid w:val="00167AA4"/>
    <w:rsid w:val="001C0644"/>
    <w:rsid w:val="001F68FD"/>
    <w:rsid w:val="002246FB"/>
    <w:rsid w:val="00227AD4"/>
    <w:rsid w:val="002301FC"/>
    <w:rsid w:val="002873B7"/>
    <w:rsid w:val="002A480D"/>
    <w:rsid w:val="002E3576"/>
    <w:rsid w:val="003432DD"/>
    <w:rsid w:val="00385E61"/>
    <w:rsid w:val="003C5D0E"/>
    <w:rsid w:val="003D60CF"/>
    <w:rsid w:val="00400174"/>
    <w:rsid w:val="0049542A"/>
    <w:rsid w:val="004955D7"/>
    <w:rsid w:val="004A59D4"/>
    <w:rsid w:val="004E0B4F"/>
    <w:rsid w:val="00597FB1"/>
    <w:rsid w:val="005C4E79"/>
    <w:rsid w:val="00604C0A"/>
    <w:rsid w:val="0061258A"/>
    <w:rsid w:val="00630E40"/>
    <w:rsid w:val="00653E6C"/>
    <w:rsid w:val="00692F46"/>
    <w:rsid w:val="006A6460"/>
    <w:rsid w:val="006F7590"/>
    <w:rsid w:val="00707D1B"/>
    <w:rsid w:val="0071262C"/>
    <w:rsid w:val="007342C9"/>
    <w:rsid w:val="00736FE5"/>
    <w:rsid w:val="007402FE"/>
    <w:rsid w:val="00764BA3"/>
    <w:rsid w:val="00767F36"/>
    <w:rsid w:val="0077797F"/>
    <w:rsid w:val="007D6AA3"/>
    <w:rsid w:val="00806747"/>
    <w:rsid w:val="008C4040"/>
    <w:rsid w:val="008E6FEB"/>
    <w:rsid w:val="00912867"/>
    <w:rsid w:val="00940A20"/>
    <w:rsid w:val="00954199"/>
    <w:rsid w:val="00973722"/>
    <w:rsid w:val="00992496"/>
    <w:rsid w:val="009B372B"/>
    <w:rsid w:val="009B5591"/>
    <w:rsid w:val="009C625F"/>
    <w:rsid w:val="00A272B3"/>
    <w:rsid w:val="00A74863"/>
    <w:rsid w:val="00B20C4A"/>
    <w:rsid w:val="00B4030C"/>
    <w:rsid w:val="00B7387D"/>
    <w:rsid w:val="00B83B73"/>
    <w:rsid w:val="00BA463B"/>
    <w:rsid w:val="00BC02B6"/>
    <w:rsid w:val="00BD11E9"/>
    <w:rsid w:val="00C10240"/>
    <w:rsid w:val="00C12497"/>
    <w:rsid w:val="00C16764"/>
    <w:rsid w:val="00C41F67"/>
    <w:rsid w:val="00C7157F"/>
    <w:rsid w:val="00D37EA9"/>
    <w:rsid w:val="00DB3DAA"/>
    <w:rsid w:val="00DC6C9A"/>
    <w:rsid w:val="00DD476A"/>
    <w:rsid w:val="00DF1338"/>
    <w:rsid w:val="00E05411"/>
    <w:rsid w:val="00E33884"/>
    <w:rsid w:val="00E35B2E"/>
    <w:rsid w:val="00E46FE9"/>
    <w:rsid w:val="00E92E6E"/>
    <w:rsid w:val="00EA4342"/>
    <w:rsid w:val="00EE3B98"/>
    <w:rsid w:val="00F24017"/>
    <w:rsid w:val="00F55A6C"/>
    <w:rsid w:val="00FF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9ABCC"/>
  <w15:chartTrackingRefBased/>
  <w15:docId w15:val="{B9827C51-3182-5A47-BBB7-F6572C8AB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E9"/>
  </w:style>
  <w:style w:type="paragraph" w:styleId="Heading2">
    <w:name w:val="heading 2"/>
    <w:basedOn w:val="Normal"/>
    <w:link w:val="Heading2Char"/>
    <w:uiPriority w:val="9"/>
    <w:qFormat/>
    <w:rsid w:val="00954199"/>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44"/>
    <w:pPr>
      <w:ind w:left="720"/>
      <w:contextualSpacing/>
    </w:pPr>
  </w:style>
  <w:style w:type="paragraph" w:styleId="Header">
    <w:name w:val="header"/>
    <w:basedOn w:val="Normal"/>
    <w:link w:val="HeaderChar"/>
    <w:uiPriority w:val="99"/>
    <w:unhideWhenUsed/>
    <w:rsid w:val="00B20C4A"/>
    <w:pPr>
      <w:tabs>
        <w:tab w:val="center" w:pos="4680"/>
        <w:tab w:val="right" w:pos="9360"/>
      </w:tabs>
    </w:pPr>
  </w:style>
  <w:style w:type="character" w:customStyle="1" w:styleId="HeaderChar">
    <w:name w:val="Header Char"/>
    <w:basedOn w:val="DefaultParagraphFont"/>
    <w:link w:val="Header"/>
    <w:uiPriority w:val="99"/>
    <w:rsid w:val="00B20C4A"/>
  </w:style>
  <w:style w:type="paragraph" w:styleId="Footer">
    <w:name w:val="footer"/>
    <w:basedOn w:val="Normal"/>
    <w:link w:val="FooterChar"/>
    <w:uiPriority w:val="99"/>
    <w:unhideWhenUsed/>
    <w:rsid w:val="00B20C4A"/>
    <w:pPr>
      <w:tabs>
        <w:tab w:val="center" w:pos="4680"/>
        <w:tab w:val="right" w:pos="9360"/>
      </w:tabs>
    </w:pPr>
  </w:style>
  <w:style w:type="character" w:customStyle="1" w:styleId="FooterChar">
    <w:name w:val="Footer Char"/>
    <w:basedOn w:val="DefaultParagraphFont"/>
    <w:link w:val="Footer"/>
    <w:uiPriority w:val="99"/>
    <w:rsid w:val="00B20C4A"/>
  </w:style>
  <w:style w:type="character" w:styleId="PageNumber">
    <w:name w:val="page number"/>
    <w:basedOn w:val="DefaultParagraphFont"/>
    <w:uiPriority w:val="99"/>
    <w:semiHidden/>
    <w:unhideWhenUsed/>
    <w:rsid w:val="00B20C4A"/>
  </w:style>
  <w:style w:type="character" w:customStyle="1" w:styleId="Heading2Char">
    <w:name w:val="Heading 2 Char"/>
    <w:basedOn w:val="DefaultParagraphFont"/>
    <w:link w:val="Heading2"/>
    <w:uiPriority w:val="9"/>
    <w:rsid w:val="00954199"/>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235914">
      <w:bodyDiv w:val="1"/>
      <w:marLeft w:val="0"/>
      <w:marRight w:val="0"/>
      <w:marTop w:val="0"/>
      <w:marBottom w:val="0"/>
      <w:divBdr>
        <w:top w:val="none" w:sz="0" w:space="0" w:color="auto"/>
        <w:left w:val="none" w:sz="0" w:space="0" w:color="auto"/>
        <w:bottom w:val="none" w:sz="0" w:space="0" w:color="auto"/>
        <w:right w:val="none" w:sz="0" w:space="0" w:color="auto"/>
      </w:divBdr>
    </w:div>
    <w:div w:id="405297536">
      <w:bodyDiv w:val="1"/>
      <w:marLeft w:val="0"/>
      <w:marRight w:val="0"/>
      <w:marTop w:val="0"/>
      <w:marBottom w:val="0"/>
      <w:divBdr>
        <w:top w:val="none" w:sz="0" w:space="0" w:color="auto"/>
        <w:left w:val="none" w:sz="0" w:space="0" w:color="auto"/>
        <w:bottom w:val="none" w:sz="0" w:space="0" w:color="auto"/>
        <w:right w:val="none" w:sz="0" w:space="0" w:color="auto"/>
      </w:divBdr>
    </w:div>
    <w:div w:id="496964576">
      <w:bodyDiv w:val="1"/>
      <w:marLeft w:val="0"/>
      <w:marRight w:val="0"/>
      <w:marTop w:val="0"/>
      <w:marBottom w:val="0"/>
      <w:divBdr>
        <w:top w:val="none" w:sz="0" w:space="0" w:color="auto"/>
        <w:left w:val="none" w:sz="0" w:space="0" w:color="auto"/>
        <w:bottom w:val="none" w:sz="0" w:space="0" w:color="auto"/>
        <w:right w:val="none" w:sz="0" w:space="0" w:color="auto"/>
      </w:divBdr>
    </w:div>
    <w:div w:id="543326099">
      <w:bodyDiv w:val="1"/>
      <w:marLeft w:val="0"/>
      <w:marRight w:val="0"/>
      <w:marTop w:val="0"/>
      <w:marBottom w:val="0"/>
      <w:divBdr>
        <w:top w:val="none" w:sz="0" w:space="0" w:color="auto"/>
        <w:left w:val="none" w:sz="0" w:space="0" w:color="auto"/>
        <w:bottom w:val="none" w:sz="0" w:space="0" w:color="auto"/>
        <w:right w:val="none" w:sz="0" w:space="0" w:color="auto"/>
      </w:divBdr>
    </w:div>
    <w:div w:id="855188792">
      <w:bodyDiv w:val="1"/>
      <w:marLeft w:val="0"/>
      <w:marRight w:val="0"/>
      <w:marTop w:val="0"/>
      <w:marBottom w:val="0"/>
      <w:divBdr>
        <w:top w:val="none" w:sz="0" w:space="0" w:color="auto"/>
        <w:left w:val="none" w:sz="0" w:space="0" w:color="auto"/>
        <w:bottom w:val="none" w:sz="0" w:space="0" w:color="auto"/>
        <w:right w:val="none" w:sz="0" w:space="0" w:color="auto"/>
      </w:divBdr>
    </w:div>
    <w:div w:id="1186752912">
      <w:bodyDiv w:val="1"/>
      <w:marLeft w:val="0"/>
      <w:marRight w:val="0"/>
      <w:marTop w:val="0"/>
      <w:marBottom w:val="0"/>
      <w:divBdr>
        <w:top w:val="none" w:sz="0" w:space="0" w:color="auto"/>
        <w:left w:val="none" w:sz="0" w:space="0" w:color="auto"/>
        <w:bottom w:val="none" w:sz="0" w:space="0" w:color="auto"/>
        <w:right w:val="none" w:sz="0" w:space="0" w:color="auto"/>
      </w:divBdr>
    </w:div>
    <w:div w:id="1208955403">
      <w:bodyDiv w:val="1"/>
      <w:marLeft w:val="0"/>
      <w:marRight w:val="0"/>
      <w:marTop w:val="0"/>
      <w:marBottom w:val="0"/>
      <w:divBdr>
        <w:top w:val="none" w:sz="0" w:space="0" w:color="auto"/>
        <w:left w:val="none" w:sz="0" w:space="0" w:color="auto"/>
        <w:bottom w:val="none" w:sz="0" w:space="0" w:color="auto"/>
        <w:right w:val="none" w:sz="0" w:space="0" w:color="auto"/>
      </w:divBdr>
    </w:div>
    <w:div w:id="123053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3</Pages>
  <Words>456</Words>
  <Characters>2601</Characters>
  <Application>Microsoft Office Word</Application>
  <DocSecurity>0</DocSecurity>
  <Lines>21</Lines>
  <Paragraphs>6</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Module:</vt:lpstr>
      <vt:lpstr>Islamic Law in the Contemporary World (TRDL 7064)</vt:lpstr>
      <vt:lpstr/>
      <vt:lpstr>Assignment Two (Encyclopaedia) - Entry Three:</vt:lpstr>
      <vt:lpstr/>
      <vt:lpstr>Proofs of Shari’ah “Al-Adillah Ash-Shar’iyyah”.</vt:lpstr>
      <vt:lpstr/>
      <vt:lpstr/>
      <vt:lpstr>Tutor:</vt:lpstr>
      <vt:lpstr>Prof Gary Bunt</vt:lpstr>
      <vt:lpstr/>
      <vt:lpstr/>
      <vt:lpstr/>
      <vt:lpstr/>
      <vt:lpstr/>
      <vt:lpstr/>
      <vt:lpstr>Submitted by:</vt:lpstr>
      <vt:lpstr>Mohammed Adebayo (1603804)</vt:lpstr>
      <vt:lpstr>University of Wales Trinity Saint David </vt:lpstr>
      <vt:lpstr>Lampeter Campus</vt:lpstr>
      <vt:lpstr>May 2019</vt:lpstr>
      <vt:lpstr>    “O you who have believed, obey Allah and obey the Messenger and those in authori</vt:lpstr>
      <vt:lpstr>    The word ‘Obey God’ in the verse refers to abiding with the rules of the Qur’an,</vt:lpstr>
    </vt:vector>
  </TitlesOfParts>
  <Company/>
  <LinksUpToDate>false</LinksUpToDate>
  <CharactersWithSpaces>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2019-05-07T15:14:00Z</dcterms:created>
  <dcterms:modified xsi:type="dcterms:W3CDTF">2019-05-24T10:09:00Z</dcterms:modified>
</cp:coreProperties>
</file>