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51273" w14:textId="77777777" w:rsidR="003770E1" w:rsidRPr="00067BD9" w:rsidRDefault="003770E1" w:rsidP="00067BD9">
      <w:pPr>
        <w:spacing w:line="360" w:lineRule="auto"/>
        <w:jc w:val="center"/>
        <w:rPr>
          <w:rFonts w:cs="Arial"/>
          <w:b/>
          <w:sz w:val="32"/>
          <w:lang w:eastAsia="en-GB"/>
        </w:rPr>
      </w:pPr>
    </w:p>
    <w:p w14:paraId="1251A610" w14:textId="77777777" w:rsidR="003770E1" w:rsidRPr="00067BD9" w:rsidRDefault="003770E1" w:rsidP="00067BD9">
      <w:pPr>
        <w:spacing w:line="360" w:lineRule="auto"/>
        <w:jc w:val="center"/>
        <w:rPr>
          <w:rFonts w:cs="Arial"/>
          <w:b/>
          <w:sz w:val="32"/>
          <w:lang w:eastAsia="en-GB"/>
        </w:rPr>
      </w:pPr>
    </w:p>
    <w:p w14:paraId="615C76F2" w14:textId="77777777" w:rsidR="003770E1" w:rsidRPr="00067BD9" w:rsidRDefault="003770E1" w:rsidP="00067BD9">
      <w:pPr>
        <w:spacing w:line="360" w:lineRule="auto"/>
        <w:jc w:val="center"/>
        <w:rPr>
          <w:rFonts w:cs="Arial"/>
          <w:b/>
          <w:sz w:val="32"/>
          <w:lang w:eastAsia="en-GB"/>
        </w:rPr>
      </w:pPr>
    </w:p>
    <w:p w14:paraId="334C1887" w14:textId="77777777" w:rsidR="003770E1" w:rsidRPr="00067BD9" w:rsidRDefault="003770E1" w:rsidP="00067BD9">
      <w:pPr>
        <w:spacing w:line="360" w:lineRule="auto"/>
        <w:jc w:val="center"/>
        <w:rPr>
          <w:rFonts w:cs="Arial"/>
          <w:b/>
          <w:sz w:val="32"/>
          <w:lang w:eastAsia="en-GB"/>
        </w:rPr>
      </w:pPr>
    </w:p>
    <w:p w14:paraId="0955BB21" w14:textId="77777777" w:rsidR="003770E1" w:rsidRPr="00067BD9" w:rsidRDefault="003770E1" w:rsidP="00067BD9">
      <w:pPr>
        <w:spacing w:line="360" w:lineRule="auto"/>
        <w:jc w:val="center"/>
        <w:rPr>
          <w:rFonts w:cs="Arial"/>
          <w:b/>
          <w:sz w:val="32"/>
          <w:lang w:eastAsia="en-GB"/>
        </w:rPr>
      </w:pPr>
    </w:p>
    <w:p w14:paraId="38F88A6D" w14:textId="166DB629" w:rsidR="003770E1" w:rsidRPr="00067BD9" w:rsidRDefault="008363FD" w:rsidP="00067BD9">
      <w:pPr>
        <w:spacing w:line="360" w:lineRule="auto"/>
        <w:jc w:val="center"/>
        <w:rPr>
          <w:rFonts w:cs="Arial"/>
          <w:b/>
          <w:sz w:val="32"/>
          <w:lang w:eastAsia="en-GB"/>
        </w:rPr>
      </w:pPr>
      <w:r>
        <w:rPr>
          <w:rFonts w:cs="Arial"/>
          <w:b/>
          <w:sz w:val="32"/>
          <w:lang w:eastAsia="en-GB"/>
        </w:rPr>
        <w:t>Module code</w:t>
      </w:r>
      <w:r w:rsidR="00DD44BC">
        <w:rPr>
          <w:rFonts w:cs="Arial"/>
          <w:b/>
          <w:sz w:val="32"/>
          <w:lang w:eastAsia="en-GB"/>
        </w:rPr>
        <w:t>:</w:t>
      </w:r>
      <w:r w:rsidR="00B20BA7">
        <w:rPr>
          <w:rFonts w:cs="Arial"/>
          <w:b/>
          <w:sz w:val="32"/>
          <w:lang w:eastAsia="en-GB"/>
        </w:rPr>
        <w:t>LCBB</w:t>
      </w:r>
      <w:r w:rsidR="005B6B10">
        <w:rPr>
          <w:rFonts w:cs="Arial"/>
          <w:b/>
          <w:sz w:val="32"/>
          <w:lang w:eastAsia="en-GB"/>
        </w:rPr>
        <w:t>5012</w:t>
      </w:r>
    </w:p>
    <w:p w14:paraId="31E33C3C" w14:textId="77777777" w:rsidR="003770E1" w:rsidRPr="00067BD9" w:rsidRDefault="003770E1" w:rsidP="00067BD9">
      <w:pPr>
        <w:spacing w:line="360" w:lineRule="auto"/>
        <w:jc w:val="center"/>
        <w:rPr>
          <w:rFonts w:cs="Arial"/>
          <w:b/>
          <w:sz w:val="32"/>
          <w:lang w:eastAsia="en-GB"/>
        </w:rPr>
      </w:pPr>
      <w:r w:rsidRPr="00067BD9">
        <w:rPr>
          <w:rFonts w:cs="Arial"/>
          <w:b/>
          <w:sz w:val="32"/>
          <w:lang w:eastAsia="en-GB"/>
        </w:rPr>
        <w:t>The Influence of Environmental Factors on Human Resource Management Effectiveness at Unilever</w:t>
      </w:r>
    </w:p>
    <w:p w14:paraId="758A8BF5" w14:textId="6FBE34C6" w:rsidR="003770E1" w:rsidRPr="00067BD9" w:rsidRDefault="003770E1" w:rsidP="00067BD9">
      <w:pPr>
        <w:spacing w:line="360" w:lineRule="auto"/>
        <w:jc w:val="center"/>
        <w:rPr>
          <w:rFonts w:cs="Arial"/>
          <w:b/>
          <w:sz w:val="28"/>
          <w:lang w:eastAsia="en-GB"/>
        </w:rPr>
      </w:pPr>
      <w:r w:rsidRPr="00067BD9">
        <w:rPr>
          <w:rFonts w:cs="Arial"/>
          <w:b/>
          <w:sz w:val="28"/>
          <w:lang w:eastAsia="en-GB"/>
        </w:rPr>
        <w:t>[Student ID]</w:t>
      </w:r>
      <w:r w:rsidR="004B384C">
        <w:rPr>
          <w:rFonts w:cs="Arial"/>
          <w:b/>
          <w:sz w:val="28"/>
          <w:lang w:eastAsia="en-GB"/>
        </w:rPr>
        <w:t>Eugen Roca 2311590</w:t>
      </w:r>
    </w:p>
    <w:p w14:paraId="5F281EC1" w14:textId="77777777" w:rsidR="003770E1" w:rsidRPr="00067BD9" w:rsidRDefault="003770E1" w:rsidP="00067BD9">
      <w:pPr>
        <w:spacing w:line="360" w:lineRule="auto"/>
        <w:rPr>
          <w:rFonts w:eastAsia="Times New Roman" w:cs="Arial"/>
          <w:b/>
          <w:sz w:val="28"/>
          <w:szCs w:val="32"/>
          <w:lang w:eastAsia="en-GB"/>
        </w:rPr>
      </w:pPr>
      <w:r w:rsidRPr="00067BD9">
        <w:rPr>
          <w:rFonts w:eastAsia="Times New Roman" w:cs="Arial"/>
          <w:lang w:eastAsia="en-GB"/>
        </w:rPr>
        <w:br w:type="page"/>
      </w:r>
    </w:p>
    <w:sdt>
      <w:sdtPr>
        <w:rPr>
          <w:rFonts w:ascii="Arial" w:eastAsiaTheme="minorHAnsi" w:hAnsi="Arial" w:cs="Arial"/>
          <w:b/>
          <w:color w:val="auto"/>
          <w:sz w:val="24"/>
          <w:szCs w:val="22"/>
          <w:lang w:val="en-GB"/>
        </w:rPr>
        <w:id w:val="-1044359070"/>
        <w:docPartObj>
          <w:docPartGallery w:val="Table of Contents"/>
          <w:docPartUnique/>
        </w:docPartObj>
      </w:sdtPr>
      <w:sdtEndPr>
        <w:rPr>
          <w:bCs/>
          <w:noProof/>
        </w:rPr>
      </w:sdtEndPr>
      <w:sdtContent>
        <w:p w14:paraId="2130A968" w14:textId="77777777" w:rsidR="00980BD8" w:rsidRPr="00067BD9" w:rsidRDefault="00980BD8" w:rsidP="00067BD9">
          <w:pPr>
            <w:pStyle w:val="TOCHeading"/>
            <w:spacing w:line="360" w:lineRule="auto"/>
            <w:jc w:val="center"/>
            <w:rPr>
              <w:rFonts w:ascii="Arial" w:hAnsi="Arial" w:cs="Arial"/>
              <w:b/>
              <w:color w:val="auto"/>
            </w:rPr>
          </w:pPr>
          <w:r w:rsidRPr="00067BD9">
            <w:rPr>
              <w:rFonts w:ascii="Arial" w:hAnsi="Arial" w:cs="Arial"/>
              <w:b/>
              <w:color w:val="auto"/>
            </w:rPr>
            <w:t>Table of Contents</w:t>
          </w:r>
        </w:p>
        <w:p w14:paraId="62DFC5B5" w14:textId="77777777" w:rsidR="00980BD8" w:rsidRPr="00067BD9" w:rsidRDefault="00980BD8" w:rsidP="00067BD9">
          <w:pPr>
            <w:pStyle w:val="TOC1"/>
            <w:tabs>
              <w:tab w:val="right" w:leader="dot" w:pos="9016"/>
            </w:tabs>
            <w:spacing w:line="360" w:lineRule="auto"/>
            <w:jc w:val="both"/>
            <w:rPr>
              <w:rFonts w:cs="Arial"/>
              <w:noProof/>
            </w:rPr>
          </w:pPr>
          <w:r w:rsidRPr="00067BD9">
            <w:rPr>
              <w:rFonts w:cs="Arial"/>
            </w:rPr>
            <w:fldChar w:fldCharType="begin"/>
          </w:r>
          <w:r w:rsidRPr="00067BD9">
            <w:rPr>
              <w:rFonts w:cs="Arial"/>
            </w:rPr>
            <w:instrText xml:space="preserve"> TOC \o "1-3" \h \z \u </w:instrText>
          </w:r>
          <w:r w:rsidRPr="00067BD9">
            <w:rPr>
              <w:rFonts w:cs="Arial"/>
            </w:rPr>
            <w:fldChar w:fldCharType="separate"/>
          </w:r>
          <w:hyperlink w:anchor="_Toc234679048" w:history="1">
            <w:r w:rsidRPr="00067BD9">
              <w:rPr>
                <w:rStyle w:val="Hyperlink"/>
                <w:rFonts w:eastAsia="Times New Roman" w:cs="Arial"/>
                <w:noProof/>
                <w:color w:val="auto"/>
                <w:lang w:eastAsia="en-GB"/>
              </w:rPr>
              <w:t>1. Introduction</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_Toc234679048 \h </w:instrText>
            </w:r>
            <w:r w:rsidRPr="00067BD9">
              <w:rPr>
                <w:rFonts w:cs="Arial"/>
                <w:noProof/>
                <w:webHidden/>
              </w:rPr>
            </w:r>
            <w:r w:rsidRPr="00067BD9">
              <w:rPr>
                <w:rFonts w:cs="Arial"/>
                <w:noProof/>
                <w:webHidden/>
              </w:rPr>
              <w:fldChar w:fldCharType="separate"/>
            </w:r>
            <w:r w:rsidRPr="00067BD9">
              <w:rPr>
                <w:rFonts w:cs="Arial"/>
                <w:noProof/>
                <w:webHidden/>
              </w:rPr>
              <w:t>3</w:t>
            </w:r>
            <w:r w:rsidRPr="00067BD9">
              <w:rPr>
                <w:rFonts w:cs="Arial"/>
                <w:noProof/>
                <w:webHidden/>
              </w:rPr>
              <w:fldChar w:fldCharType="end"/>
            </w:r>
          </w:hyperlink>
        </w:p>
        <w:p w14:paraId="3DB0A32B" w14:textId="77777777" w:rsidR="00980BD8" w:rsidRPr="00067BD9" w:rsidRDefault="00980BD8" w:rsidP="00067BD9">
          <w:pPr>
            <w:pStyle w:val="TOC1"/>
            <w:tabs>
              <w:tab w:val="right" w:leader="dot" w:pos="9016"/>
            </w:tabs>
            <w:spacing w:line="360" w:lineRule="auto"/>
            <w:jc w:val="both"/>
            <w:rPr>
              <w:rFonts w:cs="Arial"/>
              <w:noProof/>
            </w:rPr>
          </w:pPr>
          <w:hyperlink w:anchor="_Toc234679049" w:history="1">
            <w:r w:rsidRPr="00067BD9">
              <w:rPr>
                <w:rStyle w:val="Hyperlink"/>
                <w:rFonts w:eastAsia="Times New Roman" w:cs="Arial"/>
                <w:noProof/>
                <w:color w:val="auto"/>
                <w:lang w:eastAsia="en-GB"/>
              </w:rPr>
              <w:t>2. Internal and External Business Environment</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_Toc234679049 \h </w:instrText>
            </w:r>
            <w:r w:rsidRPr="00067BD9">
              <w:rPr>
                <w:rFonts w:cs="Arial"/>
                <w:noProof/>
                <w:webHidden/>
              </w:rPr>
            </w:r>
            <w:r w:rsidRPr="00067BD9">
              <w:rPr>
                <w:rFonts w:cs="Arial"/>
                <w:noProof/>
                <w:webHidden/>
              </w:rPr>
              <w:fldChar w:fldCharType="separate"/>
            </w:r>
            <w:r w:rsidRPr="00067BD9">
              <w:rPr>
                <w:rFonts w:cs="Arial"/>
                <w:noProof/>
                <w:webHidden/>
              </w:rPr>
              <w:t>3</w:t>
            </w:r>
            <w:r w:rsidRPr="00067BD9">
              <w:rPr>
                <w:rFonts w:cs="Arial"/>
                <w:noProof/>
                <w:webHidden/>
              </w:rPr>
              <w:fldChar w:fldCharType="end"/>
            </w:r>
          </w:hyperlink>
        </w:p>
        <w:p w14:paraId="3C709079" w14:textId="77777777" w:rsidR="00980BD8" w:rsidRPr="00067BD9" w:rsidRDefault="00980BD8" w:rsidP="00067BD9">
          <w:pPr>
            <w:pStyle w:val="TOC1"/>
            <w:tabs>
              <w:tab w:val="right" w:leader="dot" w:pos="9016"/>
            </w:tabs>
            <w:spacing w:line="360" w:lineRule="auto"/>
            <w:jc w:val="both"/>
            <w:rPr>
              <w:rFonts w:cs="Arial"/>
              <w:noProof/>
            </w:rPr>
          </w:pPr>
          <w:hyperlink w:anchor="_Toc234679050" w:history="1">
            <w:r w:rsidRPr="00067BD9">
              <w:rPr>
                <w:rStyle w:val="Hyperlink"/>
                <w:rFonts w:eastAsia="Times New Roman" w:cs="Arial"/>
                <w:noProof/>
                <w:color w:val="auto"/>
                <w:lang w:eastAsia="en-GB"/>
              </w:rPr>
              <w:t>3. Organisation Application: Unilever</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_Toc234679050 \h </w:instrText>
            </w:r>
            <w:r w:rsidRPr="00067BD9">
              <w:rPr>
                <w:rFonts w:cs="Arial"/>
                <w:noProof/>
                <w:webHidden/>
              </w:rPr>
            </w:r>
            <w:r w:rsidRPr="00067BD9">
              <w:rPr>
                <w:rFonts w:cs="Arial"/>
                <w:noProof/>
                <w:webHidden/>
              </w:rPr>
              <w:fldChar w:fldCharType="separate"/>
            </w:r>
            <w:r w:rsidRPr="00067BD9">
              <w:rPr>
                <w:rFonts w:cs="Arial"/>
                <w:noProof/>
                <w:webHidden/>
              </w:rPr>
              <w:t>4</w:t>
            </w:r>
            <w:r w:rsidRPr="00067BD9">
              <w:rPr>
                <w:rFonts w:cs="Arial"/>
                <w:noProof/>
                <w:webHidden/>
              </w:rPr>
              <w:fldChar w:fldCharType="end"/>
            </w:r>
          </w:hyperlink>
        </w:p>
        <w:p w14:paraId="4563425B" w14:textId="77777777" w:rsidR="00980BD8" w:rsidRPr="00067BD9" w:rsidRDefault="00980BD8" w:rsidP="00067BD9">
          <w:pPr>
            <w:pStyle w:val="TOC1"/>
            <w:tabs>
              <w:tab w:val="right" w:leader="dot" w:pos="9016"/>
            </w:tabs>
            <w:spacing w:line="360" w:lineRule="auto"/>
            <w:jc w:val="both"/>
            <w:rPr>
              <w:rFonts w:cs="Arial"/>
              <w:noProof/>
            </w:rPr>
          </w:pPr>
          <w:hyperlink w:anchor="_Toc234679051" w:history="1">
            <w:r w:rsidRPr="00067BD9">
              <w:rPr>
                <w:rStyle w:val="Hyperlink"/>
                <w:rFonts w:eastAsia="Times New Roman" w:cs="Arial"/>
                <w:noProof/>
                <w:color w:val="auto"/>
                <w:lang w:eastAsia="en-GB"/>
              </w:rPr>
              <w:t>4. Application of PESTEL and SWOT to Unilever</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_Toc234679051 \h </w:instrText>
            </w:r>
            <w:r w:rsidRPr="00067BD9">
              <w:rPr>
                <w:rFonts w:cs="Arial"/>
                <w:noProof/>
                <w:webHidden/>
              </w:rPr>
            </w:r>
            <w:r w:rsidRPr="00067BD9">
              <w:rPr>
                <w:rFonts w:cs="Arial"/>
                <w:noProof/>
                <w:webHidden/>
              </w:rPr>
              <w:fldChar w:fldCharType="separate"/>
            </w:r>
            <w:r w:rsidRPr="00067BD9">
              <w:rPr>
                <w:rFonts w:cs="Arial"/>
                <w:noProof/>
                <w:webHidden/>
              </w:rPr>
              <w:t>5</w:t>
            </w:r>
            <w:r w:rsidRPr="00067BD9">
              <w:rPr>
                <w:rFonts w:cs="Arial"/>
                <w:noProof/>
                <w:webHidden/>
              </w:rPr>
              <w:fldChar w:fldCharType="end"/>
            </w:r>
          </w:hyperlink>
        </w:p>
        <w:p w14:paraId="0BF57314" w14:textId="77777777" w:rsidR="00980BD8" w:rsidRPr="00067BD9" w:rsidRDefault="00980BD8" w:rsidP="00067BD9">
          <w:pPr>
            <w:pStyle w:val="TOC2"/>
            <w:tabs>
              <w:tab w:val="right" w:leader="dot" w:pos="9016"/>
            </w:tabs>
            <w:spacing w:line="360" w:lineRule="auto"/>
            <w:jc w:val="both"/>
            <w:rPr>
              <w:rFonts w:cs="Arial"/>
              <w:noProof/>
            </w:rPr>
          </w:pPr>
          <w:hyperlink w:anchor="_Toc234679052" w:history="1">
            <w:r w:rsidRPr="00067BD9">
              <w:rPr>
                <w:rStyle w:val="Hyperlink"/>
                <w:rFonts w:eastAsia="Times New Roman" w:cs="Arial"/>
                <w:noProof/>
                <w:color w:val="auto"/>
                <w:lang w:eastAsia="en-GB"/>
              </w:rPr>
              <w:t>4.1 Political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_Toc234679052 \h </w:instrText>
            </w:r>
            <w:r w:rsidRPr="00067BD9">
              <w:rPr>
                <w:rFonts w:cs="Arial"/>
                <w:noProof/>
                <w:webHidden/>
              </w:rPr>
            </w:r>
            <w:r w:rsidRPr="00067BD9">
              <w:rPr>
                <w:rFonts w:cs="Arial"/>
                <w:noProof/>
                <w:webHidden/>
              </w:rPr>
              <w:fldChar w:fldCharType="separate"/>
            </w:r>
            <w:r w:rsidRPr="00067BD9">
              <w:rPr>
                <w:rFonts w:cs="Arial"/>
                <w:noProof/>
                <w:webHidden/>
              </w:rPr>
              <w:t>5</w:t>
            </w:r>
            <w:r w:rsidRPr="00067BD9">
              <w:rPr>
                <w:rFonts w:cs="Arial"/>
                <w:noProof/>
                <w:webHidden/>
              </w:rPr>
              <w:fldChar w:fldCharType="end"/>
            </w:r>
          </w:hyperlink>
        </w:p>
        <w:p w14:paraId="624C8DD2" w14:textId="77777777" w:rsidR="00980BD8" w:rsidRPr="00067BD9" w:rsidRDefault="00980BD8" w:rsidP="00067BD9">
          <w:pPr>
            <w:pStyle w:val="TOC2"/>
            <w:tabs>
              <w:tab w:val="right" w:leader="dot" w:pos="9016"/>
            </w:tabs>
            <w:spacing w:line="360" w:lineRule="auto"/>
            <w:jc w:val="both"/>
            <w:rPr>
              <w:rFonts w:cs="Arial"/>
              <w:noProof/>
            </w:rPr>
          </w:pPr>
          <w:hyperlink w:anchor="_Toc234679053" w:history="1">
            <w:r w:rsidRPr="00067BD9">
              <w:rPr>
                <w:rStyle w:val="Hyperlink"/>
                <w:rFonts w:eastAsia="Times New Roman" w:cs="Arial"/>
                <w:noProof/>
                <w:color w:val="auto"/>
                <w:lang w:eastAsia="en-GB"/>
              </w:rPr>
              <w:t>4.2 Economic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_Toc234679053 \h </w:instrText>
            </w:r>
            <w:r w:rsidRPr="00067BD9">
              <w:rPr>
                <w:rFonts w:cs="Arial"/>
                <w:noProof/>
                <w:webHidden/>
              </w:rPr>
            </w:r>
            <w:r w:rsidRPr="00067BD9">
              <w:rPr>
                <w:rFonts w:cs="Arial"/>
                <w:noProof/>
                <w:webHidden/>
              </w:rPr>
              <w:fldChar w:fldCharType="separate"/>
            </w:r>
            <w:r w:rsidRPr="00067BD9">
              <w:rPr>
                <w:rFonts w:cs="Arial"/>
                <w:noProof/>
                <w:webHidden/>
              </w:rPr>
              <w:t>6</w:t>
            </w:r>
            <w:r w:rsidRPr="00067BD9">
              <w:rPr>
                <w:rFonts w:cs="Arial"/>
                <w:noProof/>
                <w:webHidden/>
              </w:rPr>
              <w:fldChar w:fldCharType="end"/>
            </w:r>
          </w:hyperlink>
        </w:p>
        <w:p w14:paraId="2DE99D0A" w14:textId="77777777" w:rsidR="00980BD8" w:rsidRPr="00067BD9" w:rsidRDefault="00980BD8" w:rsidP="00067BD9">
          <w:pPr>
            <w:pStyle w:val="TOC2"/>
            <w:tabs>
              <w:tab w:val="right" w:leader="dot" w:pos="9016"/>
            </w:tabs>
            <w:spacing w:line="360" w:lineRule="auto"/>
            <w:jc w:val="both"/>
            <w:rPr>
              <w:rFonts w:cs="Arial"/>
              <w:noProof/>
            </w:rPr>
          </w:pPr>
          <w:hyperlink w:anchor="_Toc234679054" w:history="1">
            <w:r w:rsidRPr="00067BD9">
              <w:rPr>
                <w:rStyle w:val="Hyperlink"/>
                <w:rFonts w:eastAsia="Times New Roman" w:cs="Arial"/>
                <w:noProof/>
                <w:color w:val="auto"/>
                <w:lang w:eastAsia="en-GB"/>
              </w:rPr>
              <w:t>4.3 Social and Cultural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_Toc234679054 \h </w:instrText>
            </w:r>
            <w:r w:rsidRPr="00067BD9">
              <w:rPr>
                <w:rFonts w:cs="Arial"/>
                <w:noProof/>
                <w:webHidden/>
              </w:rPr>
            </w:r>
            <w:r w:rsidRPr="00067BD9">
              <w:rPr>
                <w:rFonts w:cs="Arial"/>
                <w:noProof/>
                <w:webHidden/>
              </w:rPr>
              <w:fldChar w:fldCharType="separate"/>
            </w:r>
            <w:r w:rsidRPr="00067BD9">
              <w:rPr>
                <w:rFonts w:cs="Arial"/>
                <w:noProof/>
                <w:webHidden/>
              </w:rPr>
              <w:t>6</w:t>
            </w:r>
            <w:r w:rsidRPr="00067BD9">
              <w:rPr>
                <w:rFonts w:cs="Arial"/>
                <w:noProof/>
                <w:webHidden/>
              </w:rPr>
              <w:fldChar w:fldCharType="end"/>
            </w:r>
          </w:hyperlink>
        </w:p>
        <w:p w14:paraId="763A43C0" w14:textId="77777777" w:rsidR="00980BD8" w:rsidRPr="00067BD9" w:rsidRDefault="00980BD8" w:rsidP="00067BD9">
          <w:pPr>
            <w:pStyle w:val="TOC2"/>
            <w:tabs>
              <w:tab w:val="right" w:leader="dot" w:pos="9016"/>
            </w:tabs>
            <w:spacing w:line="360" w:lineRule="auto"/>
            <w:jc w:val="both"/>
            <w:rPr>
              <w:rFonts w:cs="Arial"/>
              <w:noProof/>
            </w:rPr>
          </w:pPr>
          <w:hyperlink w:anchor="_Toc234679055" w:history="1">
            <w:r w:rsidRPr="00067BD9">
              <w:rPr>
                <w:rStyle w:val="Hyperlink"/>
                <w:rFonts w:eastAsia="Times New Roman" w:cs="Arial"/>
                <w:noProof/>
                <w:color w:val="auto"/>
                <w:lang w:eastAsia="en-GB"/>
              </w:rPr>
              <w:t>4.4 Technological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_Toc234679055 \h </w:instrText>
            </w:r>
            <w:r w:rsidRPr="00067BD9">
              <w:rPr>
                <w:rFonts w:cs="Arial"/>
                <w:noProof/>
                <w:webHidden/>
              </w:rPr>
            </w:r>
            <w:r w:rsidRPr="00067BD9">
              <w:rPr>
                <w:rFonts w:cs="Arial"/>
                <w:noProof/>
                <w:webHidden/>
              </w:rPr>
              <w:fldChar w:fldCharType="separate"/>
            </w:r>
            <w:r w:rsidRPr="00067BD9">
              <w:rPr>
                <w:rFonts w:cs="Arial"/>
                <w:noProof/>
                <w:webHidden/>
              </w:rPr>
              <w:t>6</w:t>
            </w:r>
            <w:r w:rsidRPr="00067BD9">
              <w:rPr>
                <w:rFonts w:cs="Arial"/>
                <w:noProof/>
                <w:webHidden/>
              </w:rPr>
              <w:fldChar w:fldCharType="end"/>
            </w:r>
          </w:hyperlink>
        </w:p>
        <w:p w14:paraId="344602A7" w14:textId="77777777" w:rsidR="00980BD8" w:rsidRPr="00067BD9" w:rsidRDefault="00980BD8" w:rsidP="00067BD9">
          <w:pPr>
            <w:pStyle w:val="TOC2"/>
            <w:tabs>
              <w:tab w:val="right" w:leader="dot" w:pos="9016"/>
            </w:tabs>
            <w:spacing w:line="360" w:lineRule="auto"/>
            <w:jc w:val="both"/>
            <w:rPr>
              <w:rFonts w:cs="Arial"/>
              <w:noProof/>
            </w:rPr>
          </w:pPr>
          <w:hyperlink w:anchor="_Toc234679056" w:history="1">
            <w:r w:rsidRPr="00067BD9">
              <w:rPr>
                <w:rStyle w:val="Hyperlink"/>
                <w:rFonts w:eastAsia="Times New Roman" w:cs="Arial"/>
                <w:noProof/>
                <w:color w:val="auto"/>
                <w:lang w:eastAsia="en-GB"/>
              </w:rPr>
              <w:t>4.5 Environmental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_Toc234679056 \h </w:instrText>
            </w:r>
            <w:r w:rsidRPr="00067BD9">
              <w:rPr>
                <w:rFonts w:cs="Arial"/>
                <w:noProof/>
                <w:webHidden/>
              </w:rPr>
            </w:r>
            <w:r w:rsidRPr="00067BD9">
              <w:rPr>
                <w:rFonts w:cs="Arial"/>
                <w:noProof/>
                <w:webHidden/>
              </w:rPr>
              <w:fldChar w:fldCharType="separate"/>
            </w:r>
            <w:r w:rsidRPr="00067BD9">
              <w:rPr>
                <w:rFonts w:cs="Arial"/>
                <w:noProof/>
                <w:webHidden/>
              </w:rPr>
              <w:t>7</w:t>
            </w:r>
            <w:r w:rsidRPr="00067BD9">
              <w:rPr>
                <w:rFonts w:cs="Arial"/>
                <w:noProof/>
                <w:webHidden/>
              </w:rPr>
              <w:fldChar w:fldCharType="end"/>
            </w:r>
          </w:hyperlink>
        </w:p>
        <w:p w14:paraId="7CE09BB4" w14:textId="77777777" w:rsidR="00980BD8" w:rsidRPr="00067BD9" w:rsidRDefault="00980BD8" w:rsidP="00067BD9">
          <w:pPr>
            <w:pStyle w:val="TOC2"/>
            <w:tabs>
              <w:tab w:val="right" w:leader="dot" w:pos="9016"/>
            </w:tabs>
            <w:spacing w:line="360" w:lineRule="auto"/>
            <w:jc w:val="both"/>
            <w:rPr>
              <w:rFonts w:cs="Arial"/>
              <w:noProof/>
            </w:rPr>
          </w:pPr>
          <w:hyperlink w:anchor="_Toc234679057" w:history="1">
            <w:r w:rsidRPr="00067BD9">
              <w:rPr>
                <w:rStyle w:val="Hyperlink"/>
                <w:rFonts w:eastAsia="Times New Roman" w:cs="Arial"/>
                <w:noProof/>
                <w:color w:val="auto"/>
                <w:lang w:eastAsia="en-GB"/>
              </w:rPr>
              <w:t>4.6 Legal Factors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_Toc234679057 \h </w:instrText>
            </w:r>
            <w:r w:rsidRPr="00067BD9">
              <w:rPr>
                <w:rFonts w:cs="Arial"/>
                <w:noProof/>
                <w:webHidden/>
              </w:rPr>
            </w:r>
            <w:r w:rsidRPr="00067BD9">
              <w:rPr>
                <w:rFonts w:cs="Arial"/>
                <w:noProof/>
                <w:webHidden/>
              </w:rPr>
              <w:fldChar w:fldCharType="separate"/>
            </w:r>
            <w:r w:rsidRPr="00067BD9">
              <w:rPr>
                <w:rFonts w:cs="Arial"/>
                <w:noProof/>
                <w:webHidden/>
              </w:rPr>
              <w:t>7</w:t>
            </w:r>
            <w:r w:rsidRPr="00067BD9">
              <w:rPr>
                <w:rFonts w:cs="Arial"/>
                <w:noProof/>
                <w:webHidden/>
              </w:rPr>
              <w:fldChar w:fldCharType="end"/>
            </w:r>
          </w:hyperlink>
        </w:p>
        <w:p w14:paraId="4FC23CD4" w14:textId="77777777" w:rsidR="00980BD8" w:rsidRPr="00067BD9" w:rsidRDefault="00980BD8" w:rsidP="00067BD9">
          <w:pPr>
            <w:pStyle w:val="TOC2"/>
            <w:tabs>
              <w:tab w:val="right" w:leader="dot" w:pos="9016"/>
            </w:tabs>
            <w:spacing w:line="360" w:lineRule="auto"/>
            <w:jc w:val="both"/>
            <w:rPr>
              <w:rFonts w:cs="Arial"/>
              <w:noProof/>
            </w:rPr>
          </w:pPr>
          <w:hyperlink w:anchor="_Toc234679058" w:history="1">
            <w:r w:rsidRPr="00067BD9">
              <w:rPr>
                <w:rStyle w:val="Hyperlink"/>
                <w:rFonts w:eastAsia="Times New Roman" w:cs="Arial"/>
                <w:noProof/>
                <w:color w:val="auto"/>
                <w:lang w:eastAsia="en-GB"/>
              </w:rPr>
              <w:t>4.7 Supporting SWOT Analysis</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_Toc234679058 \h </w:instrText>
            </w:r>
            <w:r w:rsidRPr="00067BD9">
              <w:rPr>
                <w:rFonts w:cs="Arial"/>
                <w:noProof/>
                <w:webHidden/>
              </w:rPr>
            </w:r>
            <w:r w:rsidRPr="00067BD9">
              <w:rPr>
                <w:rFonts w:cs="Arial"/>
                <w:noProof/>
                <w:webHidden/>
              </w:rPr>
              <w:fldChar w:fldCharType="separate"/>
            </w:r>
            <w:r w:rsidRPr="00067BD9">
              <w:rPr>
                <w:rFonts w:cs="Arial"/>
                <w:noProof/>
                <w:webHidden/>
              </w:rPr>
              <w:t>8</w:t>
            </w:r>
            <w:r w:rsidRPr="00067BD9">
              <w:rPr>
                <w:rFonts w:cs="Arial"/>
                <w:noProof/>
                <w:webHidden/>
              </w:rPr>
              <w:fldChar w:fldCharType="end"/>
            </w:r>
          </w:hyperlink>
        </w:p>
        <w:p w14:paraId="69A47531" w14:textId="77777777" w:rsidR="00980BD8" w:rsidRPr="00067BD9" w:rsidRDefault="00980BD8" w:rsidP="00067BD9">
          <w:pPr>
            <w:pStyle w:val="TOC1"/>
            <w:tabs>
              <w:tab w:val="right" w:leader="dot" w:pos="9016"/>
            </w:tabs>
            <w:spacing w:line="360" w:lineRule="auto"/>
            <w:jc w:val="both"/>
            <w:rPr>
              <w:rFonts w:cs="Arial"/>
              <w:noProof/>
            </w:rPr>
          </w:pPr>
          <w:hyperlink w:anchor="_Toc234679059" w:history="1">
            <w:r w:rsidRPr="00067BD9">
              <w:rPr>
                <w:rStyle w:val="Hyperlink"/>
                <w:rFonts w:eastAsia="Times New Roman" w:cs="Arial"/>
                <w:noProof/>
                <w:color w:val="auto"/>
                <w:lang w:eastAsia="en-GB"/>
              </w:rPr>
              <w:t>5. Conclusion</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_Toc234679059 \h </w:instrText>
            </w:r>
            <w:r w:rsidRPr="00067BD9">
              <w:rPr>
                <w:rFonts w:cs="Arial"/>
                <w:noProof/>
                <w:webHidden/>
              </w:rPr>
            </w:r>
            <w:r w:rsidRPr="00067BD9">
              <w:rPr>
                <w:rFonts w:cs="Arial"/>
                <w:noProof/>
                <w:webHidden/>
              </w:rPr>
              <w:fldChar w:fldCharType="separate"/>
            </w:r>
            <w:r w:rsidRPr="00067BD9">
              <w:rPr>
                <w:rFonts w:cs="Arial"/>
                <w:noProof/>
                <w:webHidden/>
              </w:rPr>
              <w:t>8</w:t>
            </w:r>
            <w:r w:rsidRPr="00067BD9">
              <w:rPr>
                <w:rFonts w:cs="Arial"/>
                <w:noProof/>
                <w:webHidden/>
              </w:rPr>
              <w:fldChar w:fldCharType="end"/>
            </w:r>
          </w:hyperlink>
        </w:p>
        <w:p w14:paraId="6530D362" w14:textId="77777777" w:rsidR="00980BD8" w:rsidRPr="00067BD9" w:rsidRDefault="00980BD8" w:rsidP="00067BD9">
          <w:pPr>
            <w:pStyle w:val="TOC1"/>
            <w:tabs>
              <w:tab w:val="right" w:leader="dot" w:pos="9016"/>
            </w:tabs>
            <w:spacing w:line="360" w:lineRule="auto"/>
            <w:jc w:val="both"/>
            <w:rPr>
              <w:rFonts w:cs="Arial"/>
              <w:noProof/>
            </w:rPr>
          </w:pPr>
          <w:hyperlink w:anchor="_Toc234679060" w:history="1">
            <w:r w:rsidRPr="00067BD9">
              <w:rPr>
                <w:rStyle w:val="Hyperlink"/>
                <w:rFonts w:eastAsia="Times New Roman" w:cs="Arial"/>
                <w:noProof/>
                <w:color w:val="auto"/>
                <w:lang w:eastAsia="en-GB"/>
              </w:rPr>
              <w:t>6. Reference List</w:t>
            </w:r>
            <w:r w:rsidRPr="00067BD9">
              <w:rPr>
                <w:rFonts w:cs="Arial"/>
                <w:noProof/>
                <w:webHidden/>
              </w:rPr>
              <w:tab/>
            </w:r>
            <w:r w:rsidRPr="00067BD9">
              <w:rPr>
                <w:rFonts w:cs="Arial"/>
                <w:noProof/>
                <w:webHidden/>
              </w:rPr>
              <w:fldChar w:fldCharType="begin"/>
            </w:r>
            <w:r w:rsidRPr="00067BD9">
              <w:rPr>
                <w:rFonts w:cs="Arial"/>
                <w:noProof/>
                <w:webHidden/>
              </w:rPr>
              <w:instrText xml:space="preserve"> PAGEREF _Toc234679060 \h </w:instrText>
            </w:r>
            <w:r w:rsidRPr="00067BD9">
              <w:rPr>
                <w:rFonts w:cs="Arial"/>
                <w:noProof/>
                <w:webHidden/>
              </w:rPr>
            </w:r>
            <w:r w:rsidRPr="00067BD9">
              <w:rPr>
                <w:rFonts w:cs="Arial"/>
                <w:noProof/>
                <w:webHidden/>
              </w:rPr>
              <w:fldChar w:fldCharType="separate"/>
            </w:r>
            <w:r w:rsidRPr="00067BD9">
              <w:rPr>
                <w:rFonts w:cs="Arial"/>
                <w:noProof/>
                <w:webHidden/>
              </w:rPr>
              <w:t>10</w:t>
            </w:r>
            <w:r w:rsidRPr="00067BD9">
              <w:rPr>
                <w:rFonts w:cs="Arial"/>
                <w:noProof/>
                <w:webHidden/>
              </w:rPr>
              <w:fldChar w:fldCharType="end"/>
            </w:r>
          </w:hyperlink>
        </w:p>
        <w:p w14:paraId="1D2A36BD" w14:textId="77777777" w:rsidR="00980BD8" w:rsidRPr="00067BD9" w:rsidRDefault="00980BD8" w:rsidP="00067BD9">
          <w:pPr>
            <w:spacing w:line="360" w:lineRule="auto"/>
            <w:jc w:val="both"/>
            <w:rPr>
              <w:rFonts w:cs="Arial"/>
            </w:rPr>
          </w:pPr>
          <w:r w:rsidRPr="00067BD9">
            <w:rPr>
              <w:rFonts w:cs="Arial"/>
              <w:b/>
              <w:bCs/>
              <w:noProof/>
            </w:rPr>
            <w:fldChar w:fldCharType="end"/>
          </w:r>
        </w:p>
      </w:sdtContent>
    </w:sdt>
    <w:p w14:paraId="7782A5DB" w14:textId="77777777" w:rsidR="00980BD8" w:rsidRPr="00067BD9" w:rsidRDefault="00980BD8" w:rsidP="00067BD9">
      <w:pPr>
        <w:spacing w:line="360" w:lineRule="auto"/>
        <w:jc w:val="both"/>
        <w:rPr>
          <w:rFonts w:eastAsia="Times New Roman" w:cs="Arial"/>
          <w:b/>
          <w:sz w:val="28"/>
          <w:szCs w:val="32"/>
          <w:lang w:eastAsia="en-GB"/>
        </w:rPr>
      </w:pPr>
      <w:r w:rsidRPr="00067BD9">
        <w:rPr>
          <w:rFonts w:eastAsia="Times New Roman" w:cs="Arial"/>
          <w:lang w:eastAsia="en-GB"/>
        </w:rPr>
        <w:br w:type="page"/>
      </w:r>
    </w:p>
    <w:p w14:paraId="6A21C169" w14:textId="77777777" w:rsidR="003770E1" w:rsidRPr="00067BD9" w:rsidRDefault="003770E1" w:rsidP="00067BD9">
      <w:pPr>
        <w:pStyle w:val="Heading1"/>
        <w:spacing w:line="360" w:lineRule="auto"/>
        <w:rPr>
          <w:rFonts w:eastAsia="Times New Roman" w:cs="Arial"/>
          <w:lang w:eastAsia="en-GB"/>
        </w:rPr>
      </w:pPr>
      <w:bookmarkStart w:id="0" w:name="_Toc234679048"/>
      <w:r w:rsidRPr="00067BD9">
        <w:rPr>
          <w:rFonts w:eastAsia="Times New Roman" w:cs="Arial"/>
          <w:lang w:eastAsia="en-GB"/>
        </w:rPr>
        <w:lastRenderedPageBreak/>
        <w:t>1. Introduction</w:t>
      </w:r>
      <w:bookmarkEnd w:id="0"/>
    </w:p>
    <w:p w14:paraId="2C05C6EB"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Human resource management (HRM) transforms </w:t>
      </w:r>
      <w:r w:rsidR="00067BD9" w:rsidRPr="00067BD9">
        <w:rPr>
          <w:rFonts w:eastAsia="Times New Roman" w:cs="Arial"/>
          <w:szCs w:val="24"/>
          <w:lang w:eastAsia="en-GB"/>
        </w:rPr>
        <w:t>organisational strategy</w:t>
      </w:r>
      <w:r w:rsidRPr="00067BD9">
        <w:rPr>
          <w:rFonts w:eastAsia="Times New Roman" w:cs="Arial"/>
          <w:szCs w:val="24"/>
          <w:lang w:eastAsia="en-GB"/>
        </w:rPr>
        <w:t xml:space="preserve"> to a workforce capability as it relates to recruitment, training and development, performance management and </w:t>
      </w:r>
      <w:r w:rsidR="00067BD9" w:rsidRPr="00067BD9">
        <w:rPr>
          <w:rFonts w:eastAsia="Times New Roman" w:cs="Arial"/>
          <w:szCs w:val="24"/>
          <w:lang w:eastAsia="en-GB"/>
        </w:rPr>
        <w:t>employee relations</w:t>
      </w:r>
      <w:r w:rsidRPr="00067BD9">
        <w:rPr>
          <w:rFonts w:eastAsia="Times New Roman" w:cs="Arial"/>
          <w:szCs w:val="24"/>
          <w:lang w:eastAsia="en-GB"/>
        </w:rPr>
        <w:t xml:space="preserve">. Recruitment is significant in influencing whether the organisation can gain scarce, culturally appropriate talent; development is key to sustaining future talent; performance management is essential to focus on behaviour in relation to priorities; while employee relations will have an impact on trust, voice and retention. Hence, Armstrong and Taylor (2023) say HR is as much an operational as it is a strategic function and </w:t>
      </w:r>
      <w:r w:rsidR="00067BD9" w:rsidRPr="00067BD9">
        <w:rPr>
          <w:rFonts w:eastAsia="Times New Roman" w:cs="Arial"/>
          <w:szCs w:val="24"/>
          <w:lang w:eastAsia="en-GB"/>
        </w:rPr>
        <w:t>Brewster et al. (2023</w:t>
      </w:r>
      <w:r w:rsidRPr="00067BD9">
        <w:rPr>
          <w:rFonts w:eastAsia="Times New Roman" w:cs="Arial"/>
          <w:szCs w:val="24"/>
          <w:lang w:eastAsia="en-GB"/>
        </w:rPr>
        <w:t xml:space="preserve">) argue that for multinationals, HR managers need to balance between corporate integration and national institutional differences. Therefore, the environmental analysis becomes vital – HR effectiveness is not purely dependent on HR managers but also on the </w:t>
      </w:r>
      <w:r w:rsidR="00067BD9" w:rsidRPr="00067BD9">
        <w:rPr>
          <w:rFonts w:eastAsia="Times New Roman" w:cs="Arial"/>
          <w:szCs w:val="24"/>
          <w:lang w:eastAsia="en-GB"/>
        </w:rPr>
        <w:t>labour markets</w:t>
      </w:r>
      <w:r w:rsidRPr="00067BD9">
        <w:rPr>
          <w:rFonts w:eastAsia="Times New Roman" w:cs="Arial"/>
          <w:szCs w:val="24"/>
          <w:lang w:eastAsia="en-GB"/>
        </w:rPr>
        <w:t xml:space="preserve">, regulation, technology and social expectation. </w:t>
      </w:r>
    </w:p>
    <w:p w14:paraId="74ACDCD1"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This report is based on PESTEL as the key external-environment sensitivity model; while SWOT analysis is employed to identify if internal capabilities are suitable to respond effectively. It suggests that Unilever will not be able to reach HR effectiveness with universal standardisation. Rather, recruitment, employee-relations and reward practices should be shaped to local approaches and made locally legitimate, and employees need to be developed accordingly. This aligns with the fact from Chung and Sparrow (2024) that </w:t>
      </w:r>
      <w:r w:rsidR="00415253" w:rsidRPr="00067BD9">
        <w:rPr>
          <w:rFonts w:eastAsia="Times New Roman" w:cs="Arial"/>
          <w:szCs w:val="24"/>
          <w:lang w:eastAsia="en-GB"/>
        </w:rPr>
        <w:t>MNEs are</w:t>
      </w:r>
      <w:r w:rsidRPr="00067BD9">
        <w:rPr>
          <w:rFonts w:eastAsia="Times New Roman" w:cs="Arial"/>
          <w:szCs w:val="24"/>
          <w:lang w:eastAsia="en-GB"/>
        </w:rPr>
        <w:t xml:space="preserve"> looking for integration and responsiveness in different configurations instead of a hybrid formula and Stavrou et al. (2023) who also highlight the competing institutional pressures that have to be dealt with by MNE subsidiaries.</w:t>
      </w:r>
    </w:p>
    <w:p w14:paraId="26A027A7" w14:textId="77777777" w:rsidR="003770E1" w:rsidRPr="00067BD9" w:rsidRDefault="003770E1" w:rsidP="00067BD9">
      <w:pPr>
        <w:pStyle w:val="Heading1"/>
        <w:spacing w:line="360" w:lineRule="auto"/>
        <w:rPr>
          <w:rFonts w:eastAsia="Times New Roman" w:cs="Arial"/>
          <w:lang w:eastAsia="en-GB"/>
        </w:rPr>
      </w:pPr>
      <w:bookmarkStart w:id="1" w:name="_Toc234679049"/>
      <w:r w:rsidRPr="00067BD9">
        <w:rPr>
          <w:rFonts w:eastAsia="Times New Roman" w:cs="Arial"/>
          <w:lang w:eastAsia="en-GB"/>
        </w:rPr>
        <w:t>2. Internal and External Business Environment</w:t>
      </w:r>
      <w:bookmarkEnd w:id="1"/>
    </w:p>
    <w:p w14:paraId="691DF088"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External environment is made up of political environment, economic environment, social environment, technological environment, environmental environment, legal environment while internal environment is made up of leadership, culture, structure, resources, workforce capabilities and HR systems. The benefit of PESTEL is that it breaks down the broad macro-environment into six categories, which can help with workforce planning. Political decisions have an impact on migration and industrial policy, economic conditions have an impact on the availability of wages and </w:t>
      </w:r>
      <w:r w:rsidRPr="00067BD9">
        <w:rPr>
          <w:rFonts w:eastAsia="Times New Roman" w:cs="Arial"/>
          <w:szCs w:val="24"/>
          <w:lang w:eastAsia="en-GB"/>
        </w:rPr>
        <w:lastRenderedPageBreak/>
        <w:t xml:space="preserve">talents, social trends have an impact on employees' expectations, technology has an impact on jobs and the delivery of HR, environmental pressures have an impact on the emerging needs for green-skills, and the law has an impact on minimum employment standards. It seems that environmental scanning is an essential process in strategic analysis as defined by Whittington et al. (2023) and that the institutional context influences the way HR practices are implemented abroad as </w:t>
      </w:r>
      <w:r w:rsidR="00067BD9" w:rsidRPr="00067BD9">
        <w:rPr>
          <w:rFonts w:eastAsia="Times New Roman" w:cs="Arial"/>
          <w:szCs w:val="24"/>
          <w:lang w:eastAsia="en-GB"/>
        </w:rPr>
        <w:t>Brewster et al. (2023</w:t>
      </w:r>
      <w:r w:rsidRPr="00067BD9">
        <w:rPr>
          <w:rFonts w:eastAsia="Times New Roman" w:cs="Arial"/>
          <w:szCs w:val="24"/>
          <w:lang w:eastAsia="en-GB"/>
        </w:rPr>
        <w:t xml:space="preserve">) shows. </w:t>
      </w:r>
    </w:p>
    <w:p w14:paraId="3CA17A75"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PESTEL should not however be regarded as a checklist to predict though. The categories overlap, as artificial intelligence is technological, but also raises legal issues related to data, social issues related to fairness, and economic pressures for productivity. The model can recognize an exposure even if the organisation does not know whether the problem is strategically important or if the organization has the means to react. Instead, Whittington et al. (2023) argue for the interpretation over mechanical categorisation and Armstrong and Taylor (2023) emphasise the need for context to be aligned with organisational capability. Acknowledging this weakness, SWOT also connects opportunities and threats to strengths and weaknesses, it still can be over-simplified when dealing with ambiguous evidence. </w:t>
      </w:r>
    </w:p>
    <w:p w14:paraId="19E3A74F" w14:textId="77777777" w:rsidR="003770E1" w:rsidRPr="00067BD9" w:rsidRDefault="00067BD9"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There i</w:t>
      </w:r>
      <w:r w:rsidR="003770E1" w:rsidRPr="00067BD9">
        <w:rPr>
          <w:rFonts w:eastAsia="Times New Roman" w:cs="Arial"/>
          <w:szCs w:val="24"/>
          <w:lang w:eastAsia="en-GB"/>
        </w:rPr>
        <w:t>s a direct linkage with HR functions. There are impacts on reward and retention, skill shortages drive changes in recruitment and development, regulation restricts selection, working time and dismissal, and wellbeing and flexibility of employment are affected by social expectations. Armstrong and Taylor (2023) talk of ‘horizontal’ alignment with HR practices, and Stavrou et al. (2023) demonstrate the existence of ‘institutional duality' at the level of MNC subsidiaries which exist between what corporations expect and what is common practice for the host country. Therefore, an HR policy may be considered coherent throughout the globe, but not locally if it does not take into consideration national labour institutions.</w:t>
      </w:r>
    </w:p>
    <w:p w14:paraId="4D963C25" w14:textId="77777777" w:rsidR="003770E1" w:rsidRPr="00067BD9" w:rsidRDefault="003770E1" w:rsidP="00067BD9">
      <w:pPr>
        <w:pStyle w:val="Heading1"/>
        <w:spacing w:line="360" w:lineRule="auto"/>
        <w:rPr>
          <w:rFonts w:eastAsia="Times New Roman" w:cs="Arial"/>
          <w:lang w:eastAsia="en-GB"/>
        </w:rPr>
      </w:pPr>
      <w:bookmarkStart w:id="2" w:name="_Toc234679050"/>
      <w:r w:rsidRPr="00067BD9">
        <w:rPr>
          <w:rFonts w:eastAsia="Times New Roman" w:cs="Arial"/>
          <w:lang w:eastAsia="en-GB"/>
        </w:rPr>
        <w:t>3. Organisation Application: Unilever</w:t>
      </w:r>
      <w:bookmarkEnd w:id="2"/>
    </w:p>
    <w:p w14:paraId="178E24FF"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Unilever has been chosen as a fitting case in that its businesses of consumer goods are spread across various markets, occupations and regulation. Its staff are people working in offices, in manufacturing, in commerce, in the technical or supply chains; HR effectiveness relies on global coordination and local implementation. The </w:t>
      </w:r>
      <w:r w:rsidRPr="00067BD9">
        <w:rPr>
          <w:rFonts w:eastAsia="Times New Roman" w:cs="Arial"/>
          <w:szCs w:val="24"/>
          <w:lang w:eastAsia="en-GB"/>
        </w:rPr>
        <w:lastRenderedPageBreak/>
        <w:t xml:space="preserve">organisation of the company in the 2025 reporting is reframed and simplified to better adapt to new forms of work, to become more agile, and to facilitate an ‘AI age’; with the United States (and India) singled out as strategic growth geographies (Unilever PLC, 2025). Chung and Sparrow (2024) argue that this type of strategic integration will only be successful if it is planned for and not just added on to the business end. </w:t>
      </w:r>
    </w:p>
    <w:p w14:paraId="432DFE0A"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The approach to performance, reported by Unilever, involves setting goals, review mid-year, coaching and feedback and providing increased differentiation in reward. While these mechanisms could have the potential of enhancing accountability, their effective functioning will require the quality of the management and the culture of acceptance. Ensuring global integration and local responsiveness in HR practices demands intentional and deliberate settings (Chung and Sparrow, 2024), and HR practices in Asian context are influenced by both relational and institutional contexts (Malik et al., 2022). So Unilever needs to create a consistent set of ethical principles, of expectations of its leaders and their capabilities, while tailoring them the recruitment channels, the way they communicate, the incentives they provide and the way they manage relations with their employees.</w:t>
      </w:r>
    </w:p>
    <w:p w14:paraId="56779056" w14:textId="77777777" w:rsidR="003770E1" w:rsidRPr="00067BD9" w:rsidRDefault="003770E1" w:rsidP="00067BD9">
      <w:pPr>
        <w:pStyle w:val="Heading1"/>
        <w:spacing w:line="360" w:lineRule="auto"/>
        <w:rPr>
          <w:rFonts w:eastAsia="Times New Roman" w:cs="Arial"/>
          <w:lang w:eastAsia="en-GB"/>
        </w:rPr>
      </w:pPr>
      <w:bookmarkStart w:id="3" w:name="_Toc234679051"/>
      <w:r w:rsidRPr="00067BD9">
        <w:rPr>
          <w:rFonts w:eastAsia="Times New Roman" w:cs="Arial"/>
          <w:lang w:eastAsia="en-GB"/>
        </w:rPr>
        <w:t>4. Application of PESTEL and SWOT to Unilever</w:t>
      </w:r>
      <w:bookmarkEnd w:id="3"/>
    </w:p>
    <w:p w14:paraId="43E910C1" w14:textId="77777777" w:rsidR="003770E1" w:rsidRPr="00067BD9" w:rsidRDefault="003770E1" w:rsidP="00067BD9">
      <w:pPr>
        <w:pStyle w:val="Heading2"/>
        <w:spacing w:line="360" w:lineRule="auto"/>
        <w:rPr>
          <w:rFonts w:eastAsia="Times New Roman" w:cs="Arial"/>
          <w:lang w:eastAsia="en-GB"/>
        </w:rPr>
      </w:pPr>
      <w:bookmarkStart w:id="4" w:name="_Toc234679052"/>
      <w:r w:rsidRPr="00067BD9">
        <w:rPr>
          <w:rFonts w:eastAsia="Times New Roman" w:cs="Arial"/>
          <w:lang w:eastAsia="en-GB"/>
        </w:rPr>
        <w:t>4.1 Political Factors</w:t>
      </w:r>
      <w:bookmarkEnd w:id="4"/>
    </w:p>
    <w:p w14:paraId="5F3489F6"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Labour mobility, trade exposure, industrial relations and security of the workforce are all affected by political factors. Visa regulations can be altered, making international assignments more difficult, and political issues can make operations unstable and increase employee-safety obligations. A centralised workforce plan will therefore not seem feasible to Unilever when it comes to different localisation or employment requirements by different governments. International HRM is influenced by national institutions (Brewster et al., 2023) and subsidiaries frequently negotiate such a balance between the expectations of the parent companies and local legitimacy (Stavrou et al., 2023). What HR managers need to do is scenario-planning and not just reacting to political decisions that have an impact on people.</w:t>
      </w:r>
    </w:p>
    <w:p w14:paraId="7D9D9800" w14:textId="77777777" w:rsidR="003770E1" w:rsidRPr="00067BD9" w:rsidRDefault="003770E1" w:rsidP="00067BD9">
      <w:pPr>
        <w:pStyle w:val="Heading2"/>
        <w:spacing w:line="360" w:lineRule="auto"/>
        <w:rPr>
          <w:rFonts w:eastAsia="Times New Roman" w:cs="Arial"/>
          <w:lang w:eastAsia="en-GB"/>
        </w:rPr>
      </w:pPr>
      <w:bookmarkStart w:id="5" w:name="_Toc234679053"/>
      <w:r w:rsidRPr="00067BD9">
        <w:rPr>
          <w:rFonts w:eastAsia="Times New Roman" w:cs="Arial"/>
          <w:lang w:eastAsia="en-GB"/>
        </w:rPr>
        <w:lastRenderedPageBreak/>
        <w:t>4.2 Economic Factors</w:t>
      </w:r>
      <w:bookmarkEnd w:id="5"/>
    </w:p>
    <w:p w14:paraId="21DD3EF3"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The economy intensifies the conflict between the quality of jobs and cost containment. Both inflation and recession can drive up costs of living, employment and wages, while inflation can boost pay expectations while recession can lead to restructuring and training cutbacks. However, a fall in labour investment could have negative effects on retention and future capacity. The International Labour Organization (2025) calls attention to the ongoing uncertainty in the global labour market, and OECD (2024) relates the concept of structural transitions to varying demands for skills. Unilever's HR managers should therefore employ differentiated reward, workforce analytics and targeted reskilling – although not necessarily lower labour costs means higher productivity. Requirements of flexible benefits in terms of recruitment of specialist digital talent are not uncommon in the United Kingdom; and a large pool of labour does not imply absence of scarcity for advanced analytical and managerial skills in India.</w:t>
      </w:r>
    </w:p>
    <w:p w14:paraId="3FC4A900" w14:textId="77777777" w:rsidR="003770E1" w:rsidRPr="00067BD9" w:rsidRDefault="003770E1" w:rsidP="00067BD9">
      <w:pPr>
        <w:pStyle w:val="Heading2"/>
        <w:spacing w:line="360" w:lineRule="auto"/>
        <w:rPr>
          <w:rFonts w:eastAsia="Times New Roman" w:cs="Arial"/>
          <w:lang w:eastAsia="en-GB"/>
        </w:rPr>
      </w:pPr>
      <w:bookmarkStart w:id="6" w:name="_Toc234679054"/>
      <w:r w:rsidRPr="00067BD9">
        <w:rPr>
          <w:rFonts w:eastAsia="Times New Roman" w:cs="Arial"/>
          <w:lang w:eastAsia="en-GB"/>
        </w:rPr>
        <w:t>4.3 Social and Cultural Factors</w:t>
      </w:r>
      <w:bookmarkEnd w:id="6"/>
    </w:p>
    <w:p w14:paraId="76942BBB"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Social factors refer to culture, demographics, inclusion and wellbeing and voice. When communication styles vary, hierarchy and attitudes towards feedback, a uniform system of performance will have unequal results. The relational nature of context materially influences Asian HRM (Malik et al., 2022) and local responsiveness needs to be strategically designed (Chung and Sparrow, 2024). Consequently, the UK worker might be more likely to have that voice and to have clear processes, whereas the Indian operation should be more mindful of hierarchy, regional diversity and collective relationships. They are tendencies, not necessarily cultural stereotyping, professional identity, generation and organisational culture determine behaviour as well. National labels are overly simplistic and evidence-based adaptation is key to HR effectiveness.</w:t>
      </w:r>
    </w:p>
    <w:p w14:paraId="2D5E90C2" w14:textId="77777777" w:rsidR="003770E1" w:rsidRPr="00067BD9" w:rsidRDefault="003770E1" w:rsidP="00067BD9">
      <w:pPr>
        <w:pStyle w:val="Heading2"/>
        <w:spacing w:line="360" w:lineRule="auto"/>
        <w:rPr>
          <w:rFonts w:eastAsia="Times New Roman" w:cs="Arial"/>
          <w:lang w:eastAsia="en-GB"/>
        </w:rPr>
      </w:pPr>
      <w:bookmarkStart w:id="7" w:name="_Toc234679055"/>
      <w:r w:rsidRPr="00067BD9">
        <w:rPr>
          <w:rFonts w:eastAsia="Times New Roman" w:cs="Arial"/>
          <w:lang w:eastAsia="en-GB"/>
        </w:rPr>
        <w:t>4.4 Technological Factors</w:t>
      </w:r>
      <w:bookmarkEnd w:id="7"/>
    </w:p>
    <w:p w14:paraId="1FE424A4"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Technological factors provide efficiency, but also re-distribute power. While AI could help with recruitment screening, workforce forecasting and personalised learning, there are concerns that it might also exacerbate historical biases and create apprehension for accountability. Budhwar et al. (2022) point to significant opportunities </w:t>
      </w:r>
      <w:r w:rsidRPr="00067BD9">
        <w:rPr>
          <w:rFonts w:eastAsia="Times New Roman" w:cs="Arial"/>
          <w:szCs w:val="24"/>
          <w:lang w:eastAsia="en-GB"/>
        </w:rPr>
        <w:lastRenderedPageBreak/>
        <w:t>and governance issues in international HRM and Tambe et al. (2019) assert that HR analytics should be embedded in context and not just technically adopted. Reskilling, consultation and human oversight are central to Unilever's “AI age” agenda, instead of simply automation. Overall, as highlighted by Dima et al. (2024), AI shifts the HR function and line management, requiring responsibility for ethical use to be defined.</w:t>
      </w:r>
    </w:p>
    <w:p w14:paraId="0E5E69F8" w14:textId="77777777" w:rsidR="003770E1" w:rsidRPr="00067BD9" w:rsidRDefault="003770E1" w:rsidP="00067BD9">
      <w:pPr>
        <w:pStyle w:val="Heading2"/>
        <w:spacing w:line="360" w:lineRule="auto"/>
        <w:rPr>
          <w:rFonts w:eastAsia="Times New Roman" w:cs="Arial"/>
          <w:lang w:eastAsia="en-GB"/>
        </w:rPr>
      </w:pPr>
      <w:bookmarkStart w:id="8" w:name="_Toc234679056"/>
      <w:r w:rsidRPr="00067BD9">
        <w:rPr>
          <w:rFonts w:eastAsia="Times New Roman" w:cs="Arial"/>
          <w:lang w:eastAsia="en-GB"/>
        </w:rPr>
        <w:t>4.5 Environmental Factors</w:t>
      </w:r>
      <w:bookmarkEnd w:id="8"/>
    </w:p>
    <w:p w14:paraId="57140005"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Employer reputation, workforce skills &amp; operational resilience are impacted by the environment. </w:t>
      </w:r>
      <w:r w:rsidR="00415253" w:rsidRPr="00067BD9">
        <w:rPr>
          <w:rFonts w:eastAsia="Times New Roman" w:cs="Arial"/>
          <w:szCs w:val="24"/>
          <w:lang w:eastAsia="en-GB"/>
        </w:rPr>
        <w:t>(Unilever PLC, 2024</w:t>
      </w:r>
      <w:r w:rsidRPr="00067BD9">
        <w:rPr>
          <w:rFonts w:eastAsia="Times New Roman" w:cs="Arial"/>
          <w:szCs w:val="24"/>
          <w:lang w:eastAsia="en-GB"/>
        </w:rPr>
        <w:t xml:space="preserve"> aims for emissions reductions up to 2030 and continue its value-chain net-zero target up to 2039. HR has to put these commitments in job design, training, leading objectives, and accountability. Sustainable HRM should not only be for organisational performance, but also should provide benefits to wider society as argued by Aust et al. (2020) and Ren et al. (2018) indicate that green HRM is an emerging field of strategy. What is important is symbolic compliance – sustainability statements won't deepen the commitment if it's not matched by effective action or incoherent signals.</w:t>
      </w:r>
    </w:p>
    <w:p w14:paraId="3551B11C" w14:textId="77777777" w:rsidR="003770E1" w:rsidRPr="00067BD9" w:rsidRDefault="003770E1" w:rsidP="00067BD9">
      <w:pPr>
        <w:pStyle w:val="Heading2"/>
        <w:spacing w:line="360" w:lineRule="auto"/>
        <w:rPr>
          <w:rFonts w:eastAsia="Times New Roman" w:cs="Arial"/>
          <w:lang w:eastAsia="en-GB"/>
        </w:rPr>
      </w:pPr>
      <w:bookmarkStart w:id="9" w:name="_Toc234679057"/>
      <w:r w:rsidRPr="00067BD9">
        <w:rPr>
          <w:rFonts w:eastAsia="Times New Roman" w:cs="Arial"/>
          <w:lang w:eastAsia="en-GB"/>
        </w:rPr>
        <w:t>4.6 Legal Factors</w:t>
      </w:r>
      <w:bookmarkEnd w:id="9"/>
    </w:p>
    <w:p w14:paraId="1A044B3A"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The most critical area is legal factors, where employment rights and equality duties, data protection, union recognition and dismissal procedure vary significantly. Whilst a new policy set at a universal level might be morally better than the imposition of local legislation, it cannot overrule unwavering national requirements. </w:t>
      </w:r>
      <w:r w:rsidR="00415253" w:rsidRPr="00067BD9">
        <w:rPr>
          <w:rFonts w:eastAsia="Times New Roman" w:cs="Arial"/>
          <w:szCs w:val="24"/>
          <w:lang w:eastAsia="en-GB"/>
        </w:rPr>
        <w:t>Stavrou et al. (2023</w:t>
      </w:r>
      <w:r w:rsidRPr="00067BD9">
        <w:rPr>
          <w:rFonts w:eastAsia="Times New Roman" w:cs="Arial"/>
          <w:szCs w:val="24"/>
          <w:lang w:eastAsia="en-GB"/>
        </w:rPr>
        <w:t xml:space="preserve">) reveal the reasons behind the simultaneous corporate and institutional pressure faced by the multinational subsidiaries, while </w:t>
      </w:r>
      <w:r w:rsidR="00067BD9" w:rsidRPr="00067BD9">
        <w:rPr>
          <w:rFonts w:eastAsia="Times New Roman" w:cs="Arial"/>
          <w:szCs w:val="24"/>
          <w:lang w:eastAsia="en-GB"/>
        </w:rPr>
        <w:t>Brewster et al. (2023</w:t>
      </w:r>
      <w:r w:rsidRPr="00067BD9">
        <w:rPr>
          <w:rFonts w:eastAsia="Times New Roman" w:cs="Arial"/>
          <w:szCs w:val="24"/>
          <w:lang w:eastAsia="en-GB"/>
        </w:rPr>
        <w:t>) highlight the comparative aspects of IHRM. Unilever should be able to have minimum requirements for its HR practices across the globe, but the practice within each country should have authority to modify HR contracts, consultation requirements, or data practices. A failure to implement the law in a procedurally fair manner will result in a loss of confidence and trust.</w:t>
      </w:r>
    </w:p>
    <w:p w14:paraId="31C6B18F" w14:textId="77777777" w:rsidR="003770E1" w:rsidRPr="00067BD9" w:rsidRDefault="003770E1" w:rsidP="00067BD9">
      <w:pPr>
        <w:pStyle w:val="Heading2"/>
        <w:spacing w:line="360" w:lineRule="auto"/>
        <w:rPr>
          <w:rFonts w:eastAsia="Times New Roman" w:cs="Arial"/>
          <w:lang w:eastAsia="en-GB"/>
        </w:rPr>
      </w:pPr>
      <w:bookmarkStart w:id="10" w:name="_Toc234679058"/>
      <w:r w:rsidRPr="00067BD9">
        <w:rPr>
          <w:rFonts w:eastAsia="Times New Roman" w:cs="Arial"/>
          <w:lang w:eastAsia="en-GB"/>
        </w:rPr>
        <w:lastRenderedPageBreak/>
        <w:t>4.7 Supporting SWOT Analysis</w:t>
      </w:r>
      <w:bookmarkEnd w:id="10"/>
    </w:p>
    <w:p w14:paraId="2E968B59"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Using SWOT it is clear what Unilever can do. Brands, international experience, learning resources, particularly investing in digital systems are Strengths. Weaknesses are the complexity of the organisation, potential delays in decision making and variable employee experience through the markets. While AI can bring learning opportunities, talent diversity, flexible working and employer branding through sustainability also offer opportunities, skills shortage, inflation, regulatory fragmentation and employee distrust are threats. While </w:t>
      </w:r>
      <w:r w:rsidR="00415253" w:rsidRPr="00067BD9">
        <w:rPr>
          <w:rFonts w:eastAsia="Times New Roman" w:cs="Arial"/>
          <w:szCs w:val="24"/>
          <w:lang w:eastAsia="en-GB"/>
        </w:rPr>
        <w:t>Unilever PLC’s (2025) strategy goes with simplification and AI</w:t>
      </w:r>
      <w:r w:rsidRPr="00067BD9">
        <w:rPr>
          <w:rFonts w:eastAsia="Times New Roman" w:cs="Arial"/>
          <w:szCs w:val="24"/>
          <w:lang w:eastAsia="en-GB"/>
        </w:rPr>
        <w:t>, there might be some pitfalls somewhere in the process if speed takes the place of consultation. Whittington et al. (2023) also caution that value can only be derived from evidence if it is critically interpreted using strategic tools. Hence, the effectiveness of HR hinges on the ability to be scaled on shared capability, while maintaining local discretion.</w:t>
      </w:r>
    </w:p>
    <w:p w14:paraId="606CAB59" w14:textId="77777777" w:rsidR="003770E1" w:rsidRPr="00067BD9" w:rsidRDefault="003770E1" w:rsidP="00067BD9">
      <w:pPr>
        <w:pStyle w:val="Heading1"/>
        <w:spacing w:line="360" w:lineRule="auto"/>
        <w:rPr>
          <w:rFonts w:eastAsia="Times New Roman" w:cs="Arial"/>
          <w:lang w:eastAsia="en-GB"/>
        </w:rPr>
      </w:pPr>
      <w:bookmarkStart w:id="11" w:name="_Toc234679059"/>
      <w:r w:rsidRPr="00067BD9">
        <w:rPr>
          <w:rFonts w:eastAsia="Times New Roman" w:cs="Arial"/>
          <w:lang w:eastAsia="en-GB"/>
        </w:rPr>
        <w:t>5. Conclusion</w:t>
      </w:r>
      <w:bookmarkEnd w:id="11"/>
    </w:p>
    <w:p w14:paraId="43F66340"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PESTEL is a good example as it shows that Unilever's HR managers are facing interdependent political, economic, social, technological, environmental and legal pressures. These forces differ in their impacts on recruitment, development, performance, reward and employee relations in each country. SWOT creates value by making apparent the fact that Unilever already has the resources and experience globally that helps it in the response side however, they also have the complexity of their organisation that can hinder timely adaptation. Separate to this, though, are the views of Whittington et al. (2023) that structural environmental analysis should be used, and Chung and Sparrow (2024) indicating that effectiveness should be seen in relation to how integration and responsiveness are configured. </w:t>
      </w:r>
    </w:p>
    <w:p w14:paraId="5E4A79FF" w14:textId="77777777" w:rsidR="003770E1" w:rsidRPr="00067BD9" w:rsidRDefault="003770E1" w:rsidP="00067BD9">
      <w:pPr>
        <w:spacing w:before="100" w:beforeAutospacing="1" w:after="100" w:afterAutospacing="1" w:line="360" w:lineRule="auto"/>
        <w:ind w:firstLine="720"/>
        <w:jc w:val="both"/>
        <w:rPr>
          <w:rFonts w:eastAsia="Times New Roman" w:cs="Arial"/>
          <w:szCs w:val="24"/>
          <w:lang w:eastAsia="en-GB"/>
        </w:rPr>
      </w:pPr>
      <w:r w:rsidRPr="00067BD9">
        <w:rPr>
          <w:rFonts w:eastAsia="Times New Roman" w:cs="Arial"/>
          <w:szCs w:val="24"/>
          <w:lang w:eastAsia="en-GB"/>
        </w:rPr>
        <w:t xml:space="preserve">Hence, “globally principled locally responsive HRM” is the most defendable stance. Unilever will need to uphold the universal moral standards, leadership roles and strategic skills, while country teams have larger autonomy over communication and reward, compliance and employee relations. It comes to an increase in the importance of responsible AI and reskilling for future effectiveness (Budhwar et al., 2022); sustainable HRM's broader social responsibilities (Aust et al., 2020). Models of </w:t>
      </w:r>
      <w:r w:rsidRPr="00067BD9">
        <w:rPr>
          <w:rFonts w:eastAsia="Times New Roman" w:cs="Arial"/>
          <w:szCs w:val="24"/>
          <w:lang w:eastAsia="en-GB"/>
        </w:rPr>
        <w:lastRenderedPageBreak/>
        <w:t>the environment can inform decisions, but do not substitute for evidence, voice of staff, manager's judgment.</w:t>
      </w:r>
    </w:p>
    <w:p w14:paraId="6A370D1E" w14:textId="77777777" w:rsidR="003770E1" w:rsidRPr="00067BD9" w:rsidRDefault="003770E1" w:rsidP="00067BD9">
      <w:pPr>
        <w:spacing w:line="360" w:lineRule="auto"/>
        <w:jc w:val="both"/>
        <w:rPr>
          <w:rFonts w:eastAsia="Times New Roman" w:cs="Arial"/>
          <w:b/>
          <w:bCs/>
          <w:kern w:val="36"/>
          <w:sz w:val="48"/>
          <w:szCs w:val="48"/>
          <w:lang w:eastAsia="en-GB"/>
        </w:rPr>
      </w:pPr>
      <w:r w:rsidRPr="00067BD9">
        <w:rPr>
          <w:rFonts w:eastAsia="Times New Roman" w:cs="Arial"/>
          <w:b/>
          <w:bCs/>
          <w:kern w:val="36"/>
          <w:sz w:val="48"/>
          <w:szCs w:val="48"/>
          <w:lang w:eastAsia="en-GB"/>
        </w:rPr>
        <w:br w:type="page"/>
      </w:r>
    </w:p>
    <w:p w14:paraId="5CFF1DCD" w14:textId="77777777" w:rsidR="003770E1" w:rsidRPr="00067BD9" w:rsidRDefault="003770E1" w:rsidP="00067BD9">
      <w:pPr>
        <w:pStyle w:val="Heading1"/>
        <w:spacing w:line="360" w:lineRule="auto"/>
        <w:jc w:val="center"/>
        <w:rPr>
          <w:rFonts w:eastAsia="Times New Roman" w:cs="Arial"/>
          <w:lang w:eastAsia="en-GB"/>
        </w:rPr>
      </w:pPr>
      <w:bookmarkStart w:id="12" w:name="_Toc234679060"/>
      <w:r w:rsidRPr="00067BD9">
        <w:rPr>
          <w:rFonts w:eastAsia="Times New Roman" w:cs="Arial"/>
          <w:lang w:eastAsia="en-GB"/>
        </w:rPr>
        <w:lastRenderedPageBreak/>
        <w:t>6. Reference List</w:t>
      </w:r>
      <w:bookmarkEnd w:id="12"/>
    </w:p>
    <w:p w14:paraId="42271C83"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Armstrong, Michael and Taylor, Stephen (2023) </w:t>
      </w:r>
      <w:r w:rsidRPr="00067BD9">
        <w:rPr>
          <w:rFonts w:eastAsia="Times New Roman" w:cs="Arial"/>
          <w:i/>
          <w:iCs/>
          <w:szCs w:val="24"/>
          <w:lang w:eastAsia="en-GB"/>
        </w:rPr>
        <w:t>Armstrong’s Handbook of Human Resource Management Practice: A Guide to the Theory and Practice of People Management</w:t>
      </w:r>
      <w:r w:rsidRPr="00067BD9">
        <w:rPr>
          <w:rFonts w:eastAsia="Times New Roman" w:cs="Arial"/>
          <w:szCs w:val="24"/>
          <w:lang w:eastAsia="en-GB"/>
        </w:rPr>
        <w:t xml:space="preserve">. 16th edn. London: Kogan Page. Available at: </w:t>
      </w:r>
      <w:hyperlink r:id="rId7" w:history="1">
        <w:r w:rsidRPr="00067BD9">
          <w:rPr>
            <w:rStyle w:val="Hyperlink"/>
            <w:rFonts w:eastAsia="Times New Roman" w:cs="Arial"/>
            <w:szCs w:val="24"/>
            <w:lang w:eastAsia="en-GB"/>
          </w:rPr>
          <w:t>https://books.google.com/books?id=3oChEAAAQBAJ</w:t>
        </w:r>
      </w:hyperlink>
      <w:r w:rsidRPr="00067BD9">
        <w:rPr>
          <w:rFonts w:eastAsia="Times New Roman" w:cs="Arial"/>
          <w:szCs w:val="24"/>
          <w:lang w:eastAsia="en-GB"/>
        </w:rPr>
        <w:t xml:space="preserve"> </w:t>
      </w:r>
    </w:p>
    <w:p w14:paraId="717D9BAA"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Aust, Ina, Matthews, Brian and Müller-Camen, Michael (2020) ‘Common Good HRM: A paradigm shift in sustainable HRM?’, </w:t>
      </w:r>
      <w:r w:rsidRPr="00067BD9">
        <w:rPr>
          <w:rFonts w:eastAsia="Times New Roman" w:cs="Arial"/>
          <w:i/>
          <w:iCs/>
          <w:szCs w:val="24"/>
          <w:lang w:eastAsia="en-GB"/>
        </w:rPr>
        <w:t>Human Resource Management Review</w:t>
      </w:r>
      <w:r w:rsidRPr="00067BD9">
        <w:rPr>
          <w:rFonts w:eastAsia="Times New Roman" w:cs="Arial"/>
          <w:szCs w:val="24"/>
          <w:lang w:eastAsia="en-GB"/>
        </w:rPr>
        <w:t xml:space="preserve">, 30(3), article 100705. </w:t>
      </w:r>
      <w:hyperlink r:id="rId8" w:tgtFrame="_new" w:history="1">
        <w:r w:rsidRPr="00067BD9">
          <w:rPr>
            <w:rFonts w:eastAsia="Times New Roman" w:cs="Arial"/>
            <w:color w:val="0000FF"/>
            <w:szCs w:val="24"/>
            <w:u w:val="single"/>
            <w:lang w:eastAsia="en-GB"/>
          </w:rPr>
          <w:t>https://doi.org/10.1016/j.hrmr.2019.100705</w:t>
        </w:r>
      </w:hyperlink>
    </w:p>
    <w:p w14:paraId="7AC9ACEF"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Brewster, Christopher, Houldsworth, Elizabeth, Sparrow, Paul and Vernon, Guy (2023) </w:t>
      </w:r>
      <w:r w:rsidRPr="00067BD9">
        <w:rPr>
          <w:rFonts w:eastAsia="Times New Roman" w:cs="Arial"/>
          <w:i/>
          <w:iCs/>
          <w:szCs w:val="24"/>
          <w:lang w:eastAsia="en-GB"/>
        </w:rPr>
        <w:t>International Human Resource Management</w:t>
      </w:r>
      <w:r w:rsidRPr="00067BD9">
        <w:rPr>
          <w:rFonts w:eastAsia="Times New Roman" w:cs="Arial"/>
          <w:szCs w:val="24"/>
          <w:lang w:eastAsia="en-GB"/>
        </w:rPr>
        <w:t xml:space="preserve">. 5th edn. London: CIPD and Kogan Page. Available at: </w:t>
      </w:r>
      <w:hyperlink r:id="rId9" w:tgtFrame="_new" w:history="1">
        <w:r w:rsidRPr="00067BD9">
          <w:rPr>
            <w:rFonts w:eastAsia="Times New Roman" w:cs="Arial"/>
            <w:color w:val="0000FF"/>
            <w:szCs w:val="24"/>
            <w:u w:val="single"/>
            <w:lang w:eastAsia="en-GB"/>
          </w:rPr>
          <w:t>https://www.koganpage.com/hr-learning-development/international-human-resource-management-9781398603530</w:t>
        </w:r>
      </w:hyperlink>
    </w:p>
    <w:p w14:paraId="25FC477C"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Budhwar, Pawan, Malik, Ashish, De Silva, M. T. Thedushika and Thevisuthan, Praveena (2022) ‘Artificial intelligence—challenges and opportunities for international HRM: A review and research agenda’, </w:t>
      </w:r>
      <w:r w:rsidRPr="00067BD9">
        <w:rPr>
          <w:rFonts w:eastAsia="Times New Roman" w:cs="Arial"/>
          <w:i/>
          <w:iCs/>
          <w:szCs w:val="24"/>
          <w:lang w:eastAsia="en-GB"/>
        </w:rPr>
        <w:t>The International Journal of Human Resource Management</w:t>
      </w:r>
      <w:r w:rsidRPr="00067BD9">
        <w:rPr>
          <w:rFonts w:eastAsia="Times New Roman" w:cs="Arial"/>
          <w:szCs w:val="24"/>
          <w:lang w:eastAsia="en-GB"/>
        </w:rPr>
        <w:t xml:space="preserve">, 33(6), pp. 1065–1097. </w:t>
      </w:r>
      <w:hyperlink r:id="rId10" w:tgtFrame="_new" w:history="1">
        <w:r w:rsidRPr="00067BD9">
          <w:rPr>
            <w:rFonts w:eastAsia="Times New Roman" w:cs="Arial"/>
            <w:color w:val="0000FF"/>
            <w:szCs w:val="24"/>
            <w:u w:val="single"/>
            <w:lang w:eastAsia="en-GB"/>
          </w:rPr>
          <w:t>https://doi.org/10.1080/09585192.2022.2035161</w:t>
        </w:r>
      </w:hyperlink>
    </w:p>
    <w:p w14:paraId="5A4F20DC"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Chung, Chul and Sparrow, Paul (2024) ‘Exploring the configuration of international HRM strategies for global integration and local responsiveness in MNEs’, </w:t>
      </w:r>
      <w:r w:rsidRPr="00067BD9">
        <w:rPr>
          <w:rFonts w:eastAsia="Times New Roman" w:cs="Arial"/>
          <w:i/>
          <w:iCs/>
          <w:szCs w:val="24"/>
          <w:lang w:eastAsia="en-GB"/>
        </w:rPr>
        <w:t>The International Journal of Human Resource Management</w:t>
      </w:r>
      <w:r w:rsidRPr="00067BD9">
        <w:rPr>
          <w:rFonts w:eastAsia="Times New Roman" w:cs="Arial"/>
          <w:szCs w:val="24"/>
          <w:lang w:eastAsia="en-GB"/>
        </w:rPr>
        <w:t xml:space="preserve">, 35(11), pp. 1943–1969. </w:t>
      </w:r>
      <w:hyperlink r:id="rId11" w:tgtFrame="_new" w:history="1">
        <w:r w:rsidRPr="00067BD9">
          <w:rPr>
            <w:rFonts w:eastAsia="Times New Roman" w:cs="Arial"/>
            <w:color w:val="0000FF"/>
            <w:szCs w:val="24"/>
            <w:u w:val="single"/>
            <w:lang w:eastAsia="en-GB"/>
          </w:rPr>
          <w:t>https://doi.org/10.1080/09585192.2024.2320768</w:t>
        </w:r>
      </w:hyperlink>
    </w:p>
    <w:p w14:paraId="28AC7655"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Dima, Justine, Gilbert, Marie-Hélène, Dextras-Gauthier, Julie and Giraud, Laurent (2024) ‘The effects of artificial intelligence on human resource activities and the roles of the human resource triad: Opportunities and challenges’, </w:t>
      </w:r>
      <w:r w:rsidRPr="00067BD9">
        <w:rPr>
          <w:rFonts w:eastAsia="Times New Roman" w:cs="Arial"/>
          <w:i/>
          <w:iCs/>
          <w:szCs w:val="24"/>
          <w:lang w:eastAsia="en-GB"/>
        </w:rPr>
        <w:t>Frontiers in Psychology</w:t>
      </w:r>
      <w:r w:rsidRPr="00067BD9">
        <w:rPr>
          <w:rFonts w:eastAsia="Times New Roman" w:cs="Arial"/>
          <w:szCs w:val="24"/>
          <w:lang w:eastAsia="en-GB"/>
        </w:rPr>
        <w:t xml:space="preserve">, 15, article 1360401. </w:t>
      </w:r>
      <w:hyperlink r:id="rId12" w:tgtFrame="_new" w:history="1">
        <w:r w:rsidRPr="00067BD9">
          <w:rPr>
            <w:rFonts w:eastAsia="Times New Roman" w:cs="Arial"/>
            <w:color w:val="0000FF"/>
            <w:szCs w:val="24"/>
            <w:u w:val="single"/>
            <w:lang w:eastAsia="en-GB"/>
          </w:rPr>
          <w:t>https://doi.org/10.3389/fpsyg.2024.1360401</w:t>
        </w:r>
      </w:hyperlink>
    </w:p>
    <w:p w14:paraId="7B446F9F"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International Labour Organization (2025) </w:t>
      </w:r>
      <w:r w:rsidRPr="00067BD9">
        <w:rPr>
          <w:rFonts w:eastAsia="Times New Roman" w:cs="Arial"/>
          <w:i/>
          <w:iCs/>
          <w:szCs w:val="24"/>
          <w:lang w:eastAsia="en-GB"/>
        </w:rPr>
        <w:t>World Employment and Social Outlook: Trends 2025</w:t>
      </w:r>
      <w:r w:rsidRPr="00067BD9">
        <w:rPr>
          <w:rFonts w:eastAsia="Times New Roman" w:cs="Arial"/>
          <w:szCs w:val="24"/>
          <w:lang w:eastAsia="en-GB"/>
        </w:rPr>
        <w:t xml:space="preserve">. Geneva: International Labour Organization. Available at: </w:t>
      </w:r>
      <w:hyperlink r:id="rId13" w:tgtFrame="_new" w:history="1">
        <w:r w:rsidRPr="00067BD9">
          <w:rPr>
            <w:rFonts w:eastAsia="Times New Roman" w:cs="Arial"/>
            <w:color w:val="0000FF"/>
            <w:szCs w:val="24"/>
            <w:u w:val="single"/>
            <w:lang w:eastAsia="en-GB"/>
          </w:rPr>
          <w:t>https://www.ilo.org/publications/flagship-reports/world-employment-and-social-outlook-trends-2025</w:t>
        </w:r>
      </w:hyperlink>
    </w:p>
    <w:p w14:paraId="0B7B1150"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lastRenderedPageBreak/>
        <w:t xml:space="preserve">Malik, Ashish, Pereira, Vijay, Budhwar, Pawan, Froese, Fabian Jintae, Minbaeva, Dana, Sun, James, Nguyen, Anh Tuan and Xue, Shanzi (2022) ‘Multilevel relational influences on HRM practices: A cross-country comparative reflective review of HRM practices in Asia’, </w:t>
      </w:r>
      <w:r w:rsidRPr="00067BD9">
        <w:rPr>
          <w:rFonts w:eastAsia="Times New Roman" w:cs="Arial"/>
          <w:i/>
          <w:iCs/>
          <w:szCs w:val="24"/>
          <w:lang w:eastAsia="en-GB"/>
        </w:rPr>
        <w:t>Asian Business &amp; Management</w:t>
      </w:r>
      <w:r w:rsidRPr="00067BD9">
        <w:rPr>
          <w:rFonts w:eastAsia="Times New Roman" w:cs="Arial"/>
          <w:szCs w:val="24"/>
          <w:lang w:eastAsia="en-GB"/>
        </w:rPr>
        <w:t xml:space="preserve">, 21(5), pp. 745–779. </w:t>
      </w:r>
      <w:hyperlink r:id="rId14" w:tgtFrame="_new" w:history="1">
        <w:r w:rsidRPr="00067BD9">
          <w:rPr>
            <w:rFonts w:eastAsia="Times New Roman" w:cs="Arial"/>
            <w:color w:val="0000FF"/>
            <w:szCs w:val="24"/>
            <w:u w:val="single"/>
            <w:lang w:eastAsia="en-GB"/>
          </w:rPr>
          <w:t>https://doi.org/10.1057/s41291-022-00208-z</w:t>
        </w:r>
      </w:hyperlink>
    </w:p>
    <w:p w14:paraId="0B53E8C8"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Organisation for Economic Co-operation and Development (2024) </w:t>
      </w:r>
      <w:r w:rsidRPr="00067BD9">
        <w:rPr>
          <w:rFonts w:eastAsia="Times New Roman" w:cs="Arial"/>
          <w:i/>
          <w:iCs/>
          <w:szCs w:val="24"/>
          <w:lang w:eastAsia="en-GB"/>
        </w:rPr>
        <w:t>OECD Employment Outlook 2024: The Net-Zero Transition and the Labour Market</w:t>
      </w:r>
      <w:r w:rsidRPr="00067BD9">
        <w:rPr>
          <w:rFonts w:eastAsia="Times New Roman" w:cs="Arial"/>
          <w:szCs w:val="24"/>
          <w:lang w:eastAsia="en-GB"/>
        </w:rPr>
        <w:t xml:space="preserve">. Paris: OECD Publishing. </w:t>
      </w:r>
      <w:hyperlink r:id="rId15" w:tgtFrame="_new" w:history="1">
        <w:r w:rsidRPr="00067BD9">
          <w:rPr>
            <w:rFonts w:eastAsia="Times New Roman" w:cs="Arial"/>
            <w:color w:val="0000FF"/>
            <w:szCs w:val="24"/>
            <w:u w:val="single"/>
            <w:lang w:eastAsia="en-GB"/>
          </w:rPr>
          <w:t>https://doi.org/10.1787/ac8b3538-en</w:t>
        </w:r>
      </w:hyperlink>
    </w:p>
    <w:p w14:paraId="2D15F568"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Ren, Shuang, Tang, Guiyao and Jackson, Susan E. (2018) ‘Green human resource management research in emergence: A review and future directions’, </w:t>
      </w:r>
      <w:r w:rsidRPr="00067BD9">
        <w:rPr>
          <w:rFonts w:eastAsia="Times New Roman" w:cs="Arial"/>
          <w:i/>
          <w:iCs/>
          <w:szCs w:val="24"/>
          <w:lang w:eastAsia="en-GB"/>
        </w:rPr>
        <w:t>Asia Pacific Journal of Management</w:t>
      </w:r>
      <w:r w:rsidRPr="00067BD9">
        <w:rPr>
          <w:rFonts w:eastAsia="Times New Roman" w:cs="Arial"/>
          <w:szCs w:val="24"/>
          <w:lang w:eastAsia="en-GB"/>
        </w:rPr>
        <w:t xml:space="preserve">, 35(3), pp. 769–803. </w:t>
      </w:r>
      <w:hyperlink r:id="rId16" w:tgtFrame="_new" w:history="1">
        <w:r w:rsidRPr="00067BD9">
          <w:rPr>
            <w:rFonts w:eastAsia="Times New Roman" w:cs="Arial"/>
            <w:color w:val="0000FF"/>
            <w:szCs w:val="24"/>
            <w:u w:val="single"/>
            <w:lang w:eastAsia="en-GB"/>
          </w:rPr>
          <w:t>https://doi.org/10.1007/s10490-017-9532-1</w:t>
        </w:r>
      </w:hyperlink>
    </w:p>
    <w:p w14:paraId="3E746BD3"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Stavrou, Eleni, Parry, Emma, Gooderham, Paul, Morley, Michael and Lazarova, Mila (2023) ‘Institutional duality and human resource management practice in foreign subsidiaries of multinationals’, </w:t>
      </w:r>
      <w:r w:rsidRPr="00067BD9">
        <w:rPr>
          <w:rFonts w:eastAsia="Times New Roman" w:cs="Arial"/>
          <w:i/>
          <w:iCs/>
          <w:szCs w:val="24"/>
          <w:lang w:eastAsia="en-GB"/>
        </w:rPr>
        <w:t>Human Resource Management Journal</w:t>
      </w:r>
      <w:r w:rsidRPr="00067BD9">
        <w:rPr>
          <w:rFonts w:eastAsia="Times New Roman" w:cs="Arial"/>
          <w:szCs w:val="24"/>
          <w:lang w:eastAsia="en-GB"/>
        </w:rPr>
        <w:t xml:space="preserve">, 33(1), pp. 69–94. </w:t>
      </w:r>
      <w:hyperlink r:id="rId17" w:tgtFrame="_new" w:history="1">
        <w:r w:rsidRPr="00067BD9">
          <w:rPr>
            <w:rFonts w:eastAsia="Times New Roman" w:cs="Arial"/>
            <w:color w:val="0000FF"/>
            <w:szCs w:val="24"/>
            <w:u w:val="single"/>
            <w:lang w:eastAsia="en-GB"/>
          </w:rPr>
          <w:t>https://doi.org/10.1111/1748-8583.12357</w:t>
        </w:r>
      </w:hyperlink>
    </w:p>
    <w:p w14:paraId="13595DB7"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Tambe, Prasanna, Cappelli, Peter and Yakubovich, Valery (2019) ‘Artificial intelligence in human resources management: Challenges and a path forward’, </w:t>
      </w:r>
      <w:r w:rsidRPr="00067BD9">
        <w:rPr>
          <w:rFonts w:eastAsia="Times New Roman" w:cs="Arial"/>
          <w:i/>
          <w:iCs/>
          <w:szCs w:val="24"/>
          <w:lang w:eastAsia="en-GB"/>
        </w:rPr>
        <w:t>California Management Review</w:t>
      </w:r>
      <w:r w:rsidRPr="00067BD9">
        <w:rPr>
          <w:rFonts w:eastAsia="Times New Roman" w:cs="Arial"/>
          <w:szCs w:val="24"/>
          <w:lang w:eastAsia="en-GB"/>
        </w:rPr>
        <w:t xml:space="preserve">, 61(4), pp. 15–42. </w:t>
      </w:r>
      <w:hyperlink r:id="rId18" w:tgtFrame="_new" w:history="1">
        <w:r w:rsidRPr="00067BD9">
          <w:rPr>
            <w:rFonts w:eastAsia="Times New Roman" w:cs="Arial"/>
            <w:color w:val="0000FF"/>
            <w:szCs w:val="24"/>
            <w:u w:val="single"/>
            <w:lang w:eastAsia="en-GB"/>
          </w:rPr>
          <w:t>https://doi.org/10.1177/0008125619867910</w:t>
        </w:r>
      </w:hyperlink>
    </w:p>
    <w:p w14:paraId="666CE3B6"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Unilever PLC (2024) </w:t>
      </w:r>
      <w:r w:rsidRPr="00067BD9">
        <w:rPr>
          <w:rFonts w:eastAsia="Times New Roman" w:cs="Arial"/>
          <w:i/>
          <w:iCs/>
          <w:szCs w:val="24"/>
          <w:lang w:eastAsia="en-GB"/>
        </w:rPr>
        <w:t>Climate Transition Action Plan: Updated 2024</w:t>
      </w:r>
      <w:r w:rsidRPr="00067BD9">
        <w:rPr>
          <w:rFonts w:eastAsia="Times New Roman" w:cs="Arial"/>
          <w:szCs w:val="24"/>
          <w:lang w:eastAsia="en-GB"/>
        </w:rPr>
        <w:t xml:space="preserve">. London: Unilever PLC. Available at: </w:t>
      </w:r>
      <w:hyperlink r:id="rId19" w:tgtFrame="_new" w:history="1">
        <w:r w:rsidRPr="00067BD9">
          <w:rPr>
            <w:rFonts w:eastAsia="Times New Roman" w:cs="Arial"/>
            <w:color w:val="0000FF"/>
            <w:szCs w:val="24"/>
            <w:u w:val="single"/>
            <w:lang w:eastAsia="en-GB"/>
          </w:rPr>
          <w:t>https://www.unilever.com/files/8b5df5f6-cb90-40fd-9691-38d06905d81d/unilever-climate-transition-action-plan-updated-2024.pdf</w:t>
        </w:r>
      </w:hyperlink>
    </w:p>
    <w:p w14:paraId="7A6899BA"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Unilever PLC (2025) </w:t>
      </w:r>
      <w:r w:rsidRPr="00067BD9">
        <w:rPr>
          <w:rFonts w:eastAsia="Times New Roman" w:cs="Arial"/>
          <w:i/>
          <w:iCs/>
          <w:szCs w:val="24"/>
          <w:lang w:eastAsia="en-GB"/>
        </w:rPr>
        <w:t>Annual Report and Accounts 2025</w:t>
      </w:r>
      <w:r w:rsidRPr="00067BD9">
        <w:rPr>
          <w:rFonts w:eastAsia="Times New Roman" w:cs="Arial"/>
          <w:szCs w:val="24"/>
          <w:lang w:eastAsia="en-GB"/>
        </w:rPr>
        <w:t xml:space="preserve">. London: Unilever PLC. Available at: </w:t>
      </w:r>
      <w:hyperlink r:id="rId20" w:tgtFrame="_new" w:history="1">
        <w:r w:rsidRPr="00067BD9">
          <w:rPr>
            <w:rFonts w:eastAsia="Times New Roman" w:cs="Arial"/>
            <w:color w:val="0000FF"/>
            <w:szCs w:val="24"/>
            <w:u w:val="single"/>
            <w:lang w:eastAsia="en-GB"/>
          </w:rPr>
          <w:t>https://www.unilever.com/files/unilever-annual-report-and-accounts-2025.pdf</w:t>
        </w:r>
      </w:hyperlink>
    </w:p>
    <w:p w14:paraId="19DE61E5" w14:textId="77777777" w:rsidR="003770E1" w:rsidRPr="00067BD9" w:rsidRDefault="003770E1" w:rsidP="00067BD9">
      <w:pPr>
        <w:spacing w:before="100" w:beforeAutospacing="1" w:after="100" w:afterAutospacing="1" w:line="360" w:lineRule="auto"/>
        <w:ind w:left="720" w:hanging="720"/>
        <w:jc w:val="both"/>
        <w:rPr>
          <w:rFonts w:eastAsia="Times New Roman" w:cs="Arial"/>
          <w:szCs w:val="24"/>
          <w:lang w:eastAsia="en-GB"/>
        </w:rPr>
      </w:pPr>
      <w:r w:rsidRPr="00067BD9">
        <w:rPr>
          <w:rFonts w:eastAsia="Times New Roman" w:cs="Arial"/>
          <w:szCs w:val="24"/>
          <w:lang w:eastAsia="en-GB"/>
        </w:rPr>
        <w:t xml:space="preserve">Whittington, Richard, Angwin, Duncan, Regnér, Patrick, Johnson, Gerry and Scholes, Kevan (2023) </w:t>
      </w:r>
      <w:r w:rsidRPr="00067BD9">
        <w:rPr>
          <w:rFonts w:eastAsia="Times New Roman" w:cs="Arial"/>
          <w:i/>
          <w:iCs/>
          <w:szCs w:val="24"/>
          <w:lang w:eastAsia="en-GB"/>
        </w:rPr>
        <w:t>Exploring Strategy</w:t>
      </w:r>
      <w:r w:rsidRPr="00067BD9">
        <w:rPr>
          <w:rFonts w:eastAsia="Times New Roman" w:cs="Arial"/>
          <w:szCs w:val="24"/>
          <w:lang w:eastAsia="en-GB"/>
        </w:rPr>
        <w:t xml:space="preserve">. 13th edn. Harlow: Pearson Education. </w:t>
      </w:r>
      <w:r w:rsidRPr="00067BD9">
        <w:rPr>
          <w:rFonts w:eastAsia="Times New Roman" w:cs="Arial"/>
          <w:szCs w:val="24"/>
          <w:lang w:eastAsia="en-GB"/>
        </w:rPr>
        <w:lastRenderedPageBreak/>
        <w:t xml:space="preserve">Available at: </w:t>
      </w:r>
      <w:hyperlink r:id="rId21" w:tgtFrame="_new" w:history="1">
        <w:r w:rsidRPr="00067BD9">
          <w:rPr>
            <w:rFonts w:eastAsia="Times New Roman" w:cs="Arial"/>
            <w:color w:val="0000FF"/>
            <w:szCs w:val="24"/>
            <w:u w:val="single"/>
            <w:lang w:eastAsia="en-GB"/>
          </w:rPr>
          <w:t>https://www.pearson.com/en-gb/subject-catalog/p/exploring-strategy-text-and-cases/P200000007156</w:t>
        </w:r>
      </w:hyperlink>
    </w:p>
    <w:p w14:paraId="035E4245" w14:textId="77777777" w:rsidR="003770E1" w:rsidRPr="00067BD9" w:rsidRDefault="003770E1" w:rsidP="00067BD9">
      <w:pPr>
        <w:pBdr>
          <w:bottom w:val="single" w:sz="6" w:space="1" w:color="auto"/>
        </w:pBdr>
        <w:spacing w:after="0" w:line="360" w:lineRule="auto"/>
        <w:jc w:val="both"/>
        <w:rPr>
          <w:rFonts w:eastAsia="Times New Roman" w:cs="Arial"/>
          <w:vanish/>
          <w:sz w:val="16"/>
          <w:szCs w:val="16"/>
          <w:lang w:eastAsia="en-GB"/>
        </w:rPr>
      </w:pPr>
      <w:r w:rsidRPr="00067BD9">
        <w:rPr>
          <w:rFonts w:eastAsia="Times New Roman" w:cs="Arial"/>
          <w:vanish/>
          <w:sz w:val="16"/>
          <w:szCs w:val="16"/>
          <w:lang w:eastAsia="en-GB"/>
        </w:rPr>
        <w:t>Top of Form</w:t>
      </w:r>
    </w:p>
    <w:p w14:paraId="52210DC2" w14:textId="77777777" w:rsidR="003770E1" w:rsidRPr="00067BD9" w:rsidRDefault="003770E1" w:rsidP="00067BD9">
      <w:pPr>
        <w:pBdr>
          <w:top w:val="single" w:sz="6" w:space="1" w:color="auto"/>
        </w:pBdr>
        <w:spacing w:after="0" w:line="360" w:lineRule="auto"/>
        <w:jc w:val="both"/>
        <w:rPr>
          <w:rFonts w:eastAsia="Times New Roman" w:cs="Arial"/>
          <w:vanish/>
          <w:sz w:val="16"/>
          <w:szCs w:val="16"/>
          <w:lang w:eastAsia="en-GB"/>
        </w:rPr>
      </w:pPr>
      <w:r w:rsidRPr="00067BD9">
        <w:rPr>
          <w:rFonts w:eastAsia="Times New Roman" w:cs="Arial"/>
          <w:vanish/>
          <w:sz w:val="16"/>
          <w:szCs w:val="16"/>
          <w:lang w:eastAsia="en-GB"/>
        </w:rPr>
        <w:t>Bottom of Form</w:t>
      </w:r>
    </w:p>
    <w:sectPr w:rsidR="003770E1" w:rsidRPr="00067BD9" w:rsidSect="003770E1">
      <w:head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48759" w14:textId="77777777" w:rsidR="00DB78A7" w:rsidRDefault="00DB78A7" w:rsidP="003770E1">
      <w:pPr>
        <w:spacing w:after="0" w:line="240" w:lineRule="auto"/>
      </w:pPr>
      <w:r>
        <w:separator/>
      </w:r>
    </w:p>
  </w:endnote>
  <w:endnote w:type="continuationSeparator" w:id="0">
    <w:p w14:paraId="2AC45306" w14:textId="77777777" w:rsidR="00DB78A7" w:rsidRDefault="00DB78A7" w:rsidP="00377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A7342" w14:textId="77777777" w:rsidR="00DB78A7" w:rsidRDefault="00DB78A7" w:rsidP="003770E1">
      <w:pPr>
        <w:spacing w:after="0" w:line="240" w:lineRule="auto"/>
      </w:pPr>
      <w:r>
        <w:separator/>
      </w:r>
    </w:p>
  </w:footnote>
  <w:footnote w:type="continuationSeparator" w:id="0">
    <w:p w14:paraId="4FDF632E" w14:textId="77777777" w:rsidR="00DB78A7" w:rsidRDefault="00DB78A7" w:rsidP="00377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190225"/>
      <w:docPartObj>
        <w:docPartGallery w:val="Page Numbers (Top of Page)"/>
        <w:docPartUnique/>
      </w:docPartObj>
    </w:sdtPr>
    <w:sdtEndPr>
      <w:rPr>
        <w:noProof/>
      </w:rPr>
    </w:sdtEndPr>
    <w:sdtContent>
      <w:p w14:paraId="6A68EE76" w14:textId="77777777" w:rsidR="003770E1" w:rsidRDefault="003770E1">
        <w:pPr>
          <w:pStyle w:val="Header"/>
          <w:jc w:val="right"/>
        </w:pPr>
        <w:r>
          <w:fldChar w:fldCharType="begin"/>
        </w:r>
        <w:r>
          <w:instrText xml:space="preserve"> PAGE   \* MERGEFORMAT </w:instrText>
        </w:r>
        <w:r>
          <w:fldChar w:fldCharType="separate"/>
        </w:r>
        <w:r w:rsidR="00067BD9">
          <w:rPr>
            <w:noProof/>
          </w:rPr>
          <w:t>5</w:t>
        </w:r>
        <w:r>
          <w:rPr>
            <w:noProof/>
          </w:rPr>
          <w:fldChar w:fldCharType="end"/>
        </w:r>
      </w:p>
    </w:sdtContent>
  </w:sdt>
  <w:p w14:paraId="569121FF" w14:textId="77777777" w:rsidR="003770E1" w:rsidRDefault="003770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F7B"/>
    <w:rsid w:val="000132AB"/>
    <w:rsid w:val="00024F7B"/>
    <w:rsid w:val="000661D7"/>
    <w:rsid w:val="00067BD9"/>
    <w:rsid w:val="000A2CC1"/>
    <w:rsid w:val="00135DF4"/>
    <w:rsid w:val="00163302"/>
    <w:rsid w:val="002778FF"/>
    <w:rsid w:val="002A5A3E"/>
    <w:rsid w:val="002B2FDD"/>
    <w:rsid w:val="003770E1"/>
    <w:rsid w:val="00415253"/>
    <w:rsid w:val="00424CC9"/>
    <w:rsid w:val="004268D0"/>
    <w:rsid w:val="004B384C"/>
    <w:rsid w:val="005B6B10"/>
    <w:rsid w:val="006119E4"/>
    <w:rsid w:val="0063542D"/>
    <w:rsid w:val="006B7B02"/>
    <w:rsid w:val="006F5D34"/>
    <w:rsid w:val="00754A94"/>
    <w:rsid w:val="008363FD"/>
    <w:rsid w:val="009103D0"/>
    <w:rsid w:val="00980BD8"/>
    <w:rsid w:val="009F4F18"/>
    <w:rsid w:val="009F51CD"/>
    <w:rsid w:val="00A318AB"/>
    <w:rsid w:val="00A55116"/>
    <w:rsid w:val="00A82FAA"/>
    <w:rsid w:val="00B20BA7"/>
    <w:rsid w:val="00B63307"/>
    <w:rsid w:val="00C91DC5"/>
    <w:rsid w:val="00CD1D89"/>
    <w:rsid w:val="00DB78A7"/>
    <w:rsid w:val="00DD44BC"/>
    <w:rsid w:val="00F472BF"/>
    <w:rsid w:val="00FC5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80BE"/>
  <w15:chartTrackingRefBased/>
  <w15:docId w15:val="{678DC96C-9D2D-45F4-87AB-50D41E48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2BF"/>
    <w:rPr>
      <w:rFonts w:ascii="Arial" w:hAnsi="Arial"/>
      <w:sz w:val="24"/>
    </w:rPr>
  </w:style>
  <w:style w:type="paragraph" w:styleId="Heading1">
    <w:name w:val="heading 1"/>
    <w:basedOn w:val="Normal"/>
    <w:next w:val="Normal"/>
    <w:link w:val="Heading1Char"/>
    <w:uiPriority w:val="9"/>
    <w:qFormat/>
    <w:rsid w:val="00F472B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472B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35DF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2B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F472BF"/>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135DF4"/>
    <w:rPr>
      <w:rFonts w:ascii="Arial" w:eastAsiaTheme="majorEastAsia" w:hAnsi="Arial" w:cstheme="majorBidi"/>
      <w:b/>
      <w:sz w:val="24"/>
      <w:szCs w:val="24"/>
    </w:rPr>
  </w:style>
  <w:style w:type="paragraph" w:styleId="NoSpacing">
    <w:name w:val="No Spacing"/>
    <w:uiPriority w:val="1"/>
    <w:qFormat/>
    <w:rsid w:val="002B2FDD"/>
    <w:pPr>
      <w:spacing w:after="0" w:line="240" w:lineRule="auto"/>
    </w:pPr>
    <w:rPr>
      <w:rFonts w:ascii="Times New Roman" w:hAnsi="Times New Roman"/>
      <w:b/>
      <w:sz w:val="28"/>
      <w:lang w:val="en-US"/>
    </w:rPr>
  </w:style>
  <w:style w:type="paragraph" w:styleId="Header">
    <w:name w:val="header"/>
    <w:basedOn w:val="Normal"/>
    <w:link w:val="HeaderChar"/>
    <w:uiPriority w:val="99"/>
    <w:unhideWhenUsed/>
    <w:rsid w:val="00377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0E1"/>
    <w:rPr>
      <w:rFonts w:ascii="Arial" w:hAnsi="Arial"/>
      <w:sz w:val="24"/>
    </w:rPr>
  </w:style>
  <w:style w:type="paragraph" w:styleId="Footer">
    <w:name w:val="footer"/>
    <w:basedOn w:val="Normal"/>
    <w:link w:val="FooterChar"/>
    <w:uiPriority w:val="99"/>
    <w:unhideWhenUsed/>
    <w:rsid w:val="00377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0E1"/>
    <w:rPr>
      <w:rFonts w:ascii="Arial" w:hAnsi="Arial"/>
      <w:sz w:val="24"/>
    </w:rPr>
  </w:style>
  <w:style w:type="paragraph" w:styleId="NormalWeb">
    <w:name w:val="Normal (Web)"/>
    <w:basedOn w:val="Normal"/>
    <w:uiPriority w:val="99"/>
    <w:semiHidden/>
    <w:unhideWhenUsed/>
    <w:rsid w:val="003770E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3770E1"/>
    <w:rPr>
      <w:i/>
      <w:iCs/>
    </w:rPr>
  </w:style>
  <w:style w:type="character" w:styleId="Hyperlink">
    <w:name w:val="Hyperlink"/>
    <w:basedOn w:val="DefaultParagraphFont"/>
    <w:uiPriority w:val="99"/>
    <w:unhideWhenUsed/>
    <w:rsid w:val="003770E1"/>
    <w:rPr>
      <w:color w:val="0000FF"/>
      <w:u w:val="single"/>
    </w:rPr>
  </w:style>
  <w:style w:type="paragraph" w:styleId="z-TopofForm">
    <w:name w:val="HTML Top of Form"/>
    <w:basedOn w:val="Normal"/>
    <w:next w:val="Normal"/>
    <w:link w:val="z-TopofFormChar"/>
    <w:hidden/>
    <w:uiPriority w:val="99"/>
    <w:semiHidden/>
    <w:unhideWhenUsed/>
    <w:rsid w:val="003770E1"/>
    <w:pPr>
      <w:pBdr>
        <w:bottom w:val="single" w:sz="6" w:space="1" w:color="auto"/>
      </w:pBdr>
      <w:spacing w:after="0"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3770E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770E1"/>
    <w:pPr>
      <w:pBdr>
        <w:top w:val="single" w:sz="6" w:space="1" w:color="auto"/>
      </w:pBdr>
      <w:spacing w:after="0" w:line="240" w:lineRule="auto"/>
      <w:jc w:val="center"/>
    </w:pPr>
    <w:rPr>
      <w:rFonts w:eastAsia="Times New Roman" w:cs="Arial"/>
      <w:vanish/>
      <w:sz w:val="16"/>
      <w:szCs w:val="16"/>
      <w:lang w:eastAsia="en-GB"/>
    </w:rPr>
  </w:style>
  <w:style w:type="character" w:customStyle="1" w:styleId="z-BottomofFormChar">
    <w:name w:val="z-Bottom of Form Char"/>
    <w:basedOn w:val="DefaultParagraphFont"/>
    <w:link w:val="z-BottomofForm"/>
    <w:uiPriority w:val="99"/>
    <w:semiHidden/>
    <w:rsid w:val="003770E1"/>
    <w:rPr>
      <w:rFonts w:ascii="Arial" w:eastAsia="Times New Roman" w:hAnsi="Arial" w:cs="Arial"/>
      <w:vanish/>
      <w:sz w:val="16"/>
      <w:szCs w:val="16"/>
      <w:lang w:eastAsia="en-GB"/>
    </w:rPr>
  </w:style>
  <w:style w:type="paragraph" w:styleId="TOCHeading">
    <w:name w:val="TOC Heading"/>
    <w:basedOn w:val="Heading1"/>
    <w:next w:val="Normal"/>
    <w:uiPriority w:val="39"/>
    <w:unhideWhenUsed/>
    <w:qFormat/>
    <w:rsid w:val="00980BD8"/>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80BD8"/>
    <w:pPr>
      <w:spacing w:after="100"/>
    </w:pPr>
  </w:style>
  <w:style w:type="paragraph" w:styleId="TOC2">
    <w:name w:val="toc 2"/>
    <w:basedOn w:val="Normal"/>
    <w:next w:val="Normal"/>
    <w:autoRedefine/>
    <w:uiPriority w:val="39"/>
    <w:unhideWhenUsed/>
    <w:rsid w:val="00980B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417958">
      <w:bodyDiv w:val="1"/>
      <w:marLeft w:val="0"/>
      <w:marRight w:val="0"/>
      <w:marTop w:val="0"/>
      <w:marBottom w:val="0"/>
      <w:divBdr>
        <w:top w:val="none" w:sz="0" w:space="0" w:color="auto"/>
        <w:left w:val="none" w:sz="0" w:space="0" w:color="auto"/>
        <w:bottom w:val="none" w:sz="0" w:space="0" w:color="auto"/>
        <w:right w:val="none" w:sz="0" w:space="0" w:color="auto"/>
      </w:divBdr>
      <w:divsChild>
        <w:div w:id="1795252630">
          <w:marLeft w:val="0"/>
          <w:marRight w:val="0"/>
          <w:marTop w:val="0"/>
          <w:marBottom w:val="0"/>
          <w:divBdr>
            <w:top w:val="none" w:sz="0" w:space="0" w:color="auto"/>
            <w:left w:val="none" w:sz="0" w:space="0" w:color="auto"/>
            <w:bottom w:val="none" w:sz="0" w:space="0" w:color="auto"/>
            <w:right w:val="none" w:sz="0" w:space="0" w:color="auto"/>
          </w:divBdr>
          <w:divsChild>
            <w:div w:id="1297956975">
              <w:marLeft w:val="0"/>
              <w:marRight w:val="0"/>
              <w:marTop w:val="0"/>
              <w:marBottom w:val="0"/>
              <w:divBdr>
                <w:top w:val="none" w:sz="0" w:space="0" w:color="auto"/>
                <w:left w:val="none" w:sz="0" w:space="0" w:color="auto"/>
                <w:bottom w:val="none" w:sz="0" w:space="0" w:color="auto"/>
                <w:right w:val="none" w:sz="0" w:space="0" w:color="auto"/>
              </w:divBdr>
              <w:divsChild>
                <w:div w:id="247076868">
                  <w:marLeft w:val="0"/>
                  <w:marRight w:val="0"/>
                  <w:marTop w:val="0"/>
                  <w:marBottom w:val="0"/>
                  <w:divBdr>
                    <w:top w:val="none" w:sz="0" w:space="0" w:color="auto"/>
                    <w:left w:val="none" w:sz="0" w:space="0" w:color="auto"/>
                    <w:bottom w:val="none" w:sz="0" w:space="0" w:color="auto"/>
                    <w:right w:val="none" w:sz="0" w:space="0" w:color="auto"/>
                  </w:divBdr>
                  <w:divsChild>
                    <w:div w:id="270939257">
                      <w:marLeft w:val="0"/>
                      <w:marRight w:val="0"/>
                      <w:marTop w:val="0"/>
                      <w:marBottom w:val="0"/>
                      <w:divBdr>
                        <w:top w:val="none" w:sz="0" w:space="0" w:color="auto"/>
                        <w:left w:val="none" w:sz="0" w:space="0" w:color="auto"/>
                        <w:bottom w:val="none" w:sz="0" w:space="0" w:color="auto"/>
                        <w:right w:val="none" w:sz="0" w:space="0" w:color="auto"/>
                      </w:divBdr>
                      <w:divsChild>
                        <w:div w:id="1679578709">
                          <w:marLeft w:val="0"/>
                          <w:marRight w:val="0"/>
                          <w:marTop w:val="0"/>
                          <w:marBottom w:val="0"/>
                          <w:divBdr>
                            <w:top w:val="none" w:sz="0" w:space="0" w:color="auto"/>
                            <w:left w:val="none" w:sz="0" w:space="0" w:color="auto"/>
                            <w:bottom w:val="none" w:sz="0" w:space="0" w:color="auto"/>
                            <w:right w:val="none" w:sz="0" w:space="0" w:color="auto"/>
                          </w:divBdr>
                          <w:divsChild>
                            <w:div w:id="1330668460">
                              <w:marLeft w:val="0"/>
                              <w:marRight w:val="0"/>
                              <w:marTop w:val="0"/>
                              <w:marBottom w:val="0"/>
                              <w:divBdr>
                                <w:top w:val="none" w:sz="0" w:space="0" w:color="auto"/>
                                <w:left w:val="none" w:sz="0" w:space="0" w:color="auto"/>
                                <w:bottom w:val="none" w:sz="0" w:space="0" w:color="auto"/>
                                <w:right w:val="none" w:sz="0" w:space="0" w:color="auto"/>
                              </w:divBdr>
                              <w:divsChild>
                                <w:div w:id="1794053911">
                                  <w:marLeft w:val="0"/>
                                  <w:marRight w:val="0"/>
                                  <w:marTop w:val="0"/>
                                  <w:marBottom w:val="0"/>
                                  <w:divBdr>
                                    <w:top w:val="none" w:sz="0" w:space="0" w:color="auto"/>
                                    <w:left w:val="none" w:sz="0" w:space="0" w:color="auto"/>
                                    <w:bottom w:val="none" w:sz="0" w:space="0" w:color="auto"/>
                                    <w:right w:val="none" w:sz="0" w:space="0" w:color="auto"/>
                                  </w:divBdr>
                                  <w:divsChild>
                                    <w:div w:id="145245301">
                                      <w:marLeft w:val="0"/>
                                      <w:marRight w:val="0"/>
                                      <w:marTop w:val="0"/>
                                      <w:marBottom w:val="0"/>
                                      <w:divBdr>
                                        <w:top w:val="none" w:sz="0" w:space="0" w:color="auto"/>
                                        <w:left w:val="none" w:sz="0" w:space="0" w:color="auto"/>
                                        <w:bottom w:val="none" w:sz="0" w:space="0" w:color="auto"/>
                                        <w:right w:val="none" w:sz="0" w:space="0" w:color="auto"/>
                                      </w:divBdr>
                                      <w:divsChild>
                                        <w:div w:id="1479688537">
                                          <w:marLeft w:val="0"/>
                                          <w:marRight w:val="0"/>
                                          <w:marTop w:val="0"/>
                                          <w:marBottom w:val="0"/>
                                          <w:divBdr>
                                            <w:top w:val="none" w:sz="0" w:space="0" w:color="auto"/>
                                            <w:left w:val="none" w:sz="0" w:space="0" w:color="auto"/>
                                            <w:bottom w:val="none" w:sz="0" w:space="0" w:color="auto"/>
                                            <w:right w:val="none" w:sz="0" w:space="0" w:color="auto"/>
                                          </w:divBdr>
                                          <w:divsChild>
                                            <w:div w:id="71192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7288804">
          <w:marLeft w:val="0"/>
          <w:marRight w:val="0"/>
          <w:marTop w:val="0"/>
          <w:marBottom w:val="0"/>
          <w:divBdr>
            <w:top w:val="none" w:sz="0" w:space="0" w:color="auto"/>
            <w:left w:val="none" w:sz="0" w:space="0" w:color="auto"/>
            <w:bottom w:val="none" w:sz="0" w:space="0" w:color="auto"/>
            <w:right w:val="none" w:sz="0" w:space="0" w:color="auto"/>
          </w:divBdr>
          <w:divsChild>
            <w:div w:id="1472360231">
              <w:marLeft w:val="0"/>
              <w:marRight w:val="0"/>
              <w:marTop w:val="0"/>
              <w:marBottom w:val="0"/>
              <w:divBdr>
                <w:top w:val="none" w:sz="0" w:space="0" w:color="auto"/>
                <w:left w:val="none" w:sz="0" w:space="0" w:color="auto"/>
                <w:bottom w:val="none" w:sz="0" w:space="0" w:color="auto"/>
                <w:right w:val="none" w:sz="0" w:space="0" w:color="auto"/>
              </w:divBdr>
              <w:divsChild>
                <w:div w:id="2039965195">
                  <w:marLeft w:val="0"/>
                  <w:marRight w:val="0"/>
                  <w:marTop w:val="0"/>
                  <w:marBottom w:val="0"/>
                  <w:divBdr>
                    <w:top w:val="none" w:sz="0" w:space="0" w:color="auto"/>
                    <w:left w:val="none" w:sz="0" w:space="0" w:color="auto"/>
                    <w:bottom w:val="none" w:sz="0" w:space="0" w:color="auto"/>
                    <w:right w:val="none" w:sz="0" w:space="0" w:color="auto"/>
                  </w:divBdr>
                  <w:divsChild>
                    <w:div w:id="1289816094">
                      <w:marLeft w:val="0"/>
                      <w:marRight w:val="0"/>
                      <w:marTop w:val="0"/>
                      <w:marBottom w:val="0"/>
                      <w:divBdr>
                        <w:top w:val="none" w:sz="0" w:space="0" w:color="auto"/>
                        <w:left w:val="none" w:sz="0" w:space="0" w:color="auto"/>
                        <w:bottom w:val="none" w:sz="0" w:space="0" w:color="auto"/>
                        <w:right w:val="none" w:sz="0" w:space="0" w:color="auto"/>
                      </w:divBdr>
                      <w:divsChild>
                        <w:div w:id="332998877">
                          <w:marLeft w:val="0"/>
                          <w:marRight w:val="0"/>
                          <w:marTop w:val="0"/>
                          <w:marBottom w:val="0"/>
                          <w:divBdr>
                            <w:top w:val="none" w:sz="0" w:space="0" w:color="auto"/>
                            <w:left w:val="none" w:sz="0" w:space="0" w:color="auto"/>
                            <w:bottom w:val="none" w:sz="0" w:space="0" w:color="auto"/>
                            <w:right w:val="none" w:sz="0" w:space="0" w:color="auto"/>
                          </w:divBdr>
                          <w:divsChild>
                            <w:div w:id="1443186683">
                              <w:marLeft w:val="0"/>
                              <w:marRight w:val="0"/>
                              <w:marTop w:val="0"/>
                              <w:marBottom w:val="0"/>
                              <w:divBdr>
                                <w:top w:val="none" w:sz="0" w:space="0" w:color="auto"/>
                                <w:left w:val="none" w:sz="0" w:space="0" w:color="auto"/>
                                <w:bottom w:val="none" w:sz="0" w:space="0" w:color="auto"/>
                                <w:right w:val="none" w:sz="0" w:space="0" w:color="auto"/>
                              </w:divBdr>
                              <w:divsChild>
                                <w:div w:id="777141598">
                                  <w:marLeft w:val="0"/>
                                  <w:marRight w:val="0"/>
                                  <w:marTop w:val="0"/>
                                  <w:marBottom w:val="0"/>
                                  <w:divBdr>
                                    <w:top w:val="none" w:sz="0" w:space="0" w:color="auto"/>
                                    <w:left w:val="none" w:sz="0" w:space="0" w:color="auto"/>
                                    <w:bottom w:val="none" w:sz="0" w:space="0" w:color="auto"/>
                                    <w:right w:val="none" w:sz="0" w:space="0" w:color="auto"/>
                                  </w:divBdr>
                                  <w:divsChild>
                                    <w:div w:id="1297643559">
                                      <w:marLeft w:val="0"/>
                                      <w:marRight w:val="0"/>
                                      <w:marTop w:val="0"/>
                                      <w:marBottom w:val="0"/>
                                      <w:divBdr>
                                        <w:top w:val="none" w:sz="0" w:space="0" w:color="auto"/>
                                        <w:left w:val="none" w:sz="0" w:space="0" w:color="auto"/>
                                        <w:bottom w:val="none" w:sz="0" w:space="0" w:color="auto"/>
                                        <w:right w:val="none" w:sz="0" w:space="0" w:color="auto"/>
                                      </w:divBdr>
                                      <w:divsChild>
                                        <w:div w:id="1903980243">
                                          <w:marLeft w:val="0"/>
                                          <w:marRight w:val="0"/>
                                          <w:marTop w:val="0"/>
                                          <w:marBottom w:val="0"/>
                                          <w:divBdr>
                                            <w:top w:val="none" w:sz="0" w:space="0" w:color="auto"/>
                                            <w:left w:val="none" w:sz="0" w:space="0" w:color="auto"/>
                                            <w:bottom w:val="none" w:sz="0" w:space="0" w:color="auto"/>
                                            <w:right w:val="none" w:sz="0" w:space="0" w:color="auto"/>
                                          </w:divBdr>
                                          <w:divsChild>
                                            <w:div w:id="990476323">
                                              <w:marLeft w:val="0"/>
                                              <w:marRight w:val="0"/>
                                              <w:marTop w:val="0"/>
                                              <w:marBottom w:val="0"/>
                                              <w:divBdr>
                                                <w:top w:val="none" w:sz="0" w:space="0" w:color="auto"/>
                                                <w:left w:val="none" w:sz="0" w:space="0" w:color="auto"/>
                                                <w:bottom w:val="none" w:sz="0" w:space="0" w:color="auto"/>
                                                <w:right w:val="none" w:sz="0" w:space="0" w:color="auto"/>
                                              </w:divBdr>
                                              <w:divsChild>
                                                <w:div w:id="1122727419">
                                                  <w:marLeft w:val="0"/>
                                                  <w:marRight w:val="0"/>
                                                  <w:marTop w:val="0"/>
                                                  <w:marBottom w:val="0"/>
                                                  <w:divBdr>
                                                    <w:top w:val="none" w:sz="0" w:space="0" w:color="auto"/>
                                                    <w:left w:val="none" w:sz="0" w:space="0" w:color="auto"/>
                                                    <w:bottom w:val="none" w:sz="0" w:space="0" w:color="auto"/>
                                                    <w:right w:val="none" w:sz="0" w:space="0" w:color="auto"/>
                                                  </w:divBdr>
                                                  <w:divsChild>
                                                    <w:div w:id="124756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rmr.2019.100705" TargetMode="External" /><Relationship Id="rId13" Type="http://schemas.openxmlformats.org/officeDocument/2006/relationships/hyperlink" Target="https://www.ilo.org/publications/flagship-reports/world-employment-and-social-outlook-trends-2025" TargetMode="External" /><Relationship Id="rId18" Type="http://schemas.openxmlformats.org/officeDocument/2006/relationships/hyperlink" Target="https://doi.org/10.1177/0008125619867910" TargetMode="External" /><Relationship Id="rId3" Type="http://schemas.openxmlformats.org/officeDocument/2006/relationships/settings" Target="settings.xml" /><Relationship Id="rId21" Type="http://schemas.openxmlformats.org/officeDocument/2006/relationships/hyperlink" Target="https://www.pearson.com/en-gb/subject-catalog/p/exploring-strategy-text-and-cases/P200000007156" TargetMode="External" /><Relationship Id="rId7" Type="http://schemas.openxmlformats.org/officeDocument/2006/relationships/hyperlink" Target="https://books.google.com/books?id=3oChEAAAQBAJ" TargetMode="External" /><Relationship Id="rId12" Type="http://schemas.openxmlformats.org/officeDocument/2006/relationships/hyperlink" Target="https://doi.org/10.3389/fpsyg.2024.1360401?utm_source=chatgpt.com" TargetMode="External" /><Relationship Id="rId17" Type="http://schemas.openxmlformats.org/officeDocument/2006/relationships/hyperlink" Target="https://doi.org/10.1111/1748-8583.12357" TargetMode="External" /><Relationship Id="rId2" Type="http://schemas.openxmlformats.org/officeDocument/2006/relationships/styles" Target="styles.xml" /><Relationship Id="rId16" Type="http://schemas.openxmlformats.org/officeDocument/2006/relationships/hyperlink" Target="https://doi.org/10.1007/s10490-017-9532-1" TargetMode="External" /><Relationship Id="rId20" Type="http://schemas.openxmlformats.org/officeDocument/2006/relationships/hyperlink" Target="https://www.unilever.com/files/unilever-annual-report-and-accounts-2025.pdf?utm_source=chatgpt.com"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80/09585192.2024.2320768?utm_source=chatgpt.com"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1787/ac8b3538-en" TargetMode="External" /><Relationship Id="rId23" Type="http://schemas.openxmlformats.org/officeDocument/2006/relationships/fontTable" Target="fontTable.xml" /><Relationship Id="rId10" Type="http://schemas.openxmlformats.org/officeDocument/2006/relationships/hyperlink" Target="https://doi.org/10.1080/09585192.2022.2035161?utm_source=chatgpt.com" TargetMode="External" /><Relationship Id="rId19" Type="http://schemas.openxmlformats.org/officeDocument/2006/relationships/hyperlink" Target="https://www.unilever.com/files/8b5df5f6-cb90-40fd-9691-38d06905d81d/unilever-climate-transition-action-plan-updated-2024.pdf?utm_source=chatgpt.com" TargetMode="External" /><Relationship Id="rId4" Type="http://schemas.openxmlformats.org/officeDocument/2006/relationships/webSettings" Target="webSettings.xml" /><Relationship Id="rId9" Type="http://schemas.openxmlformats.org/officeDocument/2006/relationships/hyperlink" Target="https://www.koganpage.com/hr-learning-development/international-human-resource-management-9781398603530?utm_source=chatgpt.com" TargetMode="External" /><Relationship Id="rId14" Type="http://schemas.openxmlformats.org/officeDocument/2006/relationships/hyperlink" Target="https://doi.org/10.1057/s41291-022-00208-z"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F7976-B8AE-4509-A618-A92B5C61D5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3055</Words>
  <Characters>17417</Characters>
  <Application>Microsoft Office Word</Application>
  <DocSecurity>0</DocSecurity>
  <Lines>145</Lines>
  <Paragraphs>40</Paragraphs>
  <ScaleCrop>false</ScaleCrop>
  <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svc</dc:creator>
  <cp:keywords/>
  <dc:description/>
  <cp:lastModifiedBy>Eugen Roca</cp:lastModifiedBy>
  <cp:revision>2</cp:revision>
  <dcterms:created xsi:type="dcterms:W3CDTF">2026-07-22T19:03:00Z</dcterms:created>
  <dcterms:modified xsi:type="dcterms:W3CDTF">2026-07-22T19:03:00Z</dcterms:modified>
</cp:coreProperties>
</file>