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b/>
          <w:lang w:val="en-GB"/>
        </w:rPr>
      </w:pPr>
    </w:p>
    <w:p>
      <w:pPr>
        <w:jc w:val="center"/>
        <w:rPr>
          <w:b/>
          <w:lang w:val="en-GB"/>
        </w:rPr>
      </w:pPr>
    </w:p>
    <w:p>
      <w:pPr>
        <w:jc w:val="center"/>
        <w:rPr>
          <w:b/>
          <w:lang w:val="en-GB"/>
        </w:rPr>
      </w:pPr>
    </w:p>
    <w:p>
      <w:pPr>
        <w:jc w:val="center"/>
        <w:rPr>
          <w:b/>
          <w:lang w:val="en-GB"/>
        </w:rPr>
      </w:pPr>
    </w:p>
    <w:p>
      <w:pPr>
        <w:jc w:val="center"/>
        <w:rPr>
          <w:b/>
          <w:lang w:val="en-GB"/>
        </w:rPr>
      </w:pPr>
    </w:p>
    <w:p>
      <w:pPr>
        <w:jc w:val="center"/>
        <w:rPr>
          <w:b/>
          <w:lang w:val="en-GB"/>
        </w:rPr>
      </w:pPr>
    </w:p>
    <w:p>
      <w:pPr>
        <w:jc w:val="center"/>
        <w:rPr>
          <w:b/>
          <w:lang w:val="en-GB"/>
        </w:rPr>
      </w:pPr>
    </w:p>
    <w:p>
      <w:pPr>
        <w:jc w:val="center"/>
        <w:rPr>
          <w:b/>
          <w:lang w:val="en-GB"/>
        </w:rPr>
      </w:pPr>
      <w:r>
        <w:rPr>
          <w:b/>
          <w:lang w:val="en-GB"/>
        </w:rPr>
        <w:t>GLOBAL CSR- CLIMATE ACTION</w:t>
      </w:r>
    </w:p>
    <w:p>
      <w:pPr>
        <w:jc w:val="center"/>
        <w:rPr>
          <w:b/>
          <w:lang w:val="en-GB"/>
        </w:rPr>
      </w:pPr>
    </w:p>
    <w:p>
      <w:pPr>
        <w:spacing w:after="160" w:line="259" w:lineRule="auto"/>
        <w:jc w:val="center"/>
        <w:rPr>
          <w:rFonts w:hint="default"/>
          <w:i/>
          <w:iCs/>
          <w:lang w:val="en-IE"/>
        </w:rPr>
      </w:pPr>
      <w:r>
        <w:rPr>
          <w:lang w:val="en-GB"/>
        </w:rPr>
        <w:t>Student Name</w:t>
      </w:r>
      <w:r>
        <w:rPr>
          <w:rFonts w:hint="default"/>
          <w:lang w:val="en-IE"/>
        </w:rPr>
        <w:t>: Zilai Wang</w:t>
      </w:r>
    </w:p>
    <w:p>
      <w:pPr>
        <w:spacing w:after="160" w:line="259" w:lineRule="auto"/>
        <w:jc w:val="center"/>
        <w:rPr>
          <w:b w:val="0"/>
          <w:bCs w:val="0"/>
          <w:lang w:val="en-GB"/>
        </w:rPr>
      </w:pPr>
    </w:p>
    <w:p>
      <w:pPr>
        <w:jc w:val="center"/>
        <w:rPr>
          <w:rFonts w:hint="default"/>
          <w:b w:val="0"/>
          <w:bCs w:val="0"/>
          <w:lang w:val="en-IE"/>
        </w:rPr>
      </w:pPr>
      <w:r>
        <w:rPr>
          <w:rFonts w:hint="default"/>
          <w:b w:val="0"/>
          <w:bCs w:val="0"/>
          <w:lang w:val="en-IE"/>
        </w:rPr>
        <w:t>Student Number: 1903231</w:t>
      </w:r>
    </w:p>
    <w:p>
      <w:pPr>
        <w:jc w:val="center"/>
        <w:rPr>
          <w:rFonts w:hint="default"/>
          <w:b w:val="0"/>
          <w:bCs w:val="0"/>
          <w:lang w:val="en-IE"/>
        </w:rPr>
      </w:pPr>
    </w:p>
    <w:p>
      <w:pPr>
        <w:jc w:val="center"/>
        <w:rPr>
          <w:b/>
          <w:lang w:val="en-GB"/>
        </w:rPr>
      </w:pPr>
    </w:p>
    <w:p>
      <w:pPr>
        <w:jc w:val="center"/>
        <w:rPr>
          <w:b/>
          <w:lang w:val="en-GB"/>
        </w:rPr>
      </w:pPr>
    </w:p>
    <w:p>
      <w:pPr>
        <w:jc w:val="center"/>
        <w:rPr>
          <w:b/>
          <w:lang w:val="en-GB"/>
        </w:rPr>
      </w:pPr>
    </w:p>
    <w:p>
      <w:pPr>
        <w:jc w:val="center"/>
        <w:rPr>
          <w:b/>
          <w:lang w:val="en-GB"/>
        </w:rPr>
      </w:pPr>
    </w:p>
    <w:p>
      <w:pPr>
        <w:jc w:val="center"/>
        <w:rPr>
          <w:b/>
          <w:lang w:val="en-GB"/>
        </w:rPr>
      </w:pPr>
    </w:p>
    <w:p>
      <w:pPr>
        <w:jc w:val="center"/>
        <w:rPr>
          <w:b/>
          <w:lang w:val="en-GB"/>
        </w:rPr>
      </w:pPr>
    </w:p>
    <w:p>
      <w:pPr>
        <w:jc w:val="center"/>
        <w:rPr>
          <w:b/>
          <w:lang w:val="en-GB"/>
        </w:rPr>
      </w:pPr>
    </w:p>
    <w:p>
      <w:pPr>
        <w:jc w:val="center"/>
        <w:rPr>
          <w:b/>
          <w:lang w:val="en-GB"/>
        </w:rPr>
      </w:pPr>
    </w:p>
    <w:p>
      <w:pPr>
        <w:jc w:val="center"/>
        <w:rPr>
          <w:b/>
          <w:lang w:val="en-GB"/>
        </w:rPr>
      </w:pPr>
    </w:p>
    <w:p>
      <w:pPr>
        <w:jc w:val="center"/>
        <w:rPr>
          <w:b/>
          <w:lang w:val="en-GB"/>
        </w:rPr>
      </w:pPr>
    </w:p>
    <w:p>
      <w:pPr>
        <w:jc w:val="center"/>
        <w:rPr>
          <w:b/>
          <w:lang w:val="en-GB"/>
        </w:rPr>
      </w:pPr>
    </w:p>
    <w:p>
      <w:pPr>
        <w:jc w:val="center"/>
        <w:rPr>
          <w:b/>
          <w:lang w:val="en-GB"/>
        </w:rPr>
      </w:pPr>
    </w:p>
    <w:sdt>
      <w:sdtPr>
        <w:rPr>
          <w:rFonts w:ascii="Times New Roman" w:hAnsi="Times New Roman" w:cs="Times New Roman" w:eastAsiaTheme="minorHAnsi"/>
          <w:b/>
          <w:color w:val="auto"/>
          <w:sz w:val="24"/>
          <w:szCs w:val="24"/>
          <w:lang w:val="en-GB"/>
        </w:rPr>
        <w:id w:val="-425886182"/>
        <w:docPartObj>
          <w:docPartGallery w:val="Table of Contents"/>
          <w:docPartUnique/>
        </w:docPartObj>
      </w:sdtPr>
      <w:sdtEndPr>
        <w:rPr>
          <w:rFonts w:ascii="Times New Roman" w:hAnsi="Times New Roman" w:eastAsiaTheme="minorHAnsi" w:cstheme="minorBidi"/>
          <w:b/>
          <w:bCs/>
          <w:color w:val="auto"/>
          <w:sz w:val="24"/>
          <w:szCs w:val="22"/>
          <w:lang w:val="en-GB"/>
        </w:rPr>
      </w:sdtEndPr>
      <w:sdtContent>
        <w:p>
          <w:pPr>
            <w:pStyle w:val="22"/>
            <w:spacing w:line="360" w:lineRule="auto"/>
            <w:rPr>
              <w:rFonts w:ascii="Times New Roman" w:hAnsi="Times New Roman" w:cs="Times New Roman"/>
              <w:b/>
              <w:color w:val="auto"/>
              <w:sz w:val="24"/>
              <w:szCs w:val="24"/>
              <w:lang w:val="en-GB"/>
            </w:rPr>
          </w:pPr>
          <w:r>
            <w:rPr>
              <w:rFonts w:ascii="Times New Roman" w:hAnsi="Times New Roman" w:cs="Times New Roman"/>
              <w:b/>
              <w:color w:val="auto"/>
              <w:sz w:val="24"/>
              <w:szCs w:val="24"/>
              <w:lang w:val="en-GB"/>
            </w:rPr>
            <w:t>TABLE OF CONTENTS</w:t>
          </w:r>
        </w:p>
        <w:p>
          <w:pPr>
            <w:pStyle w:val="9"/>
            <w:tabs>
              <w:tab w:val="right" w:leader="dot" w:pos="9016"/>
            </w:tabs>
            <w:rPr>
              <w:rFonts w:asciiTheme="minorHAnsi" w:hAnsiTheme="minorHAnsi" w:eastAsiaTheme="minorEastAsia"/>
              <w:sz w:val="22"/>
              <w:lang w:val="en-US"/>
            </w:rPr>
          </w:pPr>
          <w:r>
            <w:rPr>
              <w:lang w:val="en-GB"/>
            </w:rPr>
            <w:fldChar w:fldCharType="begin"/>
          </w:r>
          <w:r>
            <w:rPr>
              <w:lang w:val="en-GB"/>
            </w:rPr>
            <w:instrText xml:space="preserve"> TOC \o "1-3" \h \z \u </w:instrText>
          </w:r>
          <w:r>
            <w:rPr>
              <w:lang w:val="en-GB"/>
            </w:rPr>
            <w:fldChar w:fldCharType="separate"/>
          </w:r>
          <w:r>
            <w:fldChar w:fldCharType="begin"/>
          </w:r>
          <w:r>
            <w:instrText xml:space="preserve"> HYPERLINK \l "_Toc39780707" </w:instrText>
          </w:r>
          <w:r>
            <w:fldChar w:fldCharType="separate"/>
          </w:r>
          <w:r>
            <w:rPr>
              <w:rStyle w:val="14"/>
              <w:lang w:val="en-GB"/>
            </w:rPr>
            <w:t>EXECUTIVE SUMMARY</w:t>
          </w:r>
          <w:r>
            <w:tab/>
          </w:r>
          <w:r>
            <w:fldChar w:fldCharType="begin"/>
          </w:r>
          <w:r>
            <w:instrText xml:space="preserve"> PAGEREF _Toc39780707 \h </w:instrText>
          </w:r>
          <w:r>
            <w:fldChar w:fldCharType="separate"/>
          </w:r>
          <w:r>
            <w:t>1</w:t>
          </w:r>
          <w:r>
            <w:fldChar w:fldCharType="end"/>
          </w:r>
          <w:r>
            <w:fldChar w:fldCharType="end"/>
          </w:r>
        </w:p>
        <w:p>
          <w:pPr>
            <w:pStyle w:val="9"/>
            <w:tabs>
              <w:tab w:val="right" w:leader="dot" w:pos="9016"/>
            </w:tabs>
            <w:rPr>
              <w:rFonts w:asciiTheme="minorHAnsi" w:hAnsiTheme="minorHAnsi" w:eastAsiaTheme="minorEastAsia"/>
              <w:sz w:val="22"/>
              <w:lang w:val="en-US"/>
            </w:rPr>
          </w:pPr>
          <w:r>
            <w:fldChar w:fldCharType="begin"/>
          </w:r>
          <w:r>
            <w:instrText xml:space="preserve"> HYPERLINK \l "_Toc39780708" </w:instrText>
          </w:r>
          <w:r>
            <w:fldChar w:fldCharType="separate"/>
          </w:r>
          <w:r>
            <w:rPr>
              <w:rStyle w:val="14"/>
              <w:lang w:val="en-GB"/>
            </w:rPr>
            <w:t>1: INTRODUCTION</w:t>
          </w:r>
          <w:r>
            <w:tab/>
          </w:r>
          <w:r>
            <w:fldChar w:fldCharType="begin"/>
          </w:r>
          <w:r>
            <w:instrText xml:space="preserve"> PAGEREF _Toc39780708 \h </w:instrText>
          </w:r>
          <w:r>
            <w:fldChar w:fldCharType="separate"/>
          </w:r>
          <w:r>
            <w:t>2</w:t>
          </w:r>
          <w:r>
            <w:fldChar w:fldCharType="end"/>
          </w:r>
          <w:r>
            <w:fldChar w:fldCharType="end"/>
          </w:r>
        </w:p>
        <w:p>
          <w:pPr>
            <w:pStyle w:val="9"/>
            <w:tabs>
              <w:tab w:val="right" w:leader="dot" w:pos="9016"/>
            </w:tabs>
            <w:rPr>
              <w:rFonts w:asciiTheme="minorHAnsi" w:hAnsiTheme="minorHAnsi" w:eastAsiaTheme="minorEastAsia"/>
              <w:sz w:val="22"/>
              <w:lang w:val="en-US"/>
            </w:rPr>
          </w:pPr>
          <w:r>
            <w:fldChar w:fldCharType="begin"/>
          </w:r>
          <w:r>
            <w:instrText xml:space="preserve"> HYPERLINK \l "_Toc39780709" </w:instrText>
          </w:r>
          <w:r>
            <w:fldChar w:fldCharType="separate"/>
          </w:r>
          <w:r>
            <w:rPr>
              <w:rStyle w:val="14"/>
              <w:lang w:val="en-GB"/>
            </w:rPr>
            <w:t>2: METHOD</w:t>
          </w:r>
          <w:r>
            <w:tab/>
          </w:r>
          <w:r>
            <w:fldChar w:fldCharType="begin"/>
          </w:r>
          <w:r>
            <w:instrText xml:space="preserve"> PAGEREF _Toc39780709 \h </w:instrText>
          </w:r>
          <w:r>
            <w:fldChar w:fldCharType="separate"/>
          </w:r>
          <w:r>
            <w:t>2</w:t>
          </w:r>
          <w:r>
            <w:fldChar w:fldCharType="end"/>
          </w:r>
          <w:r>
            <w:fldChar w:fldCharType="end"/>
          </w:r>
        </w:p>
        <w:p>
          <w:pPr>
            <w:pStyle w:val="9"/>
            <w:tabs>
              <w:tab w:val="right" w:leader="dot" w:pos="9016"/>
            </w:tabs>
            <w:rPr>
              <w:rFonts w:asciiTheme="minorHAnsi" w:hAnsiTheme="minorHAnsi" w:eastAsiaTheme="minorEastAsia"/>
              <w:sz w:val="22"/>
              <w:lang w:val="en-US"/>
            </w:rPr>
          </w:pPr>
          <w:r>
            <w:fldChar w:fldCharType="begin"/>
          </w:r>
          <w:r>
            <w:instrText xml:space="preserve"> HYPERLINK \l "_Toc39780710" </w:instrText>
          </w:r>
          <w:r>
            <w:fldChar w:fldCharType="separate"/>
          </w:r>
          <w:r>
            <w:rPr>
              <w:rStyle w:val="14"/>
              <w:lang w:val="en-GB"/>
            </w:rPr>
            <w:t>3: FINDINGS</w:t>
          </w:r>
          <w:r>
            <w:tab/>
          </w:r>
          <w:r>
            <w:fldChar w:fldCharType="begin"/>
          </w:r>
          <w:r>
            <w:instrText xml:space="preserve"> PAGEREF _Toc39780710 \h </w:instrText>
          </w:r>
          <w:r>
            <w:fldChar w:fldCharType="separate"/>
          </w:r>
          <w:r>
            <w:t>2</w:t>
          </w:r>
          <w:r>
            <w:fldChar w:fldCharType="end"/>
          </w:r>
          <w:r>
            <w:fldChar w:fldCharType="end"/>
          </w:r>
        </w:p>
        <w:p>
          <w:pPr>
            <w:pStyle w:val="9"/>
            <w:tabs>
              <w:tab w:val="right" w:leader="dot" w:pos="9016"/>
            </w:tabs>
            <w:rPr>
              <w:rFonts w:asciiTheme="minorHAnsi" w:hAnsiTheme="minorHAnsi" w:eastAsiaTheme="minorEastAsia"/>
              <w:sz w:val="22"/>
              <w:lang w:val="en-US"/>
            </w:rPr>
          </w:pPr>
          <w:r>
            <w:fldChar w:fldCharType="begin"/>
          </w:r>
          <w:r>
            <w:instrText xml:space="preserve"> HYPERLINK \l "_Toc39780711" </w:instrText>
          </w:r>
          <w:r>
            <w:fldChar w:fldCharType="separate"/>
          </w:r>
          <w:r>
            <w:rPr>
              <w:rStyle w:val="14"/>
              <w:lang w:val="en-GB"/>
            </w:rPr>
            <w:t>4: DISCUSSION</w:t>
          </w:r>
          <w:r>
            <w:tab/>
          </w:r>
          <w:r>
            <w:fldChar w:fldCharType="begin"/>
          </w:r>
          <w:r>
            <w:instrText xml:space="preserve"> PAGEREF _Toc39780711 \h </w:instrText>
          </w:r>
          <w:r>
            <w:fldChar w:fldCharType="separate"/>
          </w:r>
          <w:r>
            <w:t>6</w:t>
          </w:r>
          <w:r>
            <w:fldChar w:fldCharType="end"/>
          </w:r>
          <w:r>
            <w:fldChar w:fldCharType="end"/>
          </w:r>
        </w:p>
        <w:p>
          <w:pPr>
            <w:pStyle w:val="9"/>
            <w:tabs>
              <w:tab w:val="right" w:leader="dot" w:pos="9016"/>
            </w:tabs>
            <w:rPr>
              <w:rFonts w:asciiTheme="minorHAnsi" w:hAnsiTheme="minorHAnsi" w:eastAsiaTheme="minorEastAsia"/>
              <w:sz w:val="22"/>
              <w:lang w:val="en-US"/>
            </w:rPr>
          </w:pPr>
          <w:r>
            <w:fldChar w:fldCharType="begin"/>
          </w:r>
          <w:r>
            <w:instrText xml:space="preserve"> HYPERLINK \l "_Toc39780712" </w:instrText>
          </w:r>
          <w:r>
            <w:fldChar w:fldCharType="separate"/>
          </w:r>
          <w:r>
            <w:rPr>
              <w:rStyle w:val="14"/>
              <w:lang w:val="en-GB"/>
            </w:rPr>
            <w:t>5: CONCLUSION</w:t>
          </w:r>
          <w:r>
            <w:tab/>
          </w:r>
          <w:r>
            <w:fldChar w:fldCharType="begin"/>
          </w:r>
          <w:r>
            <w:instrText xml:space="preserve"> PAGEREF _Toc39780712 \h </w:instrText>
          </w:r>
          <w:r>
            <w:fldChar w:fldCharType="separate"/>
          </w:r>
          <w:r>
            <w:t>7</w:t>
          </w:r>
          <w:r>
            <w:fldChar w:fldCharType="end"/>
          </w:r>
          <w:r>
            <w:fldChar w:fldCharType="end"/>
          </w:r>
        </w:p>
        <w:p>
          <w:pPr>
            <w:pStyle w:val="9"/>
            <w:tabs>
              <w:tab w:val="right" w:leader="dot" w:pos="9016"/>
            </w:tabs>
            <w:rPr>
              <w:rFonts w:asciiTheme="minorHAnsi" w:hAnsiTheme="minorHAnsi" w:eastAsiaTheme="minorEastAsia"/>
              <w:sz w:val="22"/>
              <w:lang w:val="en-US"/>
            </w:rPr>
          </w:pPr>
          <w:r>
            <w:fldChar w:fldCharType="begin"/>
          </w:r>
          <w:r>
            <w:instrText xml:space="preserve"> HYPERLINK \l "_Toc39780713" </w:instrText>
          </w:r>
          <w:r>
            <w:fldChar w:fldCharType="separate"/>
          </w:r>
          <w:r>
            <w:rPr>
              <w:rStyle w:val="14"/>
              <w:lang w:val="en-GB"/>
            </w:rPr>
            <w:t>6: RECOMMENDATIONS</w:t>
          </w:r>
          <w:r>
            <w:tab/>
          </w:r>
          <w:r>
            <w:fldChar w:fldCharType="begin"/>
          </w:r>
          <w:r>
            <w:instrText xml:space="preserve"> PAGEREF _Toc39780713 \h </w:instrText>
          </w:r>
          <w:r>
            <w:fldChar w:fldCharType="separate"/>
          </w:r>
          <w:r>
            <w:t>8</w:t>
          </w:r>
          <w:r>
            <w:fldChar w:fldCharType="end"/>
          </w:r>
          <w:r>
            <w:fldChar w:fldCharType="end"/>
          </w:r>
        </w:p>
        <w:p>
          <w:pPr>
            <w:pStyle w:val="9"/>
            <w:tabs>
              <w:tab w:val="right" w:leader="dot" w:pos="9016"/>
            </w:tabs>
            <w:rPr>
              <w:rFonts w:asciiTheme="minorHAnsi" w:hAnsiTheme="minorHAnsi" w:eastAsiaTheme="minorEastAsia"/>
              <w:sz w:val="22"/>
              <w:lang w:val="en-US"/>
            </w:rPr>
          </w:pPr>
          <w:r>
            <w:fldChar w:fldCharType="begin"/>
          </w:r>
          <w:r>
            <w:instrText xml:space="preserve"> HYPERLINK \l "_Toc39780714" </w:instrText>
          </w:r>
          <w:r>
            <w:fldChar w:fldCharType="separate"/>
          </w:r>
          <w:r>
            <w:rPr>
              <w:rStyle w:val="14"/>
              <w:lang w:val="en-GB"/>
            </w:rPr>
            <w:t>REFERENCES</w:t>
          </w:r>
          <w:r>
            <w:tab/>
          </w:r>
          <w:r>
            <w:fldChar w:fldCharType="begin"/>
          </w:r>
          <w:r>
            <w:instrText xml:space="preserve"> PAGEREF _Toc39780714 \h </w:instrText>
          </w:r>
          <w:r>
            <w:fldChar w:fldCharType="separate"/>
          </w:r>
          <w:r>
            <w:t>9</w:t>
          </w:r>
          <w:r>
            <w:fldChar w:fldCharType="end"/>
          </w:r>
          <w:r>
            <w:fldChar w:fldCharType="end"/>
          </w:r>
        </w:p>
        <w:p>
          <w:pPr>
            <w:rPr>
              <w:lang w:val="en-GB"/>
            </w:rPr>
          </w:pPr>
          <w:r>
            <w:rPr>
              <w:b/>
              <w:bCs/>
              <w:lang w:val="en-GB"/>
            </w:rPr>
            <w:fldChar w:fldCharType="end"/>
          </w:r>
        </w:p>
      </w:sdtContent>
    </w:sdt>
    <w:p>
      <w:pPr>
        <w:rPr>
          <w:b/>
          <w:color w:val="C00000"/>
          <w:lang w:val="en-GB"/>
        </w:rPr>
      </w:pPr>
    </w:p>
    <w:p>
      <w:pPr>
        <w:rPr>
          <w:b/>
          <w:color w:val="C00000"/>
          <w:lang w:val="en-GB"/>
        </w:rPr>
      </w:pPr>
    </w:p>
    <w:p>
      <w:pPr>
        <w:rPr>
          <w:b/>
          <w:color w:val="C00000"/>
          <w:lang w:val="en-GB"/>
        </w:rPr>
      </w:pPr>
      <w:bookmarkStart w:id="8" w:name="_GoBack"/>
      <w:bookmarkEnd w:id="8"/>
    </w:p>
    <w:p>
      <w:pPr>
        <w:pStyle w:val="2"/>
        <w:rPr>
          <w:lang w:val="en-GB"/>
        </w:rPr>
      </w:pPr>
      <w:bookmarkStart w:id="0" w:name="_Toc39780707"/>
    </w:p>
    <w:p>
      <w:pPr>
        <w:pStyle w:val="2"/>
        <w:rPr>
          <w:lang w:val="en-GB"/>
        </w:rPr>
      </w:pPr>
    </w:p>
    <w:p>
      <w:pPr>
        <w:pStyle w:val="2"/>
        <w:rPr>
          <w:lang w:val="en-GB"/>
        </w:rPr>
      </w:pPr>
    </w:p>
    <w:p>
      <w:pPr>
        <w:pStyle w:val="2"/>
        <w:rPr>
          <w:lang w:val="en-GB"/>
        </w:rPr>
      </w:pPr>
    </w:p>
    <w:p>
      <w:pPr>
        <w:pStyle w:val="2"/>
        <w:rPr>
          <w:lang w:val="en-GB"/>
        </w:rPr>
      </w:pPr>
    </w:p>
    <w:p>
      <w:pPr>
        <w:pStyle w:val="2"/>
        <w:rPr>
          <w:lang w:val="en-GB"/>
        </w:rPr>
      </w:pPr>
    </w:p>
    <w:p>
      <w:pPr>
        <w:rPr>
          <w:lang w:val="en-GB"/>
        </w:rPr>
      </w:pPr>
    </w:p>
    <w:p>
      <w:pPr>
        <w:rPr>
          <w:lang w:val="en-GB"/>
        </w:rPr>
      </w:pPr>
    </w:p>
    <w:p>
      <w:pPr>
        <w:pStyle w:val="2"/>
        <w:rPr>
          <w:lang w:val="en-GB"/>
        </w:rPr>
        <w:sectPr>
          <w:headerReference r:id="rId4" w:type="first"/>
          <w:headerReference r:id="rId3" w:type="default"/>
          <w:footerReference r:id="rId5" w:type="default"/>
          <w:pgSz w:w="11906" w:h="16838"/>
          <w:pgMar w:top="1440" w:right="1440" w:bottom="1440" w:left="1440" w:header="708" w:footer="708" w:gutter="0"/>
          <w:pgNumType w:fmt="decimal"/>
          <w:cols w:space="708" w:num="1"/>
          <w:titlePg/>
          <w:docGrid w:linePitch="360" w:charSpace="0"/>
        </w:sectPr>
      </w:pPr>
    </w:p>
    <w:p>
      <w:pPr>
        <w:rPr>
          <w:lang w:val="en-GB"/>
        </w:rPr>
      </w:pPr>
    </w:p>
    <w:p>
      <w:pPr>
        <w:pStyle w:val="2"/>
        <w:rPr>
          <w:lang w:val="en-GB"/>
        </w:rPr>
      </w:pPr>
    </w:p>
    <w:p>
      <w:pPr>
        <w:pStyle w:val="2"/>
        <w:rPr>
          <w:lang w:val="en-GB"/>
        </w:rPr>
      </w:pPr>
      <w:r>
        <w:rPr>
          <w:lang w:val="en-GB"/>
        </w:rPr>
        <w:t>EXECUTIVE SUMMARY</w:t>
      </w:r>
      <w:bookmarkEnd w:id="0"/>
    </w:p>
    <w:p>
      <w:pPr>
        <w:jc w:val="both"/>
      </w:pPr>
      <w:r>
        <w:rPr>
          <w:rFonts w:eastAsia="Times New Roman"/>
        </w:rPr>
        <w:t xml:space="preserve">Urgent actions need to be taken by the world to alleviate and reverse the consequences of global warming. Climate change impacts economic, social and environmental development of the country. It is important for countries to take necessary action on global, national and regional levels so that climate change action goals are achieved. The role and importance of public sector bodies in encouraging climate change action is evaluated in the following report. The findings of the report indicate that several initiatives taken by different public sector bodies have made a significant impact on sustainable development. The report concludes by summarizing the findings and identifying areas of improvement. </w:t>
      </w: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pStyle w:val="2"/>
        <w:jc w:val="both"/>
        <w:rPr>
          <w:lang w:val="en-GB"/>
        </w:rPr>
      </w:pPr>
      <w:bookmarkStart w:id="1" w:name="_Toc39780708"/>
      <w:r>
        <w:rPr>
          <w:lang w:val="en-GB"/>
        </w:rPr>
        <w:t>1: INTRODUCTION</w:t>
      </w:r>
      <w:bookmarkEnd w:id="1"/>
    </w:p>
    <w:p>
      <w:pPr>
        <w:jc w:val="both"/>
      </w:pPr>
      <w:r>
        <w:rPr>
          <w:rFonts w:eastAsia="Times New Roman"/>
        </w:rPr>
        <w:t xml:space="preserve">Climate change is affecting all the countries in the world directly or indirectly. The increase in global emissions have caused the global temperatures to rise which has led to changes in atmospheric conditions and rising sea levels. As the greenhouse gas emanations are raising, the world's average exterior temperature is predicted to be 3 degrees higher than the normal temperature range this century. The impact of climate change is found to be high in terms of economic and social variables. Climate change disrupts economies and affects the lives of several people disrupting communities and countries. The impact of these changes has created challenges in the lives of the poor and vulnerable people all around the world who are being affected the most. To respond to such changes the UN has developed sustainable goals of climate action to take action and combat against climate change. A collaborative approach towards climate change is required by different public sector bodies to achieve these goals. The purpose of this report is to measure the importance of the involvement of public sector bodies in climate change initiatives. Initiatives taken by governments and national bodies help in promoting climate change. For this purpose, the initiatives taken by public sector bodies are listed and the effectiveness of these initiatives are discussed. A conclusion is provided at the end of the report summarizing the findings and making recommendations for improvement. </w:t>
      </w:r>
    </w:p>
    <w:p>
      <w:pPr>
        <w:pStyle w:val="2"/>
        <w:jc w:val="both"/>
        <w:rPr>
          <w:lang w:val="en-GB"/>
        </w:rPr>
      </w:pPr>
      <w:bookmarkStart w:id="2" w:name="_Toc39780709"/>
      <w:r>
        <w:rPr>
          <w:lang w:val="en-GB"/>
        </w:rPr>
        <w:t>2: METHOD</w:t>
      </w:r>
      <w:bookmarkEnd w:id="2"/>
    </w:p>
    <w:p>
      <w:pPr>
        <w:jc w:val="both"/>
      </w:pPr>
      <w:r>
        <w:rPr>
          <w:rFonts w:eastAsia="Times New Roman"/>
        </w:rPr>
        <w:t xml:space="preserve">The report uses public sources for data collection. Links on the official UN website are used to collect information for this report. Other sources of data include IPCC climate report, 2018 and a report of the Paris agreement in which several countries have submitted their plans towards climate change at a national level. A critical evaluation of information collected is done to draw conclusions and make relevant recommendations that are practical and logical to implement.  </w:t>
      </w:r>
    </w:p>
    <w:p>
      <w:pPr>
        <w:pStyle w:val="2"/>
        <w:jc w:val="both"/>
        <w:rPr>
          <w:lang w:val="en-GB"/>
        </w:rPr>
      </w:pPr>
      <w:bookmarkStart w:id="3" w:name="_Toc39780710"/>
      <w:r>
        <w:rPr>
          <w:lang w:val="en-GB"/>
        </w:rPr>
        <w:t>3: FINDINGS</w:t>
      </w:r>
      <w:bookmarkEnd w:id="3"/>
    </w:p>
    <w:p>
      <w:pPr>
        <w:jc w:val="both"/>
      </w:pPr>
      <w:r>
        <w:rPr>
          <w:rFonts w:eastAsia="Times New Roman"/>
        </w:rPr>
        <w:t xml:space="preserve">The initiatives taken by the different public sector bodies aimed at strengthening the capacity of countries to deal with climate-related hazards and accidents. By developing strong infrastructural facilities governments would be able to mitigate risks associated with climate change. Integration of climate change measures into national policies, strategies and planning (Climate Change - United Nations Sustainable Development, 2020). Governments have started viewing climate change as an important subject and are including it in their public policies. The inclusions of environmental protection policies by governments have enabled them to enhance sustainability. The initiatives taken by the government also aim at improving the skills and knowledge of humans and institutions so that steps can be taken to identify and minimise risks due to climate changes (Coffee, et. al., 2010). Moreover, climate related planning and management focus on developing countries and aim to empower women, youth and vulnerable communities to promote sustainable development practices. Several organizations work collaboratively towards achieving climate goals initiatives of sustainable development. The main organization that integrates all the activities related to climate action is the United Nations Climate change body. The UN works in collaboration with several governments of different countries to monitor and support climate change measures. </w:t>
      </w:r>
    </w:p>
    <w:p>
      <w:pPr>
        <w:jc w:val="both"/>
        <w:rPr>
          <w:rFonts w:eastAsia="Times New Roman"/>
        </w:rPr>
      </w:pPr>
      <w:r>
        <w:rPr>
          <w:rFonts w:eastAsia="Times New Roman"/>
        </w:rPr>
        <w:t>The United Nations Framework Convention on Climate Change (UNFCCC) is an international environment treaty that was put into effect on 21st March, 1994 (UNTC, 2020). The UNFCCC encourages agreements with non-party stakeholders such as states, regions, cities, companies, shareholders and natives to promote partnerships for social and environmental responsibilities. The Kyoto Protocol and Paris agreements are two major initiatives taken by the UNFCCC towards climate change. The Kyoto protocol helped in reducing carbon emissions all over the world (</w:t>
      </w:r>
      <w:r>
        <w:rPr>
          <w:color w:val="000000" w:themeColor="text1"/>
          <w14:textFill>
            <w14:solidFill>
              <w14:schemeClr w14:val="tx1"/>
            </w14:solidFill>
          </w14:textFill>
        </w:rPr>
        <w:t>Unfpa.org</w:t>
      </w:r>
      <w:r>
        <w:rPr>
          <w:rFonts w:eastAsia="Times New Roman"/>
        </w:rPr>
        <w:t xml:space="preserve">, 2020). This was done by internationally gaining commitments to reduce carbon emissions in industrialised countries. On the other hand, the Paris agreement adopted in 2015 led to governments all over the world to reduce global temperatures to below 2 degree C so that the negative effects of climate change could be reversed (Birch and Valencia, 2020). These two initiatives taken by the UNFCCC acted as catalysts for change and encouraged responses in terms of policies, programs and projects. The Marrakesh Partnership for Global Climate Action was another recent initiative that supported the Paris Agreement. This agreement focuses on environmental, economic and social system transformation to achieve a 1.5 degree C temperature goal (Unfccc.int., 2020b). By raising awareness on the importance of climate change initiatives climate action on a global level was adopted. </w:t>
      </w:r>
    </w:p>
    <w:p>
      <w:pPr>
        <w:jc w:val="both"/>
      </w:pPr>
      <w:r>
        <w:rPr>
          <w:rFonts w:eastAsia="Times New Roman"/>
        </w:rPr>
        <w:t>The climate Action Summit provided several proposals to de clutter clean energy finance. By providing investments to financial and developmental agencies a platform to support clean energy investments was created. The main objectives of this summit were to engage high-carbon emitting industries such as shipping, cooling, buildings, oil and gas to transition into sustainable energy usage (</w:t>
      </w:r>
      <w:r>
        <w:rPr>
          <w:color w:val="000000" w:themeColor="text1"/>
          <w14:textFill>
            <w14:solidFill>
              <w14:schemeClr w14:val="tx1"/>
            </w14:solidFill>
          </w14:textFill>
        </w:rPr>
        <w:t>Un.org.</w:t>
      </w:r>
      <w:r>
        <w:rPr>
          <w:rFonts w:eastAsia="Times New Roman"/>
        </w:rPr>
        <w:t xml:space="preserve">, 2020). The purpose of these initiatives was to increase energy reduction efforts and scale up the use of renewable energy sources. These initiatives were successful in increasing the adoption of energy efficient technologies as well as in capacity building initiatives in developing countries. The Summit also focuses on sustainable Urbanization (Scott and Becken, 2010). Member countries took initiatives to integrate climate action efforts to create a strong framework to support sustainable projects. The decarbonisation of the land transport sector was one of the other agendas of the Summit. This was an important initiative that contributed to the goals of the Paris Agreement (Maio, 2019). The adoption of such measures promoted the development and implementation of concrete and convenient alternatives to private vehicles in urban transport. </w:t>
      </w:r>
    </w:p>
    <w:p>
      <w:pPr>
        <w:jc w:val="both"/>
      </w:pPr>
      <w:r>
        <w:rPr>
          <w:rFonts w:eastAsia="Times New Roman"/>
        </w:rPr>
        <w:t xml:space="preserve">These initiatives boosted the transportation industry of some countries towards zero carbon emissions vehicles. Some of the countries in which a positive impact was recorded in terms of lower carbon emissions include Turkey, Singapore and Germany (Unfccc.inc, 2020a). Other proposals made by the Summit include the adoption of resilient and zero carbon buildings. Reports and data showed that less than 1 percent of buildings in the world were zero carbon buildings (Millard-Ball, 2012). The proposal enabled securing commitments from several banks and private sector bodies in mobilising resources towards zero carbon emitting buildings in developing countries by 2030. The World Meteorological Organization (WMO) is a body that helps its members to monitor the earth's climate. The WMO collects information on the changes in the earth's climate to support evidence-based decision making to manage variabilities due to extreme climate changes. Popular information provided by the WMO include updates on the El Nino, Regional Climate outlooks and Global Seasonal Climate update (Climate change, UNFCCC, 2020). The WMO provides scientific expertise from the National Hydrological and Meteorological services of its members which enables countries to develop effective climate change policies. </w:t>
      </w:r>
    </w:p>
    <w:p>
      <w:pPr>
        <w:jc w:val="both"/>
      </w:pPr>
      <w:r>
        <w:rPr>
          <w:rFonts w:eastAsia="Times New Roman"/>
        </w:rPr>
        <w:t xml:space="preserve">The World Climate Programme (WCP) launched by the WMO facilitates the analysis and prediction of the earth's system variability. The main motives of the WCP were to improve the understanding of weather processes and changes. The programme also promoted capacity development in emerging and emergent countries. This helped the countries to understand the application of climate knowledge and information so that they could allocate their resources more efficiently. This programme also enabled specific climate service providers to gain information on climate change. The World Weather Research Programme (WWRP) is an international programme launched by the WMO for advanced research activities on weather prediction and its impact on society. The mission of the WWRP was to endorse and facilitate research activities that aimed at improving fundamental knowledge on atmospheric flows (GFCS | Global Framework for Climate Services, 2020). The WWRP provides technical and scientific guidance to countries to conduct research on disaster management. The High Impact Weather Project (HIWP) was an important development that provided a blueprint for warning systems in case of a natural disaster. Such advances helped countries to make improvements to Multi-Hazard strategic warning capabilities for Disaster Risk Reduction (DRR). </w:t>
      </w:r>
    </w:p>
    <w:p>
      <w:pPr>
        <w:jc w:val="both"/>
      </w:pPr>
      <w:r>
        <w:rPr>
          <w:rFonts w:eastAsia="Times New Roman"/>
        </w:rPr>
        <w:t xml:space="preserve"> The United Nations Population Fund (UNFPA) also plays a vital role in climate change initiatives. UNFPA works with governments and other partners to understand patterns and trends in demographics and population so that policies to manage climate impact can be developed. The UNFPA has launched several programs for climate resistant population development in the future. The UNFPA's Demographic Exploration for Climate Adaptation (DECA) programme developed with the International Institute for Environment and Development with Wolfram Research helps countries to identify communities vulnerable to climate hazards (Robbins, 2016). The DECA programme was an automated geographic investigation guidance system that combined demographic data with the geography of climate hazards (Owusu and Asumadu-Sarkodie, 2016). The UNFPA also addresses the humanitarian consequences of climate change (World Health Organization, 2016). They provide vital health services to women and girls and educate them about sexual and reproductive health so that psychological support is provided to them in times of natural disasters. </w:t>
      </w:r>
    </w:p>
    <w:p>
      <w:pPr>
        <w:jc w:val="both"/>
      </w:pPr>
      <w:r>
        <w:rPr>
          <w:rFonts w:eastAsia="Times New Roman"/>
        </w:rPr>
        <w:t xml:space="preserve"> The United Nations Environment Programme (UNEP) supports activities in continents all around the globe to reduce carbon emissions and promote a sustainable future. The Climate Technology Centre and Network (CTCN) hosted by the UNDP manage the operations of the UNFCCC by providing technologic support (Climate Technology Centre and Network, 2020). The department of the UNEP facilitates the transfer of updated systems and services to promote low carbon emissions. The core services provided by the CTCN include providing climate change technologies to developing countries, ensuring access to information on climate technologies and encouraging cooperation in the implementation of climate technologies. The Intergovernmental Panel on Climate Change (IPCC) contributes scientific knowledge that helps in understanding effects and impacts of climate change. The reports and assessments carried out by the IPCC record and measure emissions of greenhouse gasses (Global Warming Report of 1.5 ºC, Ipcc, 2020). Additional activities conducted by the IPCC include the management of the Data Distribution Centre and the National Greenhouse Gas Inventories Programme. </w:t>
      </w:r>
    </w:p>
    <w:p>
      <w:pPr>
        <w:jc w:val="both"/>
        <w:rPr>
          <w:lang w:val="en-GB"/>
        </w:rPr>
      </w:pPr>
      <w:r>
        <w:rPr>
          <w:rFonts w:eastAsia="Times New Roman"/>
        </w:rPr>
        <w:t xml:space="preserve"> The Food and Agricultural Organization of the United Nations (FAO) is another body that takes several initiatives towards mitigating the effects of climate change on agribusiness and food security (Climate Change | FOA, 2020). The Economic and Policy Analysis of Climate Change (EPIC) programme launched by the FOA supports countries to make sound decisions and reform policies related to agricultural development and food security. This program aids countries to develop sustainable agricultural systems by providing an analysis of costs, trade-offs, adoption barriers and benefits. The Ex-Anate Carbon-balance tool (EX-ACT) is an effective system that measures the effects of agriculture and forestry development activities on the carbon- balance of the region (Grewer et. al., 2017). This tool enables countries to measure the economic impact of climate change which helps in policy analysis. Thus, it is found that collaborative initiatives taken by all the above-mentioned public-sector bodies help in tackling different aspects of climate change.</w:t>
      </w:r>
    </w:p>
    <w:p>
      <w:pPr>
        <w:pStyle w:val="2"/>
        <w:jc w:val="both"/>
        <w:rPr>
          <w:lang w:val="en-GB"/>
        </w:rPr>
      </w:pPr>
      <w:bookmarkStart w:id="4" w:name="_Toc39780711"/>
      <w:r>
        <w:rPr>
          <w:lang w:val="en-GB"/>
        </w:rPr>
        <w:t>4: DISCUSSION</w:t>
      </w:r>
      <w:bookmarkEnd w:id="4"/>
    </w:p>
    <w:p>
      <w:pPr>
        <w:jc w:val="both"/>
      </w:pPr>
      <w:r>
        <w:rPr>
          <w:rFonts w:eastAsia="Times New Roman"/>
        </w:rPr>
        <w:t xml:space="preserve">The findings above indicate that numerous steps were taken by public sector bodies towards the sustainable goals development programme of climate action. It is found that most of these initiatives were found to be effective in reducing greenhouse emissions. The Kyoto Protocol implementation by the UNFCCC was found to be successful in reducing carbon emissions by 12.5 % (Almer and Winkler, 2017). Therefore, this protocol is considered to be a success. Even though the protocol helped achieve the target rate of carbon emissions it only helped in limiting carbon emissions. Most countries considered the Kyoto Protocol a treaty of limited rather than reduction. Moreover, after 2012 the world's Carbon emissions increased by a shocking 51 percent. Thus, it can be concluded that the long-term effectiveness of this treaty is questionable. The Paris agreement has managed to generate a major impact on the global environment. The progress reported by different countries show that many countries have failed to meet goals outlined in the Paris climate agreement (Klein et. al., 2018). Several countries have reported emission gaps. In order to fill these gaps UNEP has asked a few nations like the U.S, Japan and Australia to take further steps to meet their pledges. Thus, the success or failure of this agreement is still to be determined in the future. </w:t>
      </w:r>
    </w:p>
    <w:p>
      <w:pPr>
        <w:jc w:val="both"/>
        <w:rPr>
          <w:lang w:val="en-GB"/>
        </w:rPr>
      </w:pPr>
      <w:r>
        <w:rPr>
          <w:rFonts w:eastAsia="Times New Roman"/>
        </w:rPr>
        <w:t>The WMO had been found to be successful in monitoring greenhouse gas emissions so that the carbon budget for the success of the implementations made under the Paris Agreement (Boswell, Greve and Seale, 2010). The successful implementation of WMO programmes was seen in regional projects launched by the organization. The roving seminars held by the organisation in Mali, West Africa were effective in providing farmers with gauges to measure rainfall (Makanji and Oeba, 2019). This helped the farmers in adapting to rainfall patterns and growing crops to increase their yields and income. The successes and failures of the public sector bodies have been reported through annual reports. The data collected in these reports have found to be accurate in evaluating the impact of policies and practices. The UNFPA was also awarded a certificate from the UN Climate Change Secretariat on their contributions towards reducing carbon emissions from the facility and travel operations in 2018. The UNFPA and UNEP also have an investigation hotline to report fraudulent practices. On the basis of the above findings and discussions it can be stated that the public sector plays an important role in facilitating climate action. The transparent reporting and data analysis of these bodies have helped governments to assess climate change and its impact accurately.</w:t>
      </w:r>
      <w:r>
        <w:rPr>
          <w:lang w:val="en-GB"/>
        </w:rPr>
        <w:t xml:space="preserve"> </w:t>
      </w:r>
    </w:p>
    <w:p>
      <w:pPr>
        <w:pStyle w:val="2"/>
        <w:jc w:val="both"/>
        <w:rPr>
          <w:lang w:val="en-GB"/>
        </w:rPr>
      </w:pPr>
      <w:bookmarkStart w:id="5" w:name="_Toc39780712"/>
      <w:r>
        <w:rPr>
          <w:lang w:val="en-GB"/>
        </w:rPr>
        <w:t>5: CONCLUSION</w:t>
      </w:r>
      <w:bookmarkEnd w:id="5"/>
    </w:p>
    <w:p>
      <w:pPr>
        <w:jc w:val="both"/>
        <w:rPr>
          <w:lang w:val="en-GB"/>
        </w:rPr>
      </w:pPr>
      <w:r>
        <w:rPr>
          <w:rFonts w:eastAsia="Times New Roman"/>
        </w:rPr>
        <w:t>Public sector bodies play a central role in collaborating the efforts of various stakeholders to minimise the impacts of climate change. The findings of the report indicate that the projects, policies and programmes undertaken by governing bodies have helped countries to take efforts on national and regional levels. In order to promote sustainable development, reducing and planning for change is important for countries. By designing policies that cut down the negative effects of climate change on the environment and society sustainability is achieved.  As the rate of climate changes increases the impact would be felt on financially and socially weak sections of the society. The adaptive and mitigation programs launched by public sectors would enable people to cope with climate changes. It is found that the collective approach taken by the UN has helped countries to reverse the effects of climate change on a global level. Moreover, it is found that the public sector organisations act as catalysts in generating awareness on economic, environmental and social impacts of climate. Technological and scientific expertise provided by different public organizations aid governments in sustainable infrastructural development. This helps governments to recognise and prioritize environmental standards so that the sustainable development goals on climate action are achieved.</w:t>
      </w:r>
    </w:p>
    <w:p>
      <w:pPr>
        <w:pStyle w:val="2"/>
        <w:jc w:val="both"/>
        <w:rPr>
          <w:lang w:val="en-GB"/>
        </w:rPr>
      </w:pPr>
      <w:bookmarkStart w:id="6" w:name="_Toc39780713"/>
      <w:r>
        <w:rPr>
          <w:lang w:val="en-GB"/>
        </w:rPr>
        <w:t>6: RECOMMENDATIONS</w:t>
      </w:r>
      <w:bookmarkEnd w:id="6"/>
    </w:p>
    <w:p>
      <w:pPr>
        <w:jc w:val="both"/>
        <w:rPr>
          <w:rFonts w:eastAsia="Times New Roman"/>
        </w:rPr>
      </w:pPr>
      <w:r>
        <w:rPr>
          <w:rFonts w:eastAsia="Times New Roman"/>
        </w:rPr>
        <w:t>The strong impact of climate change on different aspects of health, transport, energy, economic growth and natural resources reflect that strong and fast decisions need to be taken by public sector bodies. Governments need to take several decisions as they seek to understand and address the climate change impact. Public sector bodies can help the government by providing climate change science enterprises so that countries can build on the strengths of existing activities (O’Brien, 2018). An integrated approach needs to be implemented with an emphasis on human-environment systems. It is important for people to understand the impact of our day to day activities on the environment.  It is recommended that a comprehensive and integrated climate change plan is adopted so that several positive climate action choices are provided to governments. As the global emissions are increasing technological measures and changes need to be implemented by governments. By collaborating and providing strong leadership in the public sector the climate crisis could be controlled and reversed. It is recommended that climate change awareness programs should be launched in schools and colleges through seminars and projects. By educating the youth climate action could be instilled in the minds of the people for long term sustainability and action.</w:t>
      </w:r>
    </w:p>
    <w:p>
      <w:pPr>
        <w:jc w:val="both"/>
        <w:rPr>
          <w:lang w:val="en-GB"/>
        </w:rPr>
      </w:pPr>
    </w:p>
    <w:p>
      <w:pPr>
        <w:pStyle w:val="2"/>
        <w:jc w:val="both"/>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pStyle w:val="2"/>
        <w:rPr>
          <w:lang w:val="en-GB"/>
        </w:rPr>
      </w:pPr>
    </w:p>
    <w:p>
      <w:pPr>
        <w:pStyle w:val="2"/>
        <w:rPr>
          <w:lang w:val="en-GB"/>
        </w:rPr>
      </w:pPr>
      <w:bookmarkStart w:id="7" w:name="_Toc39780714"/>
      <w:r>
        <w:rPr>
          <w:lang w:val="en-GB"/>
        </w:rPr>
        <w:t>REFERENCES</w:t>
      </w:r>
      <w:bookmarkEnd w:id="7"/>
    </w:p>
    <w:p>
      <w:pPr>
        <w:numPr>
          <w:ilvl w:val="0"/>
          <w:numId w:val="1"/>
        </w:numPr>
        <w:ind w:left="425" w:leftChars="0" w:hanging="425" w:firstLineChars="0"/>
      </w:pPr>
      <w:r>
        <w:t>Almer, C. and Winkler, R. (2017). Analysing the effectiveness of international environmental policies: The case of the Kyoto Protocol</w:t>
      </w:r>
      <w:r>
        <w:rPr>
          <w:i/>
          <w:iCs/>
        </w:rPr>
        <w:t>. Journal of Environmental Economics and Management,</w:t>
      </w:r>
      <w:r>
        <w:t xml:space="preserve"> 82, pp.125-151.</w:t>
      </w:r>
    </w:p>
    <w:p>
      <w:pPr>
        <w:numPr>
          <w:ilvl w:val="0"/>
          <w:numId w:val="1"/>
        </w:numPr>
        <w:ind w:left="425" w:leftChars="0" w:hanging="425" w:firstLineChars="0"/>
      </w:pPr>
      <w:r>
        <w:rPr>
          <w:color w:val="000000" w:themeColor="text1"/>
          <w14:textFill>
            <w14:solidFill>
              <w14:schemeClr w14:val="tx1"/>
            </w14:solidFill>
          </w14:textFill>
        </w:rPr>
        <w:t xml:space="preserve">Birch, S. and Valencia, M. (2020). </w:t>
      </w:r>
      <w:r>
        <w:rPr>
          <w:i/>
          <w:iCs/>
          <w:color w:val="000000" w:themeColor="text1"/>
          <w14:textFill>
            <w14:solidFill>
              <w14:schemeClr w14:val="tx1"/>
            </w14:solidFill>
          </w14:textFill>
        </w:rPr>
        <w:t>UN Climate Change Conference Paris 2015</w:t>
      </w:r>
      <w:r>
        <w:rPr>
          <w:color w:val="000000" w:themeColor="text1"/>
          <w14:textFill>
            <w14:solidFill>
              <w14:schemeClr w14:val="tx1"/>
            </w14:solidFill>
          </w14:textFill>
        </w:rPr>
        <w:t xml:space="preserve">. [online] United Nations Sustainable Development. Available at: </w:t>
      </w:r>
      <w:r>
        <w:rPr>
          <w:rFonts w:eastAsia="Times New Roman"/>
        </w:rPr>
        <w:t>http://www.un.org/sustainabledevelopment/cop21/</w:t>
      </w:r>
      <w:r>
        <w:rPr>
          <w:color w:val="000000" w:themeColor="text1"/>
          <w14:textFill>
            <w14:solidFill>
              <w14:schemeClr w14:val="tx1"/>
            </w14:solidFill>
          </w14:textFill>
        </w:rPr>
        <w:t xml:space="preserve"> [Accessed 5 May 2020].</w:t>
      </w:r>
    </w:p>
    <w:p>
      <w:pPr>
        <w:numPr>
          <w:ilvl w:val="0"/>
          <w:numId w:val="1"/>
        </w:numPr>
        <w:ind w:left="425" w:leftChars="0" w:hanging="425" w:firstLineChars="0"/>
      </w:pPr>
      <w:r>
        <w:t xml:space="preserve">Boswell, M.R., Greve, A.I. and Seale, T.L. (2010). An assessment of the link between greenhouse gas emissions inventories and climate action plans. </w:t>
      </w:r>
      <w:r>
        <w:rPr>
          <w:i/>
          <w:iCs/>
        </w:rPr>
        <w:t>Journal of the American planning association</w:t>
      </w:r>
      <w:r>
        <w:t>, 76(4), pp.451-462.</w:t>
      </w:r>
    </w:p>
    <w:p>
      <w:pPr>
        <w:numPr>
          <w:ilvl w:val="0"/>
          <w:numId w:val="1"/>
        </w:numPr>
        <w:ind w:left="425" w:leftChars="0" w:hanging="425" w:firstLineChars="0"/>
      </w:pPr>
      <w:r>
        <w:t>Coffee, J.E., Parzen, J., Wagstaff, M. and Lewis, R.S. (2010). Preparing for a changing climate: The Chicago climate action plan's adaptation strategy.</w:t>
      </w:r>
      <w:r>
        <w:rPr>
          <w:i/>
          <w:iCs/>
        </w:rPr>
        <w:t xml:space="preserve"> Journal of Great Lakes Research,</w:t>
      </w:r>
      <w:r>
        <w:t xml:space="preserve"> 36, pp.115-117.</w:t>
      </w:r>
    </w:p>
    <w:p>
      <w:pPr>
        <w:numPr>
          <w:ilvl w:val="0"/>
          <w:numId w:val="1"/>
        </w:numPr>
        <w:ind w:left="425" w:leftChars="0" w:hanging="425" w:firstLineChars="0"/>
      </w:pPr>
      <w:r>
        <w:rPr>
          <w:color w:val="000000" w:themeColor="text1"/>
          <w14:textFill>
            <w14:solidFill>
              <w14:schemeClr w14:val="tx1"/>
            </w14:solidFill>
          </w14:textFill>
        </w:rPr>
        <w:t xml:space="preserve">Fao.org. (2020). </w:t>
      </w:r>
      <w:r>
        <w:rPr>
          <w:i/>
          <w:iCs/>
          <w:color w:val="000000" w:themeColor="text1"/>
          <w14:textFill>
            <w14:solidFill>
              <w14:schemeClr w14:val="tx1"/>
            </w14:solidFill>
          </w14:textFill>
        </w:rPr>
        <w:t>Climate Change | FOA</w:t>
      </w:r>
      <w:r>
        <w:rPr>
          <w:color w:val="000000" w:themeColor="text1"/>
          <w14:textFill>
            <w14:solidFill>
              <w14:schemeClr w14:val="tx1"/>
            </w14:solidFill>
          </w14:textFill>
        </w:rPr>
        <w:t>. [online] Available at: http://www.fao.org/climate-change/en/ [Accessed 5 May 2020].</w:t>
      </w:r>
    </w:p>
    <w:p>
      <w:pPr>
        <w:numPr>
          <w:ilvl w:val="0"/>
          <w:numId w:val="1"/>
        </w:numPr>
        <w:ind w:left="425" w:leftChars="0" w:hanging="425" w:firstLineChars="0"/>
      </w:pPr>
      <w:r>
        <w:rPr>
          <w:color w:val="000000" w:themeColor="text1"/>
          <w14:textFill>
            <w14:solidFill>
              <w14:schemeClr w14:val="tx1"/>
            </w14:solidFill>
          </w14:textFill>
        </w:rPr>
        <w:t xml:space="preserve">Gfcs-climate.org. (2020). </w:t>
      </w:r>
      <w:r>
        <w:rPr>
          <w:i/>
          <w:iCs/>
          <w:color w:val="000000" w:themeColor="text1"/>
          <w14:textFill>
            <w14:solidFill>
              <w14:schemeClr w14:val="tx1"/>
            </w14:solidFill>
          </w14:textFill>
        </w:rPr>
        <w:t>GFCS | Global Framework for Climate Services</w:t>
      </w:r>
      <w:r>
        <w:rPr>
          <w:color w:val="000000" w:themeColor="text1"/>
          <w14:textFill>
            <w14:solidFill>
              <w14:schemeClr w14:val="tx1"/>
            </w14:solidFill>
          </w14:textFill>
        </w:rPr>
        <w:t>. [online] Available at: http://www.gfcs-climate.org/ [Accessed 5 May 2020].</w:t>
      </w:r>
    </w:p>
    <w:p>
      <w:pPr>
        <w:numPr>
          <w:ilvl w:val="0"/>
          <w:numId w:val="1"/>
        </w:numPr>
        <w:ind w:left="425" w:leftChars="0" w:hanging="425" w:firstLineChars="0"/>
      </w:pPr>
      <w:r>
        <w:t>Grewer, U., Bockel, L., Schiettecatte, L. S., &amp; Bernoux, M. (2017). EX-ante carbon-balance tool (EX-ACT), quick guidance.</w:t>
      </w:r>
      <w:r>
        <w:rPr>
          <w:i/>
          <w:iCs/>
        </w:rPr>
        <w:t xml:space="preserve"> Food and Agriculture Organization of the United Nations, Rome</w:t>
      </w:r>
      <w:r>
        <w:t>.</w:t>
      </w:r>
    </w:p>
    <w:p>
      <w:pPr>
        <w:numPr>
          <w:ilvl w:val="0"/>
          <w:numId w:val="1"/>
        </w:numPr>
        <w:ind w:left="425" w:leftChars="0" w:hanging="425" w:firstLineChars="0"/>
      </w:pPr>
      <w:r>
        <w:rPr>
          <w:color w:val="000000" w:themeColor="text1"/>
          <w14:textFill>
            <w14:solidFill>
              <w14:schemeClr w14:val="tx1"/>
            </w14:solidFill>
          </w14:textFill>
        </w:rPr>
        <w:t xml:space="preserve">Ipcc.ch. (2020). </w:t>
      </w:r>
      <w:r>
        <w:rPr>
          <w:i/>
          <w:iCs/>
          <w:color w:val="000000" w:themeColor="text1"/>
          <w14:textFill>
            <w14:solidFill>
              <w14:schemeClr w14:val="tx1"/>
            </w14:solidFill>
          </w14:textFill>
        </w:rPr>
        <w:t>Global Warming Report Of 1.5 ºC, Ipcc</w:t>
      </w:r>
      <w:r>
        <w:rPr>
          <w:color w:val="000000" w:themeColor="text1"/>
          <w14:textFill>
            <w14:solidFill>
              <w14:schemeClr w14:val="tx1"/>
            </w14:solidFill>
          </w14:textFill>
        </w:rPr>
        <w:t>. [online] Available at: https://www.ipcc.ch/report/sr15/ [Accessed 5 May 2020].</w:t>
      </w:r>
    </w:p>
    <w:p>
      <w:pPr>
        <w:numPr>
          <w:ilvl w:val="0"/>
          <w:numId w:val="1"/>
        </w:numPr>
        <w:ind w:left="425" w:leftChars="0" w:hanging="425" w:firstLineChars="0"/>
      </w:pPr>
      <w:r>
        <w:t xml:space="preserve">Klein, J., Araos, M., Karimo, A., Heikkinen, M., Ylä-Anttila, T. and Juhola, S. (2018). The role of the private sector and citizens in urban climate change adaptation: Evidence from a global assessment of large cities. </w:t>
      </w:r>
      <w:r>
        <w:rPr>
          <w:i/>
          <w:iCs/>
        </w:rPr>
        <w:t>Global environmental change</w:t>
      </w:r>
      <w:r>
        <w:t>, 53, pp.127-136.</w:t>
      </w:r>
    </w:p>
    <w:p>
      <w:pPr>
        <w:numPr>
          <w:ilvl w:val="0"/>
          <w:numId w:val="1"/>
        </w:numPr>
        <w:ind w:left="425" w:leftChars="0" w:hanging="425" w:firstLineChars="0"/>
      </w:pPr>
      <w:r>
        <w:t xml:space="preserve">Maio, G.D. (2019). Climate Change and Decentralized Renewable Energy: The Role of Smart Cities. </w:t>
      </w:r>
      <w:r>
        <w:rPr>
          <w:i/>
          <w:iCs/>
        </w:rPr>
        <w:t>European Energy and Environmental Law Review</w:t>
      </w:r>
      <w:r>
        <w:t>, 28(5), pp.176-184.</w:t>
      </w:r>
    </w:p>
    <w:p>
      <w:pPr>
        <w:numPr>
          <w:ilvl w:val="0"/>
          <w:numId w:val="1"/>
        </w:numPr>
        <w:ind w:left="425" w:leftChars="0" w:hanging="425" w:firstLineChars="0"/>
        <w:rPr>
          <w:color w:val="000000" w:themeColor="text1"/>
          <w14:textFill>
            <w14:solidFill>
              <w14:schemeClr w14:val="tx1"/>
            </w14:solidFill>
          </w14:textFill>
        </w:rPr>
      </w:pPr>
      <w:r>
        <w:rPr>
          <w:color w:val="000000" w:themeColor="text1"/>
          <w14:textFill>
            <w14:solidFill>
              <w14:schemeClr w14:val="tx1"/>
            </w14:solidFill>
          </w14:textFill>
        </w:rPr>
        <w:t xml:space="preserve">Makanji, D. and Oeba, V. (2019). The role of the Kenyan private forestry sector in response to climate change mitigation and adaptation. </w:t>
      </w:r>
      <w:r>
        <w:rPr>
          <w:i/>
          <w:iCs/>
          <w:color w:val="000000" w:themeColor="text1"/>
          <w14:textFill>
            <w14:solidFill>
              <w14:schemeClr w14:val="tx1"/>
            </w14:solidFill>
          </w14:textFill>
        </w:rPr>
        <w:t>International Forestry Review</w:t>
      </w:r>
      <w:r>
        <w:rPr>
          <w:color w:val="000000" w:themeColor="text1"/>
          <w14:textFill>
            <w14:solidFill>
              <w14:schemeClr w14:val="tx1"/>
            </w14:solidFill>
          </w14:textFill>
        </w:rPr>
        <w:t>, 21(1), pp.102-111.</w:t>
      </w:r>
    </w:p>
    <w:p>
      <w:pPr>
        <w:numPr>
          <w:ilvl w:val="0"/>
          <w:numId w:val="1"/>
        </w:numPr>
        <w:ind w:left="425" w:leftChars="0" w:hanging="425" w:firstLineChars="0"/>
      </w:pPr>
      <w:r>
        <w:t xml:space="preserve">Millard-Ball, A. (2012). Do city climate plans reduce emissions? </w:t>
      </w:r>
      <w:r>
        <w:rPr>
          <w:i/>
          <w:iCs/>
        </w:rPr>
        <w:t>Journal of Urban Economics</w:t>
      </w:r>
      <w:r>
        <w:t>, 71(3), pp.289-311.</w:t>
      </w:r>
    </w:p>
    <w:p>
      <w:pPr>
        <w:numPr>
          <w:ilvl w:val="0"/>
          <w:numId w:val="1"/>
        </w:numPr>
        <w:ind w:left="425" w:leftChars="0" w:hanging="425" w:firstLineChars="0"/>
      </w:pPr>
      <w:r>
        <w:t xml:space="preserve">O’Brien, T. (2018). Government approaches to catalyse MSME resilience to climate change. </w:t>
      </w:r>
      <w:r>
        <w:rPr>
          <w:i/>
          <w:iCs/>
        </w:rPr>
        <w:t>Private-sector action in adaptation</w:t>
      </w:r>
      <w:r>
        <w:t xml:space="preserve">: </w:t>
      </w:r>
      <w:r>
        <w:rPr>
          <w:i/>
          <w:iCs/>
        </w:rPr>
        <w:t>Perspectives on the role of micro, small and medium size enterprises</w:t>
      </w:r>
      <w:r>
        <w:t>, p.111.</w:t>
      </w:r>
    </w:p>
    <w:p>
      <w:pPr>
        <w:numPr>
          <w:ilvl w:val="0"/>
          <w:numId w:val="1"/>
        </w:numPr>
        <w:ind w:left="425" w:leftChars="0" w:hanging="425" w:firstLineChars="0"/>
      </w:pPr>
      <w:r>
        <w:rPr>
          <w:color w:val="000000" w:themeColor="text1"/>
          <w14:textFill>
            <w14:solidFill>
              <w14:schemeClr w14:val="tx1"/>
            </w14:solidFill>
          </w14:textFill>
        </w:rPr>
        <w:t xml:space="preserve">Owusu, P. and Asumadu-Sarkodie, S. (2016). A review of renewable energy sources, sustainability issues and climate change mitigation. </w:t>
      </w:r>
      <w:r>
        <w:rPr>
          <w:i/>
          <w:iCs/>
          <w:color w:val="000000" w:themeColor="text1"/>
          <w14:textFill>
            <w14:solidFill>
              <w14:schemeClr w14:val="tx1"/>
            </w14:solidFill>
          </w14:textFill>
        </w:rPr>
        <w:t>Cogent Engineering</w:t>
      </w:r>
      <w:r>
        <w:rPr>
          <w:color w:val="000000" w:themeColor="text1"/>
          <w14:textFill>
            <w14:solidFill>
              <w14:schemeClr w14:val="tx1"/>
            </w14:solidFill>
          </w14:textFill>
        </w:rPr>
        <w:t>, 3(1).</w:t>
      </w:r>
    </w:p>
    <w:p>
      <w:pPr>
        <w:numPr>
          <w:ilvl w:val="0"/>
          <w:numId w:val="1"/>
        </w:numPr>
        <w:ind w:left="425" w:leftChars="0" w:hanging="425" w:firstLineChars="0"/>
      </w:pPr>
      <w:r>
        <w:t xml:space="preserve">Robbins, A. (2016). How to understand the results of the climate change summit: </w:t>
      </w:r>
      <w:r>
        <w:rPr>
          <w:i/>
          <w:iCs/>
        </w:rPr>
        <w:t>Conference of Parties21</w:t>
      </w:r>
      <w:r>
        <w:t xml:space="preserve"> (COP21) Paris 2015.</w:t>
      </w:r>
    </w:p>
    <w:p>
      <w:pPr>
        <w:numPr>
          <w:ilvl w:val="0"/>
          <w:numId w:val="1"/>
        </w:numPr>
        <w:ind w:left="425" w:leftChars="0" w:hanging="425" w:firstLineChars="0"/>
      </w:pPr>
      <w:r>
        <w:t xml:space="preserve">Scott, D. and Becken, S. (2010). Adapting to climate change and climate policy: Progress, problems and potentials. </w:t>
      </w:r>
      <w:r>
        <w:rPr>
          <w:i/>
          <w:iCs/>
        </w:rPr>
        <w:t>Journal of Sustainable tourism</w:t>
      </w:r>
      <w:r>
        <w:t>, 18(3), pp.283-295.</w:t>
      </w:r>
    </w:p>
    <w:p>
      <w:pPr>
        <w:numPr>
          <w:ilvl w:val="0"/>
          <w:numId w:val="1"/>
        </w:numPr>
        <w:ind w:left="425" w:leftChars="0" w:hanging="425" w:firstLineChars="0"/>
      </w:pPr>
      <w:r>
        <w:rPr>
          <w:color w:val="000000" w:themeColor="text1"/>
          <w14:textFill>
            <w14:solidFill>
              <w14:schemeClr w14:val="tx1"/>
            </w14:solidFill>
          </w14:textFill>
        </w:rPr>
        <w:t xml:space="preserve">Treaties.un.org. (2020). </w:t>
      </w:r>
      <w:r>
        <w:rPr>
          <w:i/>
          <w:iCs/>
          <w:color w:val="000000" w:themeColor="text1"/>
          <w14:textFill>
            <w14:solidFill>
              <w14:schemeClr w14:val="tx1"/>
            </w14:solidFill>
          </w14:textFill>
        </w:rPr>
        <w:t>UNTC</w:t>
      </w:r>
      <w:r>
        <w:rPr>
          <w:color w:val="000000" w:themeColor="text1"/>
          <w14:textFill>
            <w14:solidFill>
              <w14:schemeClr w14:val="tx1"/>
            </w14:solidFill>
          </w14:textFill>
        </w:rPr>
        <w:t>. [online] Available at: https://treaties.un.org/Pages/ViewDetails.aspx?src=IND&amp;mtdsg_no=XXVII-7-d&amp;chapter=27&amp;clang=_en [Accessed 5 May 2020].</w:t>
      </w:r>
    </w:p>
    <w:p>
      <w:pPr>
        <w:numPr>
          <w:ilvl w:val="0"/>
          <w:numId w:val="1"/>
        </w:numPr>
        <w:ind w:left="425" w:leftChars="0" w:hanging="425" w:firstLineChars="0"/>
      </w:pPr>
      <w:r>
        <w:rPr>
          <w:color w:val="000000" w:themeColor="text1"/>
          <w14:textFill>
            <w14:solidFill>
              <w14:schemeClr w14:val="tx1"/>
            </w14:solidFill>
          </w14:textFill>
        </w:rPr>
        <w:t xml:space="preserve">Un.org. (2020). </w:t>
      </w:r>
      <w:r>
        <w:rPr>
          <w:i/>
          <w:iCs/>
          <w:color w:val="000000" w:themeColor="text1"/>
          <w14:textFill>
            <w14:solidFill>
              <w14:schemeClr w14:val="tx1"/>
            </w14:solidFill>
          </w14:textFill>
        </w:rPr>
        <w:t>UNITED NATIONS UN Climate Change Summit 2019</w:t>
      </w:r>
      <w:r>
        <w:rPr>
          <w:color w:val="000000" w:themeColor="text1"/>
          <w14:textFill>
            <w14:solidFill>
              <w14:schemeClr w14:val="tx1"/>
            </w14:solidFill>
          </w14:textFill>
        </w:rPr>
        <w:t>. [online] Available at: http://www.un.org/en/climatechange/advocates.shtml [Accessed 5 May 2020].</w:t>
      </w:r>
    </w:p>
    <w:p>
      <w:pPr>
        <w:numPr>
          <w:ilvl w:val="0"/>
          <w:numId w:val="1"/>
        </w:numPr>
        <w:ind w:left="425" w:leftChars="0" w:hanging="425" w:firstLineChars="0"/>
      </w:pPr>
      <w:r>
        <w:rPr>
          <w:color w:val="000000" w:themeColor="text1"/>
          <w14:textFill>
            <w14:solidFill>
              <w14:schemeClr w14:val="tx1"/>
            </w14:solidFill>
          </w14:textFill>
        </w:rPr>
        <w:t xml:space="preserve">UNEP - UN Environment Programme. (2020). </w:t>
      </w:r>
      <w:r>
        <w:rPr>
          <w:i/>
          <w:iCs/>
          <w:color w:val="000000" w:themeColor="text1"/>
          <w14:textFill>
            <w14:solidFill>
              <w14:schemeClr w14:val="tx1"/>
            </w14:solidFill>
          </w14:textFill>
        </w:rPr>
        <w:t>Climate Technology Centre and Network</w:t>
      </w:r>
      <w:r>
        <w:rPr>
          <w:color w:val="000000" w:themeColor="text1"/>
          <w14:textFill>
            <w14:solidFill>
              <w14:schemeClr w14:val="tx1"/>
            </w14:solidFill>
          </w14:textFill>
        </w:rPr>
        <w:t xml:space="preserve">. [online] Available at: </w:t>
      </w:r>
      <w:r>
        <w:rPr>
          <w:rFonts w:eastAsia="Times New Roman"/>
        </w:rPr>
        <w:t>https://www.unenvironment.org/explore-topics/climate-change/what-we-do/climate-technology-centre-and-network</w:t>
      </w:r>
      <w:r>
        <w:rPr>
          <w:color w:val="000000" w:themeColor="text1"/>
          <w14:textFill>
            <w14:solidFill>
              <w14:schemeClr w14:val="tx1"/>
            </w14:solidFill>
          </w14:textFill>
        </w:rPr>
        <w:t xml:space="preserve">  [Accessed 5 May 2020].</w:t>
      </w:r>
    </w:p>
    <w:p>
      <w:pPr>
        <w:numPr>
          <w:ilvl w:val="0"/>
          <w:numId w:val="1"/>
        </w:numPr>
        <w:ind w:left="425" w:leftChars="0" w:hanging="425" w:firstLineChars="0"/>
      </w:pPr>
      <w:r>
        <w:rPr>
          <w:color w:val="000000" w:themeColor="text1"/>
          <w14:textFill>
            <w14:solidFill>
              <w14:schemeClr w14:val="tx1"/>
            </w14:solidFill>
          </w14:textFill>
        </w:rPr>
        <w:t xml:space="preserve">Unfccc.int. (2020a). </w:t>
      </w:r>
      <w:r>
        <w:rPr>
          <w:i/>
          <w:iCs/>
          <w:color w:val="000000" w:themeColor="text1"/>
          <w14:textFill>
            <w14:solidFill>
              <w14:schemeClr w14:val="tx1"/>
            </w14:solidFill>
          </w14:textFill>
        </w:rPr>
        <w:t>Unfcc-Convention Report 1992</w:t>
      </w:r>
      <w:r>
        <w:rPr>
          <w:color w:val="000000" w:themeColor="text1"/>
          <w14:textFill>
            <w14:solidFill>
              <w14:schemeClr w14:val="tx1"/>
            </w14:solidFill>
          </w14:textFill>
        </w:rPr>
        <w:t xml:space="preserve">. [online] Available at: </w:t>
      </w:r>
      <w:r>
        <w:rPr>
          <w:rFonts w:eastAsia="Times New Roman"/>
        </w:rPr>
        <w:t>https://unfccc.int/resource/docs/convkp/conveng.pdf</w:t>
      </w:r>
      <w:r>
        <w:rPr>
          <w:color w:val="000000" w:themeColor="text1"/>
          <w14:textFill>
            <w14:solidFill>
              <w14:schemeClr w14:val="tx1"/>
            </w14:solidFill>
          </w14:textFill>
        </w:rPr>
        <w:t xml:space="preserve">  [Accessed 5 May 2020].</w:t>
      </w:r>
    </w:p>
    <w:p>
      <w:pPr>
        <w:numPr>
          <w:ilvl w:val="0"/>
          <w:numId w:val="1"/>
        </w:numPr>
        <w:ind w:left="425" w:leftChars="0" w:hanging="425" w:firstLineChars="0"/>
      </w:pPr>
      <w:r>
        <w:rPr>
          <w:color w:val="000000" w:themeColor="text1"/>
          <w14:textFill>
            <w14:solidFill>
              <w14:schemeClr w14:val="tx1"/>
            </w14:solidFill>
          </w14:textFill>
        </w:rPr>
        <w:t xml:space="preserve">Unfccc.int. (2020b). </w:t>
      </w:r>
      <w:r>
        <w:rPr>
          <w:i/>
          <w:iCs/>
          <w:color w:val="000000" w:themeColor="text1"/>
          <w14:textFill>
            <w14:solidFill>
              <w14:schemeClr w14:val="tx1"/>
            </w14:solidFill>
          </w14:textFill>
        </w:rPr>
        <w:t>Unfccc.Int, Marrakesh Partnerships</w:t>
      </w:r>
      <w:r>
        <w:rPr>
          <w:color w:val="000000" w:themeColor="text1"/>
          <w14:textFill>
            <w14:solidFill>
              <w14:schemeClr w14:val="tx1"/>
            </w14:solidFill>
          </w14:textFill>
        </w:rPr>
        <w:t>. [online] Available at: https://unfccc.int/climate-action/marrakech-partnership-for-global-climate-action [Accessed 5 May 2020].</w:t>
      </w:r>
    </w:p>
    <w:p>
      <w:pPr>
        <w:numPr>
          <w:ilvl w:val="0"/>
          <w:numId w:val="1"/>
        </w:numPr>
        <w:ind w:left="425" w:leftChars="0" w:hanging="425" w:firstLineChars="0"/>
      </w:pPr>
      <w:r>
        <w:rPr>
          <w:color w:val="000000" w:themeColor="text1"/>
          <w14:textFill>
            <w14:solidFill>
              <w14:schemeClr w14:val="tx1"/>
            </w14:solidFill>
          </w14:textFill>
        </w:rPr>
        <w:t xml:space="preserve">Unfccc.int. (2020c). </w:t>
      </w:r>
      <w:r>
        <w:rPr>
          <w:i/>
          <w:iCs/>
          <w:color w:val="000000" w:themeColor="text1"/>
          <w14:textFill>
            <w14:solidFill>
              <w14:schemeClr w14:val="tx1"/>
            </w14:solidFill>
          </w14:textFill>
        </w:rPr>
        <w:t>Unfccc.Int</w:t>
      </w:r>
      <w:r>
        <w:rPr>
          <w:color w:val="000000" w:themeColor="text1"/>
          <w14:textFill>
            <w14:solidFill>
              <w14:schemeClr w14:val="tx1"/>
            </w14:solidFill>
          </w14:textFill>
        </w:rPr>
        <w:t>. [online] Available at: https://unfccc.int/sites/default/files/resource/Climate_Action_Support_Trends_2019.pdf [Accessed 5 May 2020].</w:t>
      </w:r>
    </w:p>
    <w:p>
      <w:pPr>
        <w:numPr>
          <w:ilvl w:val="0"/>
          <w:numId w:val="1"/>
        </w:numPr>
        <w:ind w:left="425" w:leftChars="0" w:hanging="425" w:firstLineChars="0"/>
      </w:pPr>
      <w:r>
        <w:rPr>
          <w:color w:val="000000" w:themeColor="text1"/>
          <w14:textFill>
            <w14:solidFill>
              <w14:schemeClr w14:val="tx1"/>
            </w14:solidFill>
          </w14:textFill>
        </w:rPr>
        <w:t xml:space="preserve">Unfpa.org. (2020). </w:t>
      </w:r>
      <w:r>
        <w:rPr>
          <w:i/>
          <w:iCs/>
          <w:color w:val="000000" w:themeColor="text1"/>
          <w14:textFill>
            <w14:solidFill>
              <w14:schemeClr w14:val="tx1"/>
            </w14:solidFill>
          </w14:textFill>
        </w:rPr>
        <w:t>Climate Change, UNFPA</w:t>
      </w:r>
      <w:r>
        <w:rPr>
          <w:color w:val="000000" w:themeColor="text1"/>
          <w14:textFill>
            <w14:solidFill>
              <w14:schemeClr w14:val="tx1"/>
            </w14:solidFill>
          </w14:textFill>
        </w:rPr>
        <w:t xml:space="preserve">. [online] Available at: </w:t>
      </w:r>
      <w:r>
        <w:rPr>
          <w:rFonts w:eastAsia="Times New Roman"/>
        </w:rPr>
        <w:t>https://www.unfpa.org/climate-change</w:t>
      </w:r>
      <w:r>
        <w:rPr>
          <w:color w:val="000000" w:themeColor="text1"/>
          <w14:textFill>
            <w14:solidFill>
              <w14:schemeClr w14:val="tx1"/>
            </w14:solidFill>
          </w14:textFill>
        </w:rPr>
        <w:t xml:space="preserve"> [Accessed 5 May 2020].</w:t>
      </w:r>
    </w:p>
    <w:p>
      <w:pPr>
        <w:numPr>
          <w:ilvl w:val="0"/>
          <w:numId w:val="1"/>
        </w:numPr>
        <w:ind w:left="425" w:leftChars="0" w:hanging="425" w:firstLineChars="0"/>
      </w:pPr>
      <w:r>
        <w:rPr>
          <w:color w:val="000000" w:themeColor="text1"/>
          <w14:textFill>
            <w14:solidFill>
              <w14:schemeClr w14:val="tx1"/>
            </w14:solidFill>
          </w14:textFill>
        </w:rPr>
        <w:t xml:space="preserve">United Nations Sustainable Development. (2020). </w:t>
      </w:r>
      <w:r>
        <w:rPr>
          <w:i/>
          <w:iCs/>
          <w:color w:val="000000" w:themeColor="text1"/>
          <w14:textFill>
            <w14:solidFill>
              <w14:schemeClr w14:val="tx1"/>
            </w14:solidFill>
          </w14:textFill>
        </w:rPr>
        <w:t>Climate Change - United Nations Sustainable Development</w:t>
      </w:r>
      <w:r>
        <w:rPr>
          <w:color w:val="000000" w:themeColor="text1"/>
          <w14:textFill>
            <w14:solidFill>
              <w14:schemeClr w14:val="tx1"/>
            </w14:solidFill>
          </w14:textFill>
        </w:rPr>
        <w:t>. [online] Available at: https://www.un.org/sustainabledevelopment/climate-change/ [Accessed 5 May 2020].</w:t>
      </w:r>
    </w:p>
    <w:p>
      <w:pPr>
        <w:numPr>
          <w:ilvl w:val="0"/>
          <w:numId w:val="1"/>
        </w:numPr>
        <w:ind w:left="425" w:leftChars="0" w:hanging="425" w:firstLineChars="0"/>
      </w:pPr>
      <w:r>
        <w:t>World Health Organization. (2016). Papua New Guinea-WHO Country Cooperation Strategy 2016-2020.</w:t>
      </w:r>
    </w:p>
    <w:p>
      <w:pPr>
        <w:ind w:left="720" w:hanging="720"/>
        <w:rPr>
          <w:rFonts w:eastAsia="Times New Roman"/>
        </w:rPr>
      </w:pPr>
    </w:p>
    <w:p/>
    <w:sectPr>
      <w:footerReference r:id="rId7" w:type="first"/>
      <w:footerReference r:id="rId6" w:type="default"/>
      <w:pgSz w:w="11906" w:h="16838"/>
      <w:pgMar w:top="1440" w:right="1440" w:bottom="1440" w:left="1440" w:header="708" w:footer="708" w:gutter="0"/>
      <w:pgNumType w:fmt="decimal" w:start="1"/>
      <w:cols w:space="708" w:num="1"/>
      <w:titlePg/>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43"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86"/>
    <w:family w:val="swiss"/>
    <w:pitch w:val="default"/>
    <w:sig w:usb0="E0002AFF" w:usb1="C000247B" w:usb2="00000009" w:usb3="00000000" w:csb0="200001FF" w:csb1="00000000"/>
  </w:font>
  <w:font w:name="Calibri">
    <w:panose1 w:val="020F0502020204030204"/>
    <w:charset w:val="86"/>
    <w:family w:val="auto"/>
    <w:pitch w:val="default"/>
    <w:sig w:usb0="E0002AFF" w:usb1="C000247B" w:usb2="00000009" w:usb3="00000000" w:csb0="200001FF" w:csb1="00000000"/>
  </w:font>
  <w:font w:name="等线 Light">
    <w:panose1 w:val="02010600030101010101"/>
    <w:charset w:val="86"/>
    <w:family w:val="auto"/>
    <w:pitch w:val="default"/>
    <w:sig w:usb0="A00002BF" w:usb1="38CF7CFA" w:usb2="00000016" w:usb3="00000000" w:csb0="0004000F" w:csb1="00000000"/>
  </w:font>
  <w:font w:name="Calibri Light">
    <w:panose1 w:val="020F0302020204030204"/>
    <w:charset w:val="00"/>
    <w:family w:val="swiss"/>
    <w:pitch w:val="default"/>
    <w:sig w:usb0="E0002AFF" w:usb1="C000247B" w:usb2="00000009" w:usb3="00000000" w:csb0="200001FF" w:csb1="00000000"/>
  </w:font>
  <w:font w:name="Tahoma">
    <w:panose1 w:val="020B0604030504040204"/>
    <w:charset w:val="00"/>
    <w:family w:val="swiss"/>
    <w:pitch w:val="default"/>
    <w:sig w:usb0="E1002EFF" w:usb1="C000605B" w:usb2="00000029" w:usb3="00000000" w:csb0="200101FF" w:csb1="20280000"/>
  </w:font>
  <w:font w:name="等线">
    <w:panose1 w:val="02010600030101010101"/>
    <w:charset w:val="86"/>
    <w:family w:val="auto"/>
    <w:pitch w:val="default"/>
    <w:sig w:usb0="A00002BF" w:usb1="38CF7CFA" w:usb2="00000016" w:usb3="00000000" w:csb0="0004000F" w:csb1="00000000"/>
  </w:font>
  <w:font w:name="Calibri">
    <w:panose1 w:val="020F0502020204030204"/>
    <w:charset w:val="86"/>
    <w:family w:val="auto"/>
    <w:pitch w:val="default"/>
    <w:sig w:usb0="E0002AFF" w:usb1="C000247B" w:usb2="00000009" w:usb3="00000000" w:csb0="200001FF" w:csb1="00000000"/>
  </w:font>
  <w:font w:name="Calibri">
    <w:panose1 w:val="020F0502020204030204"/>
    <w:charset w:val="86"/>
    <w:family w:val="auto"/>
    <w:pitch w:val="default"/>
    <w:sig w:usb0="E0002AFF" w:usb1="C000247B" w:usb2="00000009" w:usb3="00000000" w:csb0="200001FF" w:csb1="00000000"/>
  </w:font>
  <w:font w:name="Calibri">
    <w:panose1 w:val="020F0502020204030204"/>
    <w:charset w:val="86"/>
    <w:family w:val="auto"/>
    <w:pitch w:val="default"/>
    <w:sig w:usb0="E0002AFF" w:usb1="C000247B" w:usb2="00000009" w:usb3="00000000" w:csb0="200001FF" w:csb1="00000000"/>
  </w:font>
  <w:font w:name="Calibri">
    <w:panose1 w:val="020F0502020204030204"/>
    <w:charset w:val="86"/>
    <w:family w:val="auto"/>
    <w:pitch w:val="default"/>
    <w:sig w:usb0="E0002AFF" w:usb1="C000247B" w:usb2="00000009" w:usb3="00000000" w:csb0="200001FF" w:csb1="00000000"/>
  </w:font>
  <w:font w:name="Calibri">
    <w:panose1 w:val="020F0502020204030204"/>
    <w:charset w:val="00"/>
    <w:family w:val="auto"/>
    <w:pitch w:val="default"/>
    <w:sig w:usb0="E0002AFF" w:usb1="C000247B" w:usb2="00000009" w:usb3="00000000" w:csb0="2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jc w:val="right"/>
    </w:pPr>
  </w:p>
  <w:p>
    <w:pPr>
      <w:pStyle w:val="7"/>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jc w:val="right"/>
    </w:pPr>
    <w:r>
      <w:rPr>
        <w:sz w:val="24"/>
      </w:rPr>
      <mc:AlternateContent>
        <mc:Choice Requires="wps">
          <w:drawing>
            <wp:anchor distT="0" distB="0" distL="114300" distR="114300" simplePos="0" relativeHeight="251658240" behindDoc="0" locked="0" layoutInCell="1" allowOverlap="1">
              <wp:simplePos x="0" y="0"/>
              <wp:positionH relativeFrom="margin">
                <wp:align>center</wp:align>
              </wp:positionH>
              <wp:positionV relativeFrom="paragraph">
                <wp:posOffset>0</wp:posOffset>
              </wp:positionV>
              <wp:extent cx="1828800" cy="1828800"/>
              <wp:effectExtent l="0" t="0" r="0" b="0"/>
              <wp:wrapNone/>
              <wp:docPr id="3" name="文本框 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pPr>
                            <w:pStyle w:val="7"/>
                            <w:rPr>
                              <w:rFonts w:hint="default"/>
                              <w:lang w:val="en-IE"/>
                            </w:rPr>
                          </w:pPr>
                          <w:r>
                            <w:rPr>
                              <w:lang w:val="en-IE"/>
                            </w:rPr>
                            <w:fldChar w:fldCharType="begin"/>
                          </w:r>
                          <w:r>
                            <w:rPr>
                              <w:lang w:val="en-IE"/>
                            </w:rPr>
                            <w:instrText xml:space="preserve"> PAGE  \* MERGEFORMAT </w:instrText>
                          </w:r>
                          <w:r>
                            <w:rPr>
                              <w:lang w:val="en-IE"/>
                            </w:rPr>
                            <w:fldChar w:fldCharType="separate"/>
                          </w:r>
                          <w:r>
                            <w:rPr>
                              <w:lang w:val="en-IE"/>
                            </w:rPr>
                            <w:t>4</w:t>
                          </w:r>
                          <w:r>
                            <w:rPr>
                              <w:lang w:val="en-IE"/>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8240;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">
              <v:fill on="f" focussize="0,0"/>
              <v:stroke on="f" weight="0.5pt"/>
              <v:imagedata o:title=""/>
              <o:lock v:ext="edit" aspectratio="f"/>
              <v:textbox inset="0mm,0mm,0mm,0mm" style="mso-fit-shape-to-text:t;">
                <w:txbxContent>
                  <w:p>
                    <w:pPr>
                      <w:pStyle w:val="7"/>
                      <w:rPr>
                        <w:rFonts w:hint="default"/>
                        <w:lang w:val="en-IE"/>
                      </w:rPr>
                    </w:pPr>
                    <w:r>
                      <w:rPr>
                        <w:lang w:val="en-IE"/>
                      </w:rPr>
                      <w:fldChar w:fldCharType="begin"/>
                    </w:r>
                    <w:r>
                      <w:rPr>
                        <w:lang w:val="en-IE"/>
                      </w:rPr>
                      <w:instrText xml:space="preserve"> PAGE  \* MERGEFORMAT </w:instrText>
                    </w:r>
                    <w:r>
                      <w:rPr>
                        <w:lang w:val="en-IE"/>
                      </w:rPr>
                      <w:fldChar w:fldCharType="separate"/>
                    </w:r>
                    <w:r>
                      <w:rPr>
                        <w:lang w:val="en-IE"/>
                      </w:rPr>
                      <w:t>4</w:t>
                    </w:r>
                    <w:r>
                      <w:rPr>
                        <w:lang w:val="en-IE"/>
                      </w:rPr>
                      <w:fldChar w:fldCharType="end"/>
                    </w:r>
                  </w:p>
                </w:txbxContent>
              </v:textbox>
            </v:shape>
          </w:pict>
        </mc:Fallback>
      </mc:AlternateContent>
    </w:r>
  </w:p>
  <w:p>
    <w:pPr>
      <w:pStyle w:val="7"/>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pPr>
    <w:r>
      <w:rPr>
        <w:sz w:val="24"/>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4" name="文本框 4"/>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pPr>
                            <w:pStyle w:val="7"/>
                            <w:rPr>
                              <w:rFonts w:hint="default"/>
                              <w:lang w:val="en-IE"/>
                            </w:rPr>
                          </w:pPr>
                          <w:r>
                            <w:rPr>
                              <w:lang w:val="en-IE"/>
                            </w:rPr>
                            <w:fldChar w:fldCharType="begin"/>
                          </w:r>
                          <w:r>
                            <w:rPr>
                              <w:lang w:val="en-IE"/>
                            </w:rPr>
                            <w:instrText xml:space="preserve"> PAGE  \* MERGEFORMAT </w:instrText>
                          </w:r>
                          <w:r>
                            <w:rPr>
                              <w:lang w:val="en-IE"/>
                            </w:rPr>
                            <w:fldChar w:fldCharType="separate"/>
                          </w:r>
                          <w:r>
                            <w:rPr>
                              <w:lang w:val="en-IE"/>
                            </w:rPr>
                            <w:t>1</w:t>
                          </w:r>
                          <w:r>
                            <w:rPr>
                              <w:lang w:val="en-IE"/>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">
              <v:fill on="f" focussize="0,0"/>
              <v:stroke on="f" weight="0.5pt"/>
              <v:imagedata o:title=""/>
              <o:lock v:ext="edit" aspectratio="f"/>
              <v:textbox inset="0mm,0mm,0mm,0mm" style="mso-fit-shape-to-text:t;">
                <w:txbxContent>
                  <w:p>
                    <w:pPr>
                      <w:pStyle w:val="7"/>
                      <w:rPr>
                        <w:rFonts w:hint="default"/>
                        <w:lang w:val="en-IE"/>
                      </w:rPr>
                    </w:pPr>
                    <w:r>
                      <w:rPr>
                        <w:lang w:val="en-IE"/>
                      </w:rPr>
                      <w:fldChar w:fldCharType="begin"/>
                    </w:r>
                    <w:r>
                      <w:rPr>
                        <w:lang w:val="en-IE"/>
                      </w:rPr>
                      <w:instrText xml:space="preserve"> PAGE  \* MERGEFORMAT </w:instrText>
                    </w:r>
                    <w:r>
                      <w:rPr>
                        <w:lang w:val="en-IE"/>
                      </w:rPr>
                      <w:fldChar w:fldCharType="separate"/>
                    </w:r>
                    <w:r>
                      <w:rPr>
                        <w:lang w:val="en-IE"/>
                      </w:rPr>
                      <w:t>1</w:t>
                    </w:r>
                    <w:r>
                      <w:rPr>
                        <w:lang w:val="en-IE"/>
                      </w:rPr>
                      <w:fldChar w:fldCharType="end"/>
                    </w:r>
                  </w:p>
                </w:txbxContent>
              </v:textbox>
            </v:shape>
          </w:pict>
        </mc:Fallback>
      </mc:AlternateContent>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rPr>
        <w:rFonts w:eastAsia="Times New Roman"/>
        <w:bCs/>
      </w:rPr>
    </w:pPr>
    <w:r>
      <w:rPr>
        <w:rFonts w:eastAsia="Times New Roman"/>
        <w:bCs/>
      </w:rPr>
      <w:t>Global CSR- Climate Action</w:t>
    </w:r>
  </w:p>
  <w:p>
    <w:pPr>
      <w:pStyle w:val="8"/>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8"/>
    </w:pPr>
    <w:r>
      <w:t>Global CSR- Climate Action</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60AB736"/>
    <w:multiLevelType w:val="singleLevel"/>
    <w:tmpl w:val="560AB736"/>
    <w:lvl w:ilvl="0" w:tentative="0">
      <w:start w:val="1"/>
      <w:numFmt w:val="decimal"/>
      <w:lvlText w:val="%1."/>
      <w:lvlJc w:val="left"/>
      <w:pPr>
        <w:ind w:left="425" w:hanging="425"/>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ocumentProtection w:enforcement="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F0E31"/>
    <w:rsid w:val="00005996"/>
    <w:rsid w:val="00027054"/>
    <w:rsid w:val="00027A0E"/>
    <w:rsid w:val="00033480"/>
    <w:rsid w:val="000373CB"/>
    <w:rsid w:val="00053DC0"/>
    <w:rsid w:val="00075B39"/>
    <w:rsid w:val="000A116C"/>
    <w:rsid w:val="000B47BE"/>
    <w:rsid w:val="000C2569"/>
    <w:rsid w:val="000D0EF2"/>
    <w:rsid w:val="000F13E6"/>
    <w:rsid w:val="000F578D"/>
    <w:rsid w:val="000F75D6"/>
    <w:rsid w:val="00124DF2"/>
    <w:rsid w:val="0012568B"/>
    <w:rsid w:val="00125F62"/>
    <w:rsid w:val="001269C6"/>
    <w:rsid w:val="00132292"/>
    <w:rsid w:val="0018303D"/>
    <w:rsid w:val="00197D51"/>
    <w:rsid w:val="001A70B0"/>
    <w:rsid w:val="001A7F2F"/>
    <w:rsid w:val="001B1ECE"/>
    <w:rsid w:val="001B5678"/>
    <w:rsid w:val="001C02FF"/>
    <w:rsid w:val="001C1B53"/>
    <w:rsid w:val="001C28B8"/>
    <w:rsid w:val="001D00E3"/>
    <w:rsid w:val="001F0459"/>
    <w:rsid w:val="002029BC"/>
    <w:rsid w:val="00204DFD"/>
    <w:rsid w:val="00222853"/>
    <w:rsid w:val="002331D0"/>
    <w:rsid w:val="002366AC"/>
    <w:rsid w:val="00267611"/>
    <w:rsid w:val="0028506D"/>
    <w:rsid w:val="002A2538"/>
    <w:rsid w:val="002B0303"/>
    <w:rsid w:val="002D229B"/>
    <w:rsid w:val="00322A37"/>
    <w:rsid w:val="00332580"/>
    <w:rsid w:val="00376487"/>
    <w:rsid w:val="00380152"/>
    <w:rsid w:val="003835A6"/>
    <w:rsid w:val="003B3B08"/>
    <w:rsid w:val="003C01C8"/>
    <w:rsid w:val="003E04A4"/>
    <w:rsid w:val="003E432D"/>
    <w:rsid w:val="003E72E3"/>
    <w:rsid w:val="004116F2"/>
    <w:rsid w:val="0041777D"/>
    <w:rsid w:val="0044301E"/>
    <w:rsid w:val="0044443F"/>
    <w:rsid w:val="00477178"/>
    <w:rsid w:val="00485679"/>
    <w:rsid w:val="00494F2D"/>
    <w:rsid w:val="004B6F15"/>
    <w:rsid w:val="004C126E"/>
    <w:rsid w:val="004F62D0"/>
    <w:rsid w:val="004F791B"/>
    <w:rsid w:val="0050206D"/>
    <w:rsid w:val="00511512"/>
    <w:rsid w:val="00537D16"/>
    <w:rsid w:val="00552138"/>
    <w:rsid w:val="00564F82"/>
    <w:rsid w:val="00567106"/>
    <w:rsid w:val="00567938"/>
    <w:rsid w:val="00572BF0"/>
    <w:rsid w:val="00584432"/>
    <w:rsid w:val="00587DB5"/>
    <w:rsid w:val="005909E2"/>
    <w:rsid w:val="00593A2F"/>
    <w:rsid w:val="005A143A"/>
    <w:rsid w:val="005A3ED7"/>
    <w:rsid w:val="005E7C9C"/>
    <w:rsid w:val="005F7F28"/>
    <w:rsid w:val="00601BBA"/>
    <w:rsid w:val="00601D7E"/>
    <w:rsid w:val="00602EF3"/>
    <w:rsid w:val="00617628"/>
    <w:rsid w:val="00617E48"/>
    <w:rsid w:val="0062134B"/>
    <w:rsid w:val="00622E55"/>
    <w:rsid w:val="00650C03"/>
    <w:rsid w:val="00650E70"/>
    <w:rsid w:val="00650F92"/>
    <w:rsid w:val="00683662"/>
    <w:rsid w:val="006A0C3F"/>
    <w:rsid w:val="006C03DF"/>
    <w:rsid w:val="006D6B94"/>
    <w:rsid w:val="006E4688"/>
    <w:rsid w:val="006E61E9"/>
    <w:rsid w:val="006F2512"/>
    <w:rsid w:val="006F7EA2"/>
    <w:rsid w:val="0070729A"/>
    <w:rsid w:val="00720A5F"/>
    <w:rsid w:val="00727A91"/>
    <w:rsid w:val="00730B80"/>
    <w:rsid w:val="00731141"/>
    <w:rsid w:val="00743024"/>
    <w:rsid w:val="0074749A"/>
    <w:rsid w:val="0076356B"/>
    <w:rsid w:val="0077065C"/>
    <w:rsid w:val="00771395"/>
    <w:rsid w:val="00777AD0"/>
    <w:rsid w:val="007A6A4B"/>
    <w:rsid w:val="007B6A78"/>
    <w:rsid w:val="007D2C65"/>
    <w:rsid w:val="007F0A6D"/>
    <w:rsid w:val="007F0E31"/>
    <w:rsid w:val="007F2515"/>
    <w:rsid w:val="007F2B81"/>
    <w:rsid w:val="008230EF"/>
    <w:rsid w:val="00841FFB"/>
    <w:rsid w:val="00847A1B"/>
    <w:rsid w:val="00850804"/>
    <w:rsid w:val="008575F7"/>
    <w:rsid w:val="00863A22"/>
    <w:rsid w:val="00875776"/>
    <w:rsid w:val="00875A06"/>
    <w:rsid w:val="008B15E0"/>
    <w:rsid w:val="008B53BC"/>
    <w:rsid w:val="008C7048"/>
    <w:rsid w:val="008E5A2C"/>
    <w:rsid w:val="00912E75"/>
    <w:rsid w:val="00925D1F"/>
    <w:rsid w:val="00940AE4"/>
    <w:rsid w:val="00971850"/>
    <w:rsid w:val="0099544E"/>
    <w:rsid w:val="009B17F9"/>
    <w:rsid w:val="009C1D34"/>
    <w:rsid w:val="009C376E"/>
    <w:rsid w:val="009D444A"/>
    <w:rsid w:val="009D509B"/>
    <w:rsid w:val="009E22FA"/>
    <w:rsid w:val="009E3CFC"/>
    <w:rsid w:val="009E445C"/>
    <w:rsid w:val="009F28C6"/>
    <w:rsid w:val="00A24FF2"/>
    <w:rsid w:val="00A60432"/>
    <w:rsid w:val="00A64601"/>
    <w:rsid w:val="00A80365"/>
    <w:rsid w:val="00A87B92"/>
    <w:rsid w:val="00A87EB4"/>
    <w:rsid w:val="00AA46ED"/>
    <w:rsid w:val="00AA4FD2"/>
    <w:rsid w:val="00AC6804"/>
    <w:rsid w:val="00AD7168"/>
    <w:rsid w:val="00AE676D"/>
    <w:rsid w:val="00AF3642"/>
    <w:rsid w:val="00B04DEE"/>
    <w:rsid w:val="00B07FAB"/>
    <w:rsid w:val="00B13073"/>
    <w:rsid w:val="00B13A54"/>
    <w:rsid w:val="00B23CE7"/>
    <w:rsid w:val="00B353FA"/>
    <w:rsid w:val="00B35D71"/>
    <w:rsid w:val="00B5647A"/>
    <w:rsid w:val="00B62DB6"/>
    <w:rsid w:val="00B7569C"/>
    <w:rsid w:val="00B77CCC"/>
    <w:rsid w:val="00B8068C"/>
    <w:rsid w:val="00B82616"/>
    <w:rsid w:val="00B90AEC"/>
    <w:rsid w:val="00B95507"/>
    <w:rsid w:val="00B95591"/>
    <w:rsid w:val="00BD0326"/>
    <w:rsid w:val="00BE3A37"/>
    <w:rsid w:val="00BE786D"/>
    <w:rsid w:val="00BF100E"/>
    <w:rsid w:val="00C302A2"/>
    <w:rsid w:val="00C400EE"/>
    <w:rsid w:val="00C57F84"/>
    <w:rsid w:val="00C626EA"/>
    <w:rsid w:val="00C745F3"/>
    <w:rsid w:val="00C86A96"/>
    <w:rsid w:val="00C92CDB"/>
    <w:rsid w:val="00C93660"/>
    <w:rsid w:val="00CA1AD5"/>
    <w:rsid w:val="00CC0AE9"/>
    <w:rsid w:val="00CE75C4"/>
    <w:rsid w:val="00D0642C"/>
    <w:rsid w:val="00D158B9"/>
    <w:rsid w:val="00D65A5A"/>
    <w:rsid w:val="00D67613"/>
    <w:rsid w:val="00D70278"/>
    <w:rsid w:val="00DA3B49"/>
    <w:rsid w:val="00DB42FE"/>
    <w:rsid w:val="00DD6939"/>
    <w:rsid w:val="00DE187F"/>
    <w:rsid w:val="00DE47BB"/>
    <w:rsid w:val="00E30D90"/>
    <w:rsid w:val="00E35594"/>
    <w:rsid w:val="00E612B1"/>
    <w:rsid w:val="00E71A63"/>
    <w:rsid w:val="00E81737"/>
    <w:rsid w:val="00E97D36"/>
    <w:rsid w:val="00EB0D5C"/>
    <w:rsid w:val="00EB376C"/>
    <w:rsid w:val="00EB48F5"/>
    <w:rsid w:val="00ED3F02"/>
    <w:rsid w:val="00EE772F"/>
    <w:rsid w:val="00EF4AC3"/>
    <w:rsid w:val="00F22EA9"/>
    <w:rsid w:val="00F26AE5"/>
    <w:rsid w:val="00F306AC"/>
    <w:rsid w:val="00F42818"/>
    <w:rsid w:val="00F52373"/>
    <w:rsid w:val="00F633C9"/>
    <w:rsid w:val="00F63BEB"/>
    <w:rsid w:val="00F71DF9"/>
    <w:rsid w:val="00F82678"/>
    <w:rsid w:val="00F92263"/>
    <w:rsid w:val="00FA3E08"/>
    <w:rsid w:val="00FA4D9D"/>
    <w:rsid w:val="00FB4C22"/>
    <w:rsid w:val="00FE11B1"/>
    <w:rsid w:val="23C055EE"/>
    <w:rsid w:val="5FFCDBEE"/>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HAnsi"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uiPriority="39" w:semiHidden="0" w:name="toc 2"/>
    <w:lsdException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20" w:line="360" w:lineRule="auto"/>
    </w:pPr>
    <w:rPr>
      <w:rFonts w:ascii="Times New Roman" w:hAnsi="Times New Roman" w:eastAsiaTheme="minorHAnsi" w:cstheme="minorBidi"/>
      <w:sz w:val="24"/>
      <w:szCs w:val="22"/>
      <w:lang w:val="en-IN" w:eastAsia="en-US" w:bidi="ar-SA"/>
    </w:rPr>
  </w:style>
  <w:style w:type="paragraph" w:styleId="2">
    <w:name w:val="heading 1"/>
    <w:basedOn w:val="1"/>
    <w:next w:val="1"/>
    <w:link w:val="15"/>
    <w:qFormat/>
    <w:uiPriority w:val="9"/>
    <w:pPr>
      <w:keepNext/>
      <w:keepLines/>
      <w:spacing w:before="240"/>
      <w:outlineLvl w:val="0"/>
    </w:pPr>
    <w:rPr>
      <w:rFonts w:eastAsiaTheme="majorEastAsia" w:cstheme="majorBidi"/>
      <w:b/>
      <w:color w:val="000000" w:themeColor="text1"/>
      <w:szCs w:val="32"/>
      <w14:textFill>
        <w14:solidFill>
          <w14:schemeClr w14:val="tx1"/>
        </w14:solidFill>
      </w14:textFill>
    </w:rPr>
  </w:style>
  <w:style w:type="paragraph" w:styleId="3">
    <w:name w:val="heading 2"/>
    <w:basedOn w:val="1"/>
    <w:next w:val="1"/>
    <w:link w:val="16"/>
    <w:unhideWhenUsed/>
    <w:qFormat/>
    <w:uiPriority w:val="9"/>
    <w:pPr>
      <w:keepNext/>
      <w:keepLines/>
      <w:spacing w:before="40" w:after="0"/>
      <w:outlineLvl w:val="1"/>
    </w:pPr>
    <w:rPr>
      <w:rFonts w:eastAsiaTheme="majorEastAsia" w:cstheme="majorBidi"/>
      <w:b/>
      <w:color w:val="000000" w:themeColor="text1"/>
      <w:szCs w:val="26"/>
      <w14:textFill>
        <w14:solidFill>
          <w14:schemeClr w14:val="tx1"/>
        </w14:solidFill>
      </w14:textFill>
    </w:rPr>
  </w:style>
  <w:style w:type="paragraph" w:styleId="4">
    <w:name w:val="heading 3"/>
    <w:basedOn w:val="1"/>
    <w:next w:val="1"/>
    <w:link w:val="18"/>
    <w:unhideWhenUsed/>
    <w:qFormat/>
    <w:uiPriority w:val="9"/>
    <w:pPr>
      <w:keepNext/>
      <w:keepLines/>
      <w:spacing w:after="0"/>
      <w:ind w:firstLine="360"/>
      <w:outlineLvl w:val="2"/>
    </w:pPr>
    <w:rPr>
      <w:rFonts w:eastAsiaTheme="majorEastAsia" w:cstheme="majorBidi"/>
      <w:b/>
      <w:color w:val="000000" w:themeColor="text1"/>
      <w:szCs w:val="24"/>
      <w14:textFill>
        <w14:solidFill>
          <w14:schemeClr w14:val="tx1"/>
        </w14:solidFill>
      </w14:textFill>
    </w:rPr>
  </w:style>
  <w:style w:type="character" w:default="1" w:styleId="13">
    <w:name w:val="Default Paragraph Font"/>
    <w:semiHidden/>
    <w:unhideWhenUsed/>
    <w:uiPriority w:val="1"/>
  </w:style>
  <w:style w:type="table" w:default="1" w:styleId="11">
    <w:name w:val="Normal Table"/>
    <w:semiHidden/>
    <w:unhideWhenUsed/>
    <w:uiPriority w:val="99"/>
    <w:tblPr>
      <w:tblCellMar>
        <w:top w:w="0" w:type="dxa"/>
        <w:left w:w="108" w:type="dxa"/>
        <w:bottom w:w="0" w:type="dxa"/>
        <w:right w:w="108" w:type="dxa"/>
      </w:tblCellMar>
    </w:tblPr>
  </w:style>
  <w:style w:type="paragraph" w:styleId="5">
    <w:name w:val="toc 3"/>
    <w:basedOn w:val="1"/>
    <w:next w:val="1"/>
    <w:unhideWhenUsed/>
    <w:uiPriority w:val="39"/>
    <w:pPr>
      <w:spacing w:after="100"/>
      <w:ind w:left="480"/>
    </w:pPr>
  </w:style>
  <w:style w:type="paragraph" w:styleId="6">
    <w:name w:val="Balloon Text"/>
    <w:basedOn w:val="1"/>
    <w:link w:val="23"/>
    <w:semiHidden/>
    <w:unhideWhenUsed/>
    <w:qFormat/>
    <w:uiPriority w:val="99"/>
    <w:pPr>
      <w:spacing w:after="0" w:line="240" w:lineRule="auto"/>
    </w:pPr>
    <w:rPr>
      <w:rFonts w:ascii="Tahoma" w:hAnsi="Tahoma" w:cs="Tahoma"/>
      <w:sz w:val="16"/>
      <w:szCs w:val="16"/>
    </w:rPr>
  </w:style>
  <w:style w:type="paragraph" w:styleId="7">
    <w:name w:val="footer"/>
    <w:basedOn w:val="1"/>
    <w:link w:val="21"/>
    <w:unhideWhenUsed/>
    <w:uiPriority w:val="99"/>
    <w:pPr>
      <w:tabs>
        <w:tab w:val="center" w:pos="4513"/>
        <w:tab w:val="right" w:pos="9026"/>
      </w:tabs>
      <w:spacing w:after="0" w:line="240" w:lineRule="auto"/>
    </w:pPr>
  </w:style>
  <w:style w:type="paragraph" w:styleId="8">
    <w:name w:val="header"/>
    <w:basedOn w:val="1"/>
    <w:link w:val="20"/>
    <w:unhideWhenUsed/>
    <w:qFormat/>
    <w:uiPriority w:val="99"/>
    <w:pPr>
      <w:tabs>
        <w:tab w:val="center" w:pos="4513"/>
        <w:tab w:val="right" w:pos="9026"/>
      </w:tabs>
      <w:spacing w:after="0" w:line="240" w:lineRule="auto"/>
    </w:pPr>
  </w:style>
  <w:style w:type="paragraph" w:styleId="9">
    <w:name w:val="toc 1"/>
    <w:basedOn w:val="1"/>
    <w:next w:val="1"/>
    <w:unhideWhenUsed/>
    <w:qFormat/>
    <w:uiPriority w:val="39"/>
    <w:pPr>
      <w:spacing w:after="100"/>
    </w:pPr>
  </w:style>
  <w:style w:type="paragraph" w:styleId="10">
    <w:name w:val="toc 2"/>
    <w:basedOn w:val="1"/>
    <w:next w:val="1"/>
    <w:unhideWhenUsed/>
    <w:uiPriority w:val="39"/>
    <w:pPr>
      <w:spacing w:after="100"/>
      <w:ind w:left="240"/>
    </w:pPr>
  </w:style>
  <w:style w:type="table" w:styleId="12">
    <w:name w:val="Table Grid"/>
    <w:basedOn w:val="11"/>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4">
    <w:name w:val="Hyperlink"/>
    <w:basedOn w:val="13"/>
    <w:unhideWhenUsed/>
    <w:uiPriority w:val="99"/>
    <w:rPr>
      <w:color w:val="0563C1" w:themeColor="hyperlink"/>
      <w:u w:val="single"/>
      <w14:textFill>
        <w14:solidFill>
          <w14:schemeClr w14:val="hlink"/>
        </w14:solidFill>
      </w14:textFill>
    </w:rPr>
  </w:style>
  <w:style w:type="character" w:customStyle="1" w:styleId="15">
    <w:name w:val="Heading 1 Char"/>
    <w:basedOn w:val="13"/>
    <w:link w:val="2"/>
    <w:uiPriority w:val="9"/>
    <w:rPr>
      <w:rFonts w:ascii="Times New Roman" w:hAnsi="Times New Roman" w:eastAsiaTheme="majorEastAsia" w:cstheme="majorBidi"/>
      <w:b/>
      <w:color w:val="000000" w:themeColor="text1"/>
      <w:sz w:val="24"/>
      <w:szCs w:val="32"/>
      <w14:textFill>
        <w14:solidFill>
          <w14:schemeClr w14:val="tx1"/>
        </w14:solidFill>
      </w14:textFill>
    </w:rPr>
  </w:style>
  <w:style w:type="character" w:customStyle="1" w:styleId="16">
    <w:name w:val="Heading 2 Char"/>
    <w:basedOn w:val="13"/>
    <w:link w:val="3"/>
    <w:qFormat/>
    <w:uiPriority w:val="9"/>
    <w:rPr>
      <w:rFonts w:ascii="Times New Roman" w:hAnsi="Times New Roman" w:eastAsiaTheme="majorEastAsia" w:cstheme="majorBidi"/>
      <w:b/>
      <w:color w:val="000000" w:themeColor="text1"/>
      <w:sz w:val="24"/>
      <w:szCs w:val="26"/>
      <w14:textFill>
        <w14:solidFill>
          <w14:schemeClr w14:val="tx1"/>
        </w14:solidFill>
      </w14:textFill>
    </w:rPr>
  </w:style>
  <w:style w:type="paragraph" w:customStyle="1" w:styleId="17">
    <w:name w:val="Style1"/>
    <w:basedOn w:val="4"/>
    <w:link w:val="19"/>
    <w:qFormat/>
    <w:uiPriority w:val="0"/>
    <w:rPr>
      <w:b w:val="0"/>
    </w:rPr>
  </w:style>
  <w:style w:type="character" w:customStyle="1" w:styleId="18">
    <w:name w:val="Heading 3 Char"/>
    <w:basedOn w:val="13"/>
    <w:link w:val="4"/>
    <w:qFormat/>
    <w:uiPriority w:val="9"/>
    <w:rPr>
      <w:rFonts w:ascii="Times New Roman" w:hAnsi="Times New Roman" w:eastAsiaTheme="majorEastAsia" w:cstheme="majorBidi"/>
      <w:b/>
      <w:color w:val="000000" w:themeColor="text1"/>
      <w:sz w:val="24"/>
      <w:szCs w:val="24"/>
      <w14:textFill>
        <w14:solidFill>
          <w14:schemeClr w14:val="tx1"/>
        </w14:solidFill>
      </w14:textFill>
    </w:rPr>
  </w:style>
  <w:style w:type="character" w:customStyle="1" w:styleId="19">
    <w:name w:val="Style1 Char"/>
    <w:basedOn w:val="18"/>
    <w:link w:val="17"/>
    <w:uiPriority w:val="0"/>
    <w:rPr>
      <w:rFonts w:ascii="Times New Roman" w:hAnsi="Times New Roman" w:eastAsiaTheme="majorEastAsia" w:cstheme="majorBidi"/>
      <w:b w:val="0"/>
      <w:color w:val="000000" w:themeColor="text1"/>
      <w:sz w:val="24"/>
      <w:szCs w:val="24"/>
      <w14:textFill>
        <w14:solidFill>
          <w14:schemeClr w14:val="tx1"/>
        </w14:solidFill>
      </w14:textFill>
    </w:rPr>
  </w:style>
  <w:style w:type="character" w:customStyle="1" w:styleId="20">
    <w:name w:val="Header Char"/>
    <w:basedOn w:val="13"/>
    <w:link w:val="8"/>
    <w:uiPriority w:val="99"/>
    <w:rPr>
      <w:rFonts w:ascii="Times New Roman" w:hAnsi="Times New Roman"/>
      <w:sz w:val="24"/>
    </w:rPr>
  </w:style>
  <w:style w:type="character" w:customStyle="1" w:styleId="21">
    <w:name w:val="Footer Char"/>
    <w:basedOn w:val="13"/>
    <w:link w:val="7"/>
    <w:uiPriority w:val="99"/>
    <w:rPr>
      <w:rFonts w:ascii="Times New Roman" w:hAnsi="Times New Roman"/>
      <w:sz w:val="24"/>
    </w:rPr>
  </w:style>
  <w:style w:type="paragraph" w:customStyle="1" w:styleId="22">
    <w:name w:val="TOC Heading"/>
    <w:basedOn w:val="2"/>
    <w:next w:val="1"/>
    <w:unhideWhenUsed/>
    <w:qFormat/>
    <w:uiPriority w:val="39"/>
    <w:pPr>
      <w:spacing w:after="0" w:line="259" w:lineRule="auto"/>
      <w:outlineLvl w:val="9"/>
    </w:pPr>
    <w:rPr>
      <w:rFonts w:asciiTheme="majorHAnsi" w:hAnsiTheme="majorHAnsi"/>
      <w:b w:val="0"/>
      <w:color w:val="2E75B6" w:themeColor="accent1" w:themeShade="BF"/>
      <w:sz w:val="32"/>
      <w:lang w:val="en-US"/>
    </w:rPr>
  </w:style>
  <w:style w:type="character" w:customStyle="1" w:styleId="23">
    <w:name w:val="Balloon Text Char"/>
    <w:basedOn w:val="13"/>
    <w:link w:val="6"/>
    <w:semiHidden/>
    <w:uiPriority w:val="99"/>
    <w:rPr>
      <w:rFonts w:ascii="Tahoma" w:hAnsi="Tahoma" w:cs="Tahoma"/>
      <w:sz w:val="16"/>
      <w:szCs w:val="16"/>
    </w:r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1.xml"/><Relationship Id="rId8" Type="http://schemas.openxmlformats.org/officeDocument/2006/relationships/theme" Target="theme/theme1.xml"/><Relationship Id="rId7" Type="http://schemas.openxmlformats.org/officeDocument/2006/relationships/footer" Target="footer3.xml"/><Relationship Id="rId6" Type="http://schemas.openxmlformats.org/officeDocument/2006/relationships/footer" Target="footer2.xml"/><Relationship Id="rId5" Type="http://schemas.openxmlformats.org/officeDocument/2006/relationships/footer" Target="footer1.xml"/><Relationship Id="rId4" Type="http://schemas.openxmlformats.org/officeDocument/2006/relationships/header" Target="header2.xml"/><Relationship Id="rId3" Type="http://schemas.openxmlformats.org/officeDocument/2006/relationships/header" Target="header1.xml"/><Relationship Id="rId2" Type="http://schemas.openxmlformats.org/officeDocument/2006/relationships/settings" Target="settings.xml"/><Relationship Id="rId12" Type="http://schemas.openxmlformats.org/officeDocument/2006/relationships/fontTable" Target="fontTable.xml"/><Relationship Id="rId11" Type="http://schemas.openxmlformats.org/officeDocument/2006/relationships/customXml" Target="../customXml/item2.xml"/><Relationship Id="rId10" Type="http://schemas.openxmlformats.org/officeDocument/2006/relationships/numbering" Target="numbering.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00A5DB7A-131C-174F-BE9E-4372DF35E247}">
  <ds:schemaRefs/>
</ds:datastoreItem>
</file>

<file path=docProps/app.xml><?xml version="1.0" encoding="utf-8"?>
<Properties xmlns="http://schemas.openxmlformats.org/officeDocument/2006/extended-properties" xmlns:vt="http://schemas.openxmlformats.org/officeDocument/2006/docPropsVTypes">
  <Template>Normal.dotm</Template>
  <Pages>11</Pages>
  <Words>3251</Words>
  <Characters>19537</Characters>
  <Lines>353</Lines>
  <Paragraphs>61</Paragraphs>
  <TotalTime>2</TotalTime>
  <ScaleCrop>false</ScaleCrop>
  <LinksUpToDate>false</LinksUpToDate>
  <CharactersWithSpaces>22747</CharactersWithSpaces>
  <Application>WPS Office_11.1.0.9584_F1E327BC-269C-435d-A152-05C5408002CA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2020-05-08T08:30:00Z</dcterms:created>
  <dc:creator>Administrator</dc:creator>
  <cp:lastModifiedBy>Administrator</cp:lastModifiedBy>
  <dcterms:modified xsi:type="dcterms:W3CDTF">2020-05-14T17:42:20Z</dcterms:modified>
  <cp:revision>5</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2052-11.1.0.9584</vt:lpwstr>
  </property>
</Properties>
</file>