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u w:val="single"/>
          <w:shd w:fill="auto" w:val="clear"/>
        </w:rPr>
        <w:t xml:space="preserve">NAME:</w:t>
      </w:r>
      <w:r>
        <w:rPr>
          <w:rFonts w:ascii="Arial" w:hAnsi="Arial" w:cs="Arial" w:eastAsia="Arial"/>
          <w:b/>
          <w:color w:val="auto"/>
          <w:spacing w:val="0"/>
          <w:position w:val="0"/>
          <w:sz w:val="24"/>
          <w:shd w:fill="auto" w:val="clear"/>
        </w:rPr>
        <w:t xml:space="preserve">  OSAROBO IMADE </w:t>
      </w: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u w:val="single"/>
          <w:shd w:fill="auto" w:val="clear"/>
        </w:rPr>
        <w:t xml:space="preserve">STUDENT NUMBER:</w:t>
      </w:r>
      <w:r>
        <w:rPr>
          <w:rFonts w:ascii="Arial" w:hAnsi="Arial" w:cs="Arial" w:eastAsia="Arial"/>
          <w:b/>
          <w:color w:val="auto"/>
          <w:spacing w:val="0"/>
          <w:position w:val="0"/>
          <w:sz w:val="24"/>
          <w:shd w:fill="auto" w:val="clear"/>
        </w:rPr>
        <w:t xml:space="preserve"> 1815187</w:t>
      </w: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3600" w:firstLine="0"/>
        <w:jc w:val="left"/>
        <w:rPr>
          <w:rFonts w:ascii="Arial" w:hAnsi="Arial" w:cs="Arial" w:eastAsia="Arial"/>
          <w:b/>
          <w:color w:val="auto"/>
          <w:spacing w:val="0"/>
          <w:position w:val="0"/>
          <w:sz w:val="32"/>
          <w:u w:val="single"/>
          <w:shd w:fill="auto" w:val="clear"/>
        </w:rPr>
      </w:pPr>
      <w:r>
        <w:rPr>
          <w:rFonts w:ascii="Arial" w:hAnsi="Arial" w:cs="Arial" w:eastAsia="Arial"/>
          <w:b/>
          <w:color w:val="auto"/>
          <w:spacing w:val="0"/>
          <w:position w:val="0"/>
          <w:sz w:val="32"/>
          <w:shd w:fill="auto" w:val="clear"/>
        </w:rPr>
        <w:t xml:space="preserve">   </w:t>
      </w:r>
      <w:r>
        <w:rPr>
          <w:rFonts w:ascii="Arial" w:hAnsi="Arial" w:cs="Arial" w:eastAsia="Arial"/>
          <w:b/>
          <w:color w:val="auto"/>
          <w:spacing w:val="0"/>
          <w:position w:val="0"/>
          <w:sz w:val="32"/>
          <w:u w:val="single"/>
          <w:shd w:fill="auto" w:val="clear"/>
        </w:rPr>
        <w:t xml:space="preserve">Module:</w:t>
      </w:r>
    </w:p>
    <w:p>
      <w:pPr>
        <w:spacing w:before="0" w:after="200" w:line="360"/>
        <w:ind w:right="0" w:left="2880" w:firstLine="0"/>
        <w:jc w:val="left"/>
        <w:rPr>
          <w:rFonts w:ascii="Arial" w:hAnsi="Arial" w:cs="Arial" w:eastAsia="Arial"/>
          <w:b/>
          <w:color w:val="auto"/>
          <w:spacing w:val="0"/>
          <w:position w:val="0"/>
          <w:sz w:val="32"/>
          <w:u w:val="single"/>
          <w:shd w:fill="auto" w:val="clear"/>
        </w:rPr>
      </w:pPr>
      <w:r>
        <w:rPr>
          <w:rFonts w:ascii="Arial" w:hAnsi="Arial" w:cs="Arial" w:eastAsia="Arial"/>
          <w:b/>
          <w:color w:val="auto"/>
          <w:spacing w:val="0"/>
          <w:position w:val="0"/>
          <w:sz w:val="32"/>
          <w:shd w:fill="auto" w:val="clear"/>
        </w:rPr>
        <w:t xml:space="preserve">   </w:t>
      </w:r>
      <w:r>
        <w:rPr>
          <w:rFonts w:ascii="Arial" w:hAnsi="Arial" w:cs="Arial" w:eastAsia="Arial"/>
          <w:b/>
          <w:color w:val="auto"/>
          <w:spacing w:val="0"/>
          <w:position w:val="0"/>
          <w:sz w:val="32"/>
          <w:u w:val="single"/>
          <w:shd w:fill="auto" w:val="clear"/>
        </w:rPr>
        <w:t xml:space="preserve">BUSINESS SKILLS</w:t>
      </w:r>
    </w:p>
    <w:p>
      <w:pPr>
        <w:spacing w:before="0" w:after="200" w:line="360"/>
        <w:ind w:right="0" w:left="2880" w:firstLine="0"/>
        <w:jc w:val="left"/>
        <w:rPr>
          <w:rFonts w:ascii="Arial" w:hAnsi="Arial" w:cs="Arial" w:eastAsia="Arial"/>
          <w:b/>
          <w:color w:val="auto"/>
          <w:spacing w:val="0"/>
          <w:position w:val="0"/>
          <w:sz w:val="32"/>
          <w:u w:val="single"/>
          <w:shd w:fill="auto" w:val="clear"/>
        </w:rPr>
      </w:pPr>
    </w:p>
    <w:p>
      <w:pPr>
        <w:spacing w:before="0" w:after="200" w:line="360"/>
        <w:ind w:right="0" w:left="216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Module Code: M4X01917</w:t>
      </w:r>
    </w:p>
    <w:p>
      <w:pPr>
        <w:spacing w:before="0" w:after="200" w:line="360"/>
        <w:ind w:right="0" w:left="0" w:firstLine="0"/>
        <w:jc w:val="left"/>
        <w:rPr>
          <w:rFonts w:ascii="Arial" w:hAnsi="Arial" w:cs="Arial" w:eastAsia="Arial"/>
          <w:b/>
          <w:color w:val="auto"/>
          <w:spacing w:val="0"/>
          <w:position w:val="0"/>
          <w:sz w:val="24"/>
          <w:shd w:fill="auto" w:val="clear"/>
        </w:rPr>
      </w:pPr>
      <w:r>
        <w:object w:dxaOrig="7641" w:dyaOrig="4588">
          <v:rect xmlns:o="urn:schemas-microsoft-com:office:office" xmlns:v="urn:schemas-microsoft-com:vml" id="rectole0000000000" style="width:382.050000pt;height:229.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2880" w:firstLine="0"/>
        <w:jc w:val="left"/>
        <w:rPr>
          <w:rFonts w:ascii="Arial" w:hAnsi="Arial" w:cs="Arial" w:eastAsia="Arial"/>
          <w:b/>
          <w:color w:val="auto"/>
          <w:spacing w:val="0"/>
          <w:position w:val="0"/>
          <w:sz w:val="30"/>
          <w:shd w:fill="auto" w:val="clear"/>
        </w:rPr>
      </w:pPr>
      <w:r>
        <w:rPr>
          <w:rFonts w:ascii="Arial" w:hAnsi="Arial" w:cs="Arial" w:eastAsia="Arial"/>
          <w:b/>
          <w:color w:val="auto"/>
          <w:spacing w:val="0"/>
          <w:position w:val="0"/>
          <w:sz w:val="30"/>
          <w:shd w:fill="auto" w:val="clear"/>
        </w:rPr>
        <w:t xml:space="preserve">LECTURER: DALE CLARK</w:t>
      </w: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Legal Legislative Risk in the UK Hotel Industry</w:t>
      </w: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keepNext w:val="true"/>
        <w:keepLines w:val="true"/>
        <w:spacing w:before="60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many regulations, laws, and codes that one should consider when venturing into the hotel industry in the United Kingdom. The Hotel Proprietors Act, 1956 defines a hotel as an establishment that offers sleeping accommodation, food, and drink for without a special contract reward to all people who visit it (Seaquist, 2018). According to Riley (2014), there is a minefield of bureaucracy involved in running a hotel ranging from rules of licensing to health and safety and food hygiene. If something wrong occurs in the hotel, the laws are used to examine if it was the negligence of the owners and employees. The punishment or outcome of such a situation may range from civil to criminal actions against these people. It can be seen that all legislation regarding the workings of the hotel industry has been developed since the 1950s starting with the Hotel Proprietors Act 1956 (Seaquist, 2018). Under the governance of these laws, the management is responsible for providing and maintaining sufficient policies and standards. The employees should also understand the laws and help in ensuring that the firm adheres to the relevant laws. </w:t>
      </w:r>
    </w:p>
    <w:p>
      <w:pPr>
        <w:keepNext w:val="true"/>
        <w:keepLines w:val="true"/>
        <w:spacing w:before="60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Legal Legislative Risks that Managers and Employees need to consider</w:t>
      </w:r>
    </w:p>
    <w:p>
      <w:pPr>
        <w:keepNext w:val="true"/>
        <w:keepLines w:val="true"/>
        <w:spacing w:before="32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 Health and Safety</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 and safety are one of the most essential aspects of hotel management and which managers and employees need to give the most consideration. They are encouraged to conduct safety audits whose objective is to collect information using a checklist or pre-set protocol to determine whether workplace safety services are done as required (Chetsnut et al., 2016). There are laws and regulations that are meant to protect the guests to the hotel as well as the employees. For instance, the Furniture and Furnishings (Fire) (Safety) Regulations 1988 require hoteliers to choose fire-retardant furniture, fixtures, and fittings to be used on the premises. The reason for this is that unexpected fires are a major threat to hotels, particularly kitchen fire. Moreover, hotels should have necessary safety precautions against fire including installing fire exit signs, fire extinguishers and carrying out regular fire drills (Koskela, 2016). The Safety Signs and Signals Regulations Act 1996 covers this aspect displaying fire exit signs and other safety signs. The Gas Safety (Installation and Use) Regulations 1964 also protect the health and safety welfare of guests. The hotel management should ensure that the gas equipment and gas appliances meet the guidelines of the regulation.  The Health and Safety Act 1974 mandates hoteliers to take notice of aspects and substances that may cause injury or illness to the employees. </w:t>
      </w:r>
    </w:p>
    <w:p>
      <w:pPr>
        <w:keepNext w:val="true"/>
        <w:keepLines w:val="true"/>
        <w:spacing w:before="32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 Food Hygiene</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If a hotel serves food, the manager and employees have legal duties to make sure that the food is prepared in a hygienic manner and that in the appropriate way so that it is safe for customers (Lelieveld et al., 2016). Poor food management and hygiene can lead to food poisoning of customers. Food poisoning is a major threat to hotels and is usually as a result of germs that cause illnesses and diseases when they spread onto foods eaten by guests. Germs are significantly affected by temperatures and it is important for the hotel staff to understand the optimal temperature ranges for the different foods they serve. Environmental officers are tasked with ensuring good hygiene standards. General cleanliness is also a crucial aspect that customers consider when choosing a hotel. As such, the management should focus on offering employees with formal hygiene training. Porter and Kramer (2019) explain that cleanliness should not be viewed as just a legal obligation but as good business practice as well. The management should also consider having a written document that outlines the process for checking cleanliness, maintenance schedules, food temperatures, and safety or security checks so as to ensure they comply with statutory obligations. </w:t>
      </w:r>
    </w:p>
    <w:p>
      <w:pPr>
        <w:keepNext w:val="true"/>
        <w:keepLines w:val="true"/>
        <w:spacing w:before="32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 Risk Management </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Heckmann et al. (2015) define risk as the potential for harm or loss. The loss could be damage to property, financial loss, or injury to guests or employees. Understandably, most hotels are interested in avoiding the impact of such risks to their operations and hence have risk management. Risk management refers to the policies, practices, and procedures that are designed to help eliminate or reduce unacceptable risks (Heckmann et al., 2015). The two main reasons why hotels adopt risk management are to avoid injuries to employees and customers and to protect the business from physical or financial ruin. According to the UK Health and Safety Executive Committee (2019), the main causes of ill health and accidents in the hotel include slips, trips, and falls; contact with harmful substances or hot surfaces; cuts, and lifting or manual handling. Reason (2016) explains that most accidents can be prevented through good supervision, management, and effective training. It is the responsibility of the manager and employees to ensure that there are measures in place to prevent the occurrence of such risks. Risk management covers other legal areas including health and safety, data protection, and food hygiene among others. A risk assessment can be conducted to determine the potential of a risk occurring and the management should adopt necessary measures to prevent it. For instance, in order to manage safety risks, the hotel management should ensure proper signage as stipulated by Safety Signs and Signals Regulations Act 1996 is put in place. </w:t>
      </w:r>
    </w:p>
    <w:p>
      <w:pPr>
        <w:keepNext w:val="true"/>
        <w:keepLines w:val="true"/>
        <w:spacing w:before="32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 Data Protection</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emergence of the internet and new related technologies has opened doors to hotels striving to enhance their performance and remain competitive. Sivarajah et al. (2017) explain that hotels strive to access quantitative and qualitative information for enhancing decision-making through the use of Smart Data and Big Data. The new technologies have allowed hotels to adopt online bookings and store data effortlessly. Nonetheless, with the whole new range of advantages, there is also a challenge of protecting the data. The hotels have vast amounts of personal data of the clients including their names, addresses, and payment details. The Data Protection Act 1998 and the Credit Card Order 1990 are examples of laws that regulate the booking process for hotels. There are other laws that regulate digital environments which also encompasses data privacy as well. However, Fenwick et al. (2016) explain that the laws quickly become obsolete because the regulatory process is usually to slow compared to the rapid change or advancements in technology. However, there are two factors that help address this issue with the first being that technology is flexible and can adapt to comply with regulations. Secondly, laws are also changed regularly in responses to technological changes. For instance, the new European data protection regulation, the GDPR was developed in response to the need to have greater control of data along with enhanced security and privacy (Koops &amp; Leenes, 2014). This translates to a great opportunity for hotels that have the capacity to apply it proactively and transparently. </w:t>
      </w:r>
    </w:p>
    <w:p>
      <w:pPr>
        <w:keepNext w:val="true"/>
        <w:keepLines w:val="true"/>
        <w:spacing w:before="32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 Licensing </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Hotels and Restaurants Act, a hotel license is served to one who wishes to use or keep a particular premise as a hotel (Armstrong &amp; Matters, 2016). The manager of the hotel is also issued with a license to exercise overall control of the daily operations of the hotel. The law stipulates that no premises shall be kept as a hotel if there is no valid hotel license. Similarly, no person shall exercise control over the control of the operations of the hotel if he/she does not have a hotel manager’s license. Managers and employees should also understand that the activities that are undertaken, foods and drinks served, and hours for operating a hotel also require specific licensing. For instance, the UK’s Licensing Act 2003 mandates all hotel premises selling alcohol to obtain the relevant license to legitimize the regulated activities (Taylor, 2019). The license also covers entertainment activities such as music and dancing and selling late-night refreshment (between 11 p.m. and 5 a.m.). </w:t>
      </w:r>
    </w:p>
    <w:p>
      <w:pPr>
        <w:keepNext w:val="true"/>
        <w:keepLines w:val="true"/>
        <w:spacing w:before="600" w:after="12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report summarizes a few of the legal legislative risk that hoteliers should consider when venturing into this industry. The various legal areas addressed in the report include licensing, food hygiene, liability, health and safety, and data protection. Different regulations relevant to these legal areas and which managers and employees should be aware of have been explained in the report.</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p>
      <w:pPr>
        <w:keepNext w:val="true"/>
        <w:keepLines w:val="true"/>
        <w:spacing w:before="600" w:after="120" w:line="276"/>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Armstrong, R., &amp; Matters, R. T. (2016). Modern slavery: risks for the UK hospitality industry. </w:t>
      </w:r>
      <w:r>
        <w:rPr>
          <w:rFonts w:ascii="Arial" w:hAnsi="Arial" w:cs="Arial" w:eastAsia="Arial"/>
          <w:i/>
          <w:color w:val="auto"/>
          <w:spacing w:val="0"/>
          <w:position w:val="0"/>
          <w:sz w:val="24"/>
          <w:shd w:fill="auto" w:val="clear"/>
        </w:rPr>
        <w:t xml:space="preserve">Progress in Responsible Tourism</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w:t>
      </w:r>
      <w:r>
        <w:rPr>
          <w:rFonts w:ascii="Arial" w:hAnsi="Arial" w:cs="Arial" w:eastAsia="Arial"/>
          <w:color w:val="auto"/>
          <w:spacing w:val="0"/>
          <w:position w:val="0"/>
          <w:sz w:val="24"/>
          <w:shd w:fill="auto" w:val="clear"/>
        </w:rPr>
        <w:t xml:space="preserve">(1), 67-78.</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Chestnut, T. and Tong, J.L., Nsf International. (2016). </w:t>
      </w:r>
      <w:r>
        <w:rPr>
          <w:rFonts w:ascii="Arial" w:hAnsi="Arial" w:cs="Arial" w:eastAsia="Arial"/>
          <w:i/>
          <w:color w:val="auto"/>
          <w:spacing w:val="0"/>
          <w:position w:val="0"/>
          <w:sz w:val="24"/>
          <w:shd w:fill="auto" w:val="clear"/>
        </w:rPr>
        <w:t xml:space="preserve">Computer-implemented techniques for interactively training users to perform food quality, food safety, and workplace safety tasks</w:t>
      </w:r>
      <w:r>
        <w:rPr>
          <w:rFonts w:ascii="Arial" w:hAnsi="Arial" w:cs="Arial" w:eastAsia="Arial"/>
          <w:color w:val="auto"/>
          <w:spacing w:val="0"/>
          <w:position w:val="0"/>
          <w:sz w:val="24"/>
          <w:shd w:fill="auto" w:val="clear"/>
        </w:rPr>
        <w:t xml:space="preserve">. U.S. Patent Application 15/091,351.</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Fenwick, M., Kaal, W. A., &amp; Vermeulen, E. P. (2016). Regulation tomorrow: what happens when technology is faster than the law. </w:t>
      </w:r>
      <w:r>
        <w:rPr>
          <w:rFonts w:ascii="Arial" w:hAnsi="Arial" w:cs="Arial" w:eastAsia="Arial"/>
          <w:i/>
          <w:color w:val="auto"/>
          <w:spacing w:val="0"/>
          <w:position w:val="0"/>
          <w:sz w:val="24"/>
          <w:shd w:fill="auto" w:val="clear"/>
        </w:rPr>
        <w:t xml:space="preserve">Am. U. Bus. L. Rev.</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w:t>
      </w:r>
      <w:r>
        <w:rPr>
          <w:rFonts w:ascii="Arial" w:hAnsi="Arial" w:cs="Arial" w:eastAsia="Arial"/>
          <w:color w:val="auto"/>
          <w:spacing w:val="0"/>
          <w:position w:val="0"/>
          <w:sz w:val="24"/>
          <w:shd w:fill="auto" w:val="clear"/>
        </w:rPr>
        <w:t xml:space="preserve">, 561.</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Heckmann, I., Comes, T., &amp; Nickel, S. (2015). A critical review on supply chain risk</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Definition, measure and modeling. </w:t>
      </w:r>
      <w:r>
        <w:rPr>
          <w:rFonts w:ascii="Arial" w:hAnsi="Arial" w:cs="Arial" w:eastAsia="Arial"/>
          <w:i/>
          <w:color w:val="auto"/>
          <w:spacing w:val="0"/>
          <w:position w:val="0"/>
          <w:sz w:val="24"/>
          <w:shd w:fill="auto" w:val="clear"/>
        </w:rPr>
        <w:t xml:space="preserve">Omega</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52</w:t>
      </w:r>
      <w:r>
        <w:rPr>
          <w:rFonts w:ascii="Arial" w:hAnsi="Arial" w:cs="Arial" w:eastAsia="Arial"/>
          <w:color w:val="auto"/>
          <w:spacing w:val="0"/>
          <w:position w:val="0"/>
          <w:sz w:val="24"/>
          <w:shd w:fill="auto" w:val="clear"/>
        </w:rPr>
        <w:t xml:space="preserve">, 119-132.</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Koops, B. J., &amp; Leenes, R. (2014). Privacy regulation cannot be hardcoded. A critical comment on the ‘privacy by design’provision in data-protection law. </w:t>
      </w:r>
      <w:r>
        <w:rPr>
          <w:rFonts w:ascii="Arial" w:hAnsi="Arial" w:cs="Arial" w:eastAsia="Arial"/>
          <w:i/>
          <w:color w:val="auto"/>
          <w:spacing w:val="0"/>
          <w:position w:val="0"/>
          <w:sz w:val="24"/>
          <w:shd w:fill="auto" w:val="clear"/>
        </w:rPr>
        <w:t xml:space="preserve">International Review of Law, Computers &amp; Technology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28</w:t>
      </w:r>
      <w:r>
        <w:rPr>
          <w:rFonts w:ascii="Arial" w:hAnsi="Arial" w:cs="Arial" w:eastAsia="Arial"/>
          <w:color w:val="auto"/>
          <w:spacing w:val="0"/>
          <w:position w:val="0"/>
          <w:sz w:val="24"/>
          <w:shd w:fill="auto" w:val="clear"/>
        </w:rPr>
        <w:t xml:space="preserve">(2), 159-171.</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Koskela, J. (2016). Hotel Security Management: Case: Original Sokos Hotel Vaakuna Vaasa.</w:t>
      </w:r>
    </w:p>
    <w:p>
      <w:pPr>
        <w:spacing w:before="0" w:after="0" w:line="360"/>
        <w:ind w:right="0" w:left="720" w:hanging="720"/>
        <w:jc w:val="left"/>
        <w:rPr>
          <w:rFonts w:ascii="Arial" w:hAnsi="Arial" w:cs="Arial" w:eastAsia="Arial"/>
          <w:color w:val="auto"/>
          <w:spacing w:val="0"/>
          <w:position w:val="0"/>
          <w:sz w:val="24"/>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