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0D543" w14:textId="77777777" w:rsidR="00A54F04" w:rsidRDefault="00A54F04">
      <w:pPr>
        <w:spacing w:line="360" w:lineRule="auto"/>
        <w:jc w:val="both"/>
        <w:rPr>
          <w:rFonts w:ascii="Times New Roman" w:hAnsi="Times New Roman" w:cs="Times New Roman"/>
        </w:rPr>
      </w:pPr>
    </w:p>
    <w:p w14:paraId="428248ED" w14:textId="77777777" w:rsidR="00A54F04" w:rsidRDefault="00A54F04">
      <w:pPr>
        <w:spacing w:line="360" w:lineRule="auto"/>
        <w:jc w:val="both"/>
        <w:rPr>
          <w:rFonts w:ascii="Times New Roman" w:hAnsi="Times New Roman" w:cs="Times New Roman"/>
        </w:rPr>
      </w:pPr>
    </w:p>
    <w:p w14:paraId="1B3480EB" w14:textId="77777777" w:rsidR="00A54F04" w:rsidRDefault="00A54F04">
      <w:pPr>
        <w:jc w:val="center"/>
        <w:rPr>
          <w:rFonts w:ascii="Times New Roman" w:hAnsi="Times New Roman" w:cs="Times New Roman"/>
        </w:rPr>
      </w:pPr>
    </w:p>
    <w:p w14:paraId="48428286" w14:textId="77777777" w:rsidR="00A54F04" w:rsidRDefault="00000000">
      <w:pPr>
        <w:jc w:val="center"/>
        <w:rPr>
          <w:rFonts w:ascii="Times New Roman" w:hAnsi="Times New Roman" w:cs="Times New Roman"/>
        </w:rPr>
      </w:pPr>
      <w:r>
        <w:rPr>
          <w:rFonts w:ascii="Times New Roman" w:hAnsi="Times New Roman" w:cs="Times New Roman"/>
          <w:b/>
          <w:bCs/>
        </w:rPr>
        <w:t>UNIVERSITY OF WALES TRINITY SAINT DAVID</w:t>
      </w:r>
    </w:p>
    <w:p w14:paraId="3A962FA3" w14:textId="77777777" w:rsidR="00A54F04" w:rsidRDefault="00000000">
      <w:pPr>
        <w:jc w:val="center"/>
        <w:rPr>
          <w:rFonts w:ascii="Times New Roman" w:hAnsi="Times New Roman" w:cs="Times New Roman"/>
        </w:rPr>
      </w:pPr>
      <w:r>
        <w:rPr>
          <w:rFonts w:ascii="Times New Roman" w:hAnsi="Times New Roman" w:cs="Times New Roman"/>
        </w:rPr>
        <w:t>Master of Business Administration</w:t>
      </w:r>
    </w:p>
    <w:p w14:paraId="2EAE5BB4" w14:textId="77777777" w:rsidR="00A54F04" w:rsidRDefault="00A54F04">
      <w:pPr>
        <w:jc w:val="center"/>
        <w:rPr>
          <w:rFonts w:ascii="Times New Roman" w:hAnsi="Times New Roman" w:cs="Times New Roman"/>
        </w:rPr>
      </w:pPr>
    </w:p>
    <w:p w14:paraId="7200D9E9" w14:textId="77777777" w:rsidR="00A54F04" w:rsidRDefault="00A54F04">
      <w:pPr>
        <w:jc w:val="center"/>
        <w:rPr>
          <w:rFonts w:ascii="Times New Roman" w:hAnsi="Times New Roman" w:cs="Times New Roman"/>
        </w:rPr>
      </w:pPr>
    </w:p>
    <w:p w14:paraId="25B4B176" w14:textId="77777777" w:rsidR="00A54F04" w:rsidRDefault="00000000">
      <w:pPr>
        <w:jc w:val="center"/>
        <w:rPr>
          <w:rFonts w:ascii="Times New Roman" w:hAnsi="Times New Roman" w:cs="Times New Roman"/>
        </w:rPr>
      </w:pPr>
      <w:r>
        <w:rPr>
          <w:rFonts w:ascii="Times New Roman" w:hAnsi="Times New Roman" w:cs="Times New Roman"/>
          <w:b/>
          <w:bCs/>
        </w:rPr>
        <w:t>MARKETING STRATEGIES PORTFOLIO</w:t>
      </w:r>
    </w:p>
    <w:p w14:paraId="2008D269" w14:textId="77777777" w:rsidR="00A54F04" w:rsidRDefault="00000000">
      <w:pPr>
        <w:jc w:val="center"/>
        <w:rPr>
          <w:rFonts w:ascii="Times New Roman" w:hAnsi="Times New Roman" w:cs="Times New Roman"/>
        </w:rPr>
      </w:pPr>
      <w:r>
        <w:rPr>
          <w:rFonts w:ascii="Times New Roman" w:hAnsi="Times New Roman" w:cs="Times New Roman"/>
        </w:rPr>
        <w:t>Assessment Component 2: Brand Development</w:t>
      </w:r>
    </w:p>
    <w:p w14:paraId="0D7CD81F" w14:textId="77777777" w:rsidR="00A54F04" w:rsidRDefault="00000000">
      <w:pPr>
        <w:jc w:val="center"/>
        <w:rPr>
          <w:rFonts w:ascii="Times New Roman" w:hAnsi="Times New Roman" w:cs="Times New Roman"/>
          <w:i/>
          <w:iCs/>
        </w:rPr>
      </w:pPr>
      <w:r>
        <w:rPr>
          <w:rFonts w:ascii="Times New Roman" w:hAnsi="Times New Roman" w:cs="Times New Roman"/>
          <w:i/>
          <w:iCs/>
        </w:rPr>
        <w:t>Microsoft FinanceAI — AI-Powered Personal Finance Device</w:t>
      </w:r>
    </w:p>
    <w:p w14:paraId="097BC5CD" w14:textId="77777777" w:rsidR="00A54F04" w:rsidRDefault="00A54F04">
      <w:pPr>
        <w:jc w:val="center"/>
        <w:rPr>
          <w:rFonts w:ascii="Times New Roman" w:hAnsi="Times New Roman" w:cs="Times New Roman"/>
          <w:i/>
          <w:iCs/>
        </w:rPr>
      </w:pPr>
    </w:p>
    <w:p w14:paraId="6C600736" w14:textId="77777777" w:rsidR="00A54F04" w:rsidRDefault="00A54F04">
      <w:pPr>
        <w:jc w:val="center"/>
        <w:rPr>
          <w:rFonts w:ascii="Times New Roman" w:hAnsi="Times New Roman" w:cs="Times New Roman"/>
        </w:rPr>
      </w:pPr>
    </w:p>
    <w:p w14:paraId="3B01963B" w14:textId="77777777" w:rsidR="00A54F04" w:rsidRDefault="00A54F04">
      <w:pPr>
        <w:jc w:val="center"/>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0"/>
        <w:gridCol w:w="5626"/>
      </w:tblGrid>
      <w:tr w:rsidR="00A54F04" w14:paraId="13B14188" w14:textId="77777777">
        <w:tc>
          <w:tcPr>
            <w:tcW w:w="34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46ED39C3" w14:textId="77777777" w:rsidR="00A54F04" w:rsidRDefault="00000000">
            <w:pPr>
              <w:jc w:val="center"/>
              <w:rPr>
                <w:rFonts w:ascii="Times New Roman" w:hAnsi="Times New Roman" w:cs="Times New Roman"/>
              </w:rPr>
            </w:pPr>
            <w:r>
              <w:rPr>
                <w:rFonts w:ascii="Times New Roman" w:hAnsi="Times New Roman" w:cs="Times New Roman"/>
                <w:b/>
                <w:bCs/>
              </w:rPr>
              <w:t>Programme:</w:t>
            </w:r>
          </w:p>
        </w:tc>
        <w:tc>
          <w:tcPr>
            <w:tcW w:w="56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15CDD000" w14:textId="77777777" w:rsidR="00A54F04" w:rsidRDefault="00000000">
            <w:pPr>
              <w:jc w:val="center"/>
              <w:rPr>
                <w:rFonts w:ascii="Times New Roman" w:hAnsi="Times New Roman" w:cs="Times New Roman"/>
              </w:rPr>
            </w:pPr>
            <w:r>
              <w:rPr>
                <w:rFonts w:ascii="Times New Roman" w:hAnsi="Times New Roman" w:cs="Times New Roman"/>
              </w:rPr>
              <w:t>Master of Business Administration</w:t>
            </w:r>
          </w:p>
        </w:tc>
      </w:tr>
      <w:tr w:rsidR="00A54F04" w14:paraId="3528B7B6" w14:textId="77777777">
        <w:tc>
          <w:tcPr>
            <w:tcW w:w="34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122BB45C" w14:textId="77777777" w:rsidR="00A54F04" w:rsidRDefault="00000000">
            <w:pPr>
              <w:jc w:val="center"/>
              <w:rPr>
                <w:rFonts w:ascii="Times New Roman" w:hAnsi="Times New Roman" w:cs="Times New Roman"/>
              </w:rPr>
            </w:pPr>
            <w:r>
              <w:rPr>
                <w:rFonts w:ascii="Times New Roman" w:hAnsi="Times New Roman" w:cs="Times New Roman"/>
                <w:b/>
                <w:bCs/>
              </w:rPr>
              <w:t>Module:</w:t>
            </w:r>
          </w:p>
        </w:tc>
        <w:tc>
          <w:tcPr>
            <w:tcW w:w="56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31B2D882" w14:textId="77777777" w:rsidR="00A54F04" w:rsidRDefault="00000000">
            <w:pPr>
              <w:jc w:val="center"/>
              <w:rPr>
                <w:rFonts w:ascii="Times New Roman" w:hAnsi="Times New Roman" w:cs="Times New Roman"/>
              </w:rPr>
            </w:pPr>
            <w:r>
              <w:rPr>
                <w:rFonts w:ascii="Times New Roman" w:hAnsi="Times New Roman" w:cs="Times New Roman"/>
              </w:rPr>
              <w:t>Marketing Management</w:t>
            </w:r>
          </w:p>
        </w:tc>
      </w:tr>
      <w:tr w:rsidR="00A54F04" w14:paraId="653C3B24" w14:textId="77777777">
        <w:tc>
          <w:tcPr>
            <w:tcW w:w="34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761C9BB4" w14:textId="77777777" w:rsidR="00A54F04" w:rsidRDefault="00000000">
            <w:pPr>
              <w:jc w:val="center"/>
              <w:rPr>
                <w:rFonts w:ascii="Times New Roman" w:hAnsi="Times New Roman" w:cs="Times New Roman"/>
              </w:rPr>
            </w:pPr>
            <w:r>
              <w:rPr>
                <w:rFonts w:ascii="Times New Roman" w:hAnsi="Times New Roman" w:cs="Times New Roman"/>
                <w:b/>
                <w:bCs/>
              </w:rPr>
              <w:t>Module Code:</w:t>
            </w:r>
          </w:p>
        </w:tc>
        <w:tc>
          <w:tcPr>
            <w:tcW w:w="56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428E3962" w14:textId="77777777" w:rsidR="00A54F04" w:rsidRDefault="00000000">
            <w:pPr>
              <w:jc w:val="center"/>
              <w:rPr>
                <w:rFonts w:ascii="Times New Roman" w:hAnsi="Times New Roman" w:cs="Times New Roman"/>
              </w:rPr>
            </w:pPr>
            <w:r>
              <w:rPr>
                <w:rFonts w:ascii="Times New Roman" w:hAnsi="Times New Roman" w:cs="Times New Roman"/>
              </w:rPr>
              <w:t>LCMB7024</w:t>
            </w:r>
          </w:p>
        </w:tc>
      </w:tr>
      <w:tr w:rsidR="00A54F04" w14:paraId="1327F2E3" w14:textId="77777777">
        <w:tc>
          <w:tcPr>
            <w:tcW w:w="34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52B5CC6A" w14:textId="77777777" w:rsidR="00A54F04" w:rsidRDefault="00000000">
            <w:pPr>
              <w:jc w:val="center"/>
              <w:rPr>
                <w:rFonts w:ascii="Times New Roman" w:hAnsi="Times New Roman" w:cs="Times New Roman"/>
              </w:rPr>
            </w:pPr>
            <w:r>
              <w:rPr>
                <w:rFonts w:ascii="Times New Roman" w:hAnsi="Times New Roman" w:cs="Times New Roman"/>
                <w:b/>
                <w:bCs/>
              </w:rPr>
              <w:t>Assignment Title:</w:t>
            </w:r>
          </w:p>
        </w:tc>
        <w:tc>
          <w:tcPr>
            <w:tcW w:w="56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236FCD69" w14:textId="77777777" w:rsidR="00A54F04" w:rsidRDefault="00000000">
            <w:pPr>
              <w:jc w:val="center"/>
              <w:rPr>
                <w:rFonts w:ascii="Times New Roman" w:hAnsi="Times New Roman" w:cs="Times New Roman"/>
              </w:rPr>
            </w:pPr>
            <w:r>
              <w:rPr>
                <w:rFonts w:ascii="Times New Roman" w:hAnsi="Times New Roman" w:cs="Times New Roman"/>
              </w:rPr>
              <w:t>Assessment Component 2: Marketing Strategies Portfolio</w:t>
            </w:r>
          </w:p>
        </w:tc>
      </w:tr>
      <w:tr w:rsidR="00A54F04" w14:paraId="5694EAA2" w14:textId="77777777">
        <w:tc>
          <w:tcPr>
            <w:tcW w:w="34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7E9DBBB6" w14:textId="77777777" w:rsidR="00A54F04" w:rsidRDefault="00000000">
            <w:pPr>
              <w:jc w:val="center"/>
              <w:rPr>
                <w:rFonts w:ascii="Times New Roman" w:hAnsi="Times New Roman" w:cs="Times New Roman"/>
              </w:rPr>
            </w:pPr>
            <w:r>
              <w:rPr>
                <w:rFonts w:ascii="Times New Roman" w:hAnsi="Times New Roman" w:cs="Times New Roman"/>
                <w:b/>
                <w:bCs/>
              </w:rPr>
              <w:t>Lecturer:</w:t>
            </w:r>
          </w:p>
        </w:tc>
        <w:tc>
          <w:tcPr>
            <w:tcW w:w="56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04373FBD" w14:textId="77777777" w:rsidR="00A54F04" w:rsidRDefault="00000000">
            <w:pPr>
              <w:jc w:val="center"/>
              <w:rPr>
                <w:rFonts w:ascii="Times New Roman" w:hAnsi="Times New Roman" w:cs="Times New Roman"/>
              </w:rPr>
            </w:pPr>
            <w:r>
              <w:rPr>
                <w:rFonts w:ascii="Times New Roman" w:hAnsi="Times New Roman" w:cs="Times New Roman"/>
              </w:rPr>
              <w:t>Laila Maazouz / Dian Mayasari</w:t>
            </w:r>
          </w:p>
        </w:tc>
      </w:tr>
      <w:tr w:rsidR="00A54F04" w14:paraId="6B086556" w14:textId="77777777">
        <w:tc>
          <w:tcPr>
            <w:tcW w:w="34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29FA32CD" w14:textId="77777777" w:rsidR="00A54F04" w:rsidRDefault="00000000">
            <w:pPr>
              <w:jc w:val="center"/>
              <w:rPr>
                <w:rFonts w:ascii="Times New Roman" w:hAnsi="Times New Roman" w:cs="Times New Roman"/>
              </w:rPr>
            </w:pPr>
            <w:r>
              <w:rPr>
                <w:rFonts w:ascii="Times New Roman" w:hAnsi="Times New Roman" w:cs="Times New Roman"/>
                <w:b/>
                <w:bCs/>
              </w:rPr>
              <w:t>Student Name:</w:t>
            </w:r>
          </w:p>
        </w:tc>
        <w:tc>
          <w:tcPr>
            <w:tcW w:w="56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7E7BB62A" w14:textId="77777777" w:rsidR="00A54F04" w:rsidRDefault="00A54F04">
            <w:pPr>
              <w:jc w:val="center"/>
              <w:rPr>
                <w:rFonts w:ascii="Times New Roman" w:hAnsi="Times New Roman" w:cs="Times New Roman"/>
              </w:rPr>
            </w:pPr>
          </w:p>
        </w:tc>
      </w:tr>
      <w:tr w:rsidR="00A54F04" w14:paraId="3E9B1FA0" w14:textId="77777777">
        <w:tc>
          <w:tcPr>
            <w:tcW w:w="34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3C248CA7" w14:textId="77777777" w:rsidR="00A54F04" w:rsidRDefault="00000000">
            <w:pPr>
              <w:jc w:val="center"/>
              <w:rPr>
                <w:rFonts w:ascii="Times New Roman" w:hAnsi="Times New Roman" w:cs="Times New Roman"/>
              </w:rPr>
            </w:pPr>
            <w:r>
              <w:rPr>
                <w:rFonts w:ascii="Times New Roman" w:hAnsi="Times New Roman" w:cs="Times New Roman"/>
                <w:b/>
                <w:bCs/>
              </w:rPr>
              <w:t>Student ID:</w:t>
            </w:r>
          </w:p>
        </w:tc>
        <w:tc>
          <w:tcPr>
            <w:tcW w:w="56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6134B89C" w14:textId="77777777" w:rsidR="00A54F04" w:rsidRDefault="00A54F04">
            <w:pPr>
              <w:jc w:val="center"/>
              <w:rPr>
                <w:rFonts w:ascii="Times New Roman" w:hAnsi="Times New Roman" w:cs="Times New Roman"/>
              </w:rPr>
            </w:pPr>
          </w:p>
        </w:tc>
      </w:tr>
      <w:tr w:rsidR="00A54F04" w14:paraId="5CCEC3A4" w14:textId="77777777">
        <w:tc>
          <w:tcPr>
            <w:tcW w:w="34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601906A1" w14:textId="77777777" w:rsidR="00A54F04" w:rsidRDefault="00000000">
            <w:pPr>
              <w:jc w:val="center"/>
              <w:rPr>
                <w:rFonts w:ascii="Times New Roman" w:hAnsi="Times New Roman" w:cs="Times New Roman"/>
              </w:rPr>
            </w:pPr>
            <w:r>
              <w:rPr>
                <w:rFonts w:ascii="Times New Roman" w:hAnsi="Times New Roman" w:cs="Times New Roman"/>
                <w:b/>
                <w:bCs/>
              </w:rPr>
              <w:t>Word Count:</w:t>
            </w:r>
          </w:p>
        </w:tc>
        <w:tc>
          <w:tcPr>
            <w:tcW w:w="56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3B202F99" w14:textId="77777777" w:rsidR="00A54F04" w:rsidRDefault="00000000">
            <w:pPr>
              <w:jc w:val="center"/>
              <w:rPr>
                <w:rFonts w:ascii="Times New Roman" w:hAnsi="Times New Roman" w:cs="Times New Roman"/>
              </w:rPr>
            </w:pPr>
            <w:r>
              <w:rPr>
                <w:rFonts w:ascii="Times New Roman" w:hAnsi="Times New Roman" w:cs="Times New Roman"/>
              </w:rPr>
              <w:t>Approx. 2,500 words (excluding references)</w:t>
            </w:r>
          </w:p>
        </w:tc>
      </w:tr>
      <w:tr w:rsidR="00A54F04" w14:paraId="6D40A212" w14:textId="77777777">
        <w:tc>
          <w:tcPr>
            <w:tcW w:w="34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03345A3A" w14:textId="77777777" w:rsidR="00A54F04" w:rsidRDefault="00000000">
            <w:pPr>
              <w:jc w:val="center"/>
              <w:rPr>
                <w:rFonts w:ascii="Times New Roman" w:hAnsi="Times New Roman" w:cs="Times New Roman"/>
              </w:rPr>
            </w:pPr>
            <w:r>
              <w:rPr>
                <w:rFonts w:ascii="Times New Roman" w:hAnsi="Times New Roman" w:cs="Times New Roman"/>
                <w:b/>
                <w:bCs/>
              </w:rPr>
              <w:t>Submission Date:</w:t>
            </w:r>
          </w:p>
        </w:tc>
        <w:tc>
          <w:tcPr>
            <w:tcW w:w="56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0A7608EA" w14:textId="77777777" w:rsidR="00A54F04" w:rsidRDefault="00000000">
            <w:pPr>
              <w:jc w:val="center"/>
              <w:rPr>
                <w:rFonts w:ascii="Times New Roman" w:hAnsi="Times New Roman" w:cs="Times New Roman"/>
              </w:rPr>
            </w:pPr>
            <w:r>
              <w:rPr>
                <w:rFonts w:ascii="Times New Roman" w:hAnsi="Times New Roman" w:cs="Times New Roman"/>
              </w:rPr>
              <w:t>1st May 2026</w:t>
            </w:r>
          </w:p>
        </w:tc>
      </w:tr>
    </w:tbl>
    <w:p w14:paraId="63966BB0" w14:textId="77777777" w:rsidR="00A54F04" w:rsidRDefault="00A54F04">
      <w:pPr>
        <w:jc w:val="center"/>
        <w:rPr>
          <w:rFonts w:ascii="Times New Roman" w:hAnsi="Times New Roman" w:cs="Times New Roman"/>
        </w:rPr>
      </w:pPr>
    </w:p>
    <w:p w14:paraId="1CAE23DE" w14:textId="77777777" w:rsidR="00A54F04" w:rsidRDefault="00A54F04">
      <w:pPr>
        <w:jc w:val="center"/>
        <w:rPr>
          <w:rFonts w:ascii="Times New Roman" w:hAnsi="Times New Roman" w:cs="Times New Roman"/>
        </w:rPr>
      </w:pPr>
    </w:p>
    <w:p w14:paraId="5FA2C8D3" w14:textId="77777777" w:rsidR="00A54F04" w:rsidRDefault="00000000">
      <w:pPr>
        <w:spacing w:line="360" w:lineRule="auto"/>
        <w:jc w:val="both"/>
        <w:rPr>
          <w:rFonts w:ascii="Times New Roman" w:hAnsi="Times New Roman" w:cs="Times New Roman"/>
        </w:rPr>
      </w:pPr>
      <w:r>
        <w:rPr>
          <w:rFonts w:ascii="Times New Roman" w:hAnsi="Times New Roman" w:cs="Times New Roman"/>
        </w:rPr>
        <w:br w:type="page"/>
      </w:r>
    </w:p>
    <w:sdt>
      <w:sdtPr>
        <w:rPr>
          <w:rFonts w:ascii="Arial" w:eastAsia="Arial" w:hAnsi="Arial" w:cs="Arial"/>
          <w:color w:val="auto"/>
          <w:sz w:val="24"/>
          <w:szCs w:val="24"/>
        </w:rPr>
        <w:id w:val="1452368306"/>
        <w:docPartObj>
          <w:docPartGallery w:val="Table of Contents"/>
          <w:docPartUnique/>
        </w:docPartObj>
      </w:sdtPr>
      <w:sdtEndPr>
        <w:rPr>
          <w:rFonts w:ascii="Times New Roman" w:hAnsi="Times New Roman" w:cs="Times New Roman"/>
          <w:b/>
          <w:bCs/>
        </w:rPr>
      </w:sdtEndPr>
      <w:sdtContent>
        <w:p w14:paraId="02FF23F1" w14:textId="77777777" w:rsidR="00A54F04" w:rsidRDefault="00000000">
          <w:pPr>
            <w:pStyle w:val="TOCHeading1"/>
            <w:numPr>
              <w:ilvl w:val="0"/>
              <w:numId w:val="0"/>
            </w:numPr>
            <w:ind w:left="432" w:hanging="432"/>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11128D80" w14:textId="77777777" w:rsidR="00A54F04"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228500110" w:history="1">
            <w:r>
              <w:rPr>
                <w:rStyle w:val="Hyperlink"/>
                <w:rFonts w:ascii="Times New Roman" w:hAnsi="Times New Roman" w:cs="Times New Roman"/>
              </w:rPr>
              <w:t>1</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Element 1: Brand Extension Poster</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_Toc228500110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14:paraId="0FCB1CC8"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11" w:history="1">
            <w:r>
              <w:rPr>
                <w:rStyle w:val="Hyperlink"/>
                <w:rFonts w:ascii="Times New Roman" w:hAnsi="Times New Roman" w:cs="Times New Roman"/>
              </w:rPr>
              <w:t>1.1</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Brand Extension Overview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_Toc228500111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14:paraId="7E1BCE63"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12" w:history="1">
            <w:r>
              <w:rPr>
                <w:rStyle w:val="Hyperlink"/>
                <w:rFonts w:ascii="Times New Roman" w:hAnsi="Times New Roman" w:cs="Times New Roman"/>
              </w:rPr>
              <w:t>1.2</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Product Market and Trends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_Toc228500112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0BC9B2D7"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13" w:history="1">
            <w:r>
              <w:rPr>
                <w:rStyle w:val="Hyperlink"/>
                <w:rFonts w:ascii="Times New Roman" w:hAnsi="Times New Roman" w:cs="Times New Roman"/>
              </w:rPr>
              <w:t>1.3</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Sustainability Alignment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_Toc228500113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53DE93C8" w14:textId="77777777" w:rsidR="00A54F04"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hyperlink w:anchor="_Toc228500114" w:history="1">
            <w:r>
              <w:rPr>
                <w:rStyle w:val="Hyperlink"/>
                <w:rFonts w:ascii="Times New Roman" w:hAnsi="Times New Roman" w:cs="Times New Roman"/>
              </w:rPr>
              <w:t>2</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Element 2: Segmentation, Targeting, Differentiation, and Positioning (STDP)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_Toc228500114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1CD849E8"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15" w:history="1">
            <w:r>
              <w:rPr>
                <w:rStyle w:val="Hyperlink"/>
                <w:rFonts w:ascii="Times New Roman" w:hAnsi="Times New Roman" w:cs="Times New Roman"/>
              </w:rPr>
              <w:t>2.1</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Market Segmentation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_Toc228500115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3098127D"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16" w:history="1">
            <w:r>
              <w:rPr>
                <w:rStyle w:val="Hyperlink"/>
                <w:rFonts w:ascii="Times New Roman" w:hAnsi="Times New Roman" w:cs="Times New Roman"/>
              </w:rPr>
              <w:t>2.2</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Target Audience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_Toc228500116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hyperlink>
        </w:p>
        <w:p w14:paraId="550A0AA5"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17" w:history="1">
            <w:r>
              <w:rPr>
                <w:rStyle w:val="Hyperlink"/>
                <w:rFonts w:ascii="Times New Roman" w:hAnsi="Times New Roman" w:cs="Times New Roman"/>
              </w:rPr>
              <w:t>2.3</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Differentiation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_Toc228500117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7D472F7C"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18" w:history="1">
            <w:r>
              <w:rPr>
                <w:rStyle w:val="Hyperlink"/>
                <w:rFonts w:ascii="Times New Roman" w:hAnsi="Times New Roman" w:cs="Times New Roman"/>
              </w:rPr>
              <w:t>2.4</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Positioning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_Toc228500118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2EF59631" w14:textId="77777777" w:rsidR="00A54F04"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hyperlink w:anchor="_Toc228500119" w:history="1">
            <w:r>
              <w:rPr>
                <w:rStyle w:val="Hyperlink"/>
                <w:rFonts w:ascii="Times New Roman" w:hAnsi="Times New Roman" w:cs="Times New Roman"/>
              </w:rPr>
              <w:t>3</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Element 3: Marketing Mix -7Ps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_Toc228500119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hyperlink>
        </w:p>
        <w:p w14:paraId="1E8FB03E"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20" w:history="1">
            <w:r>
              <w:rPr>
                <w:rStyle w:val="Hyperlink"/>
                <w:rFonts w:ascii="Times New Roman" w:hAnsi="Times New Roman" w:cs="Times New Roman"/>
              </w:rPr>
              <w:t>3.1</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Product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_Toc228500120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0968F738"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21" w:history="1">
            <w:r>
              <w:rPr>
                <w:rStyle w:val="Hyperlink"/>
                <w:rFonts w:ascii="Times New Roman" w:hAnsi="Times New Roman" w:cs="Times New Roman"/>
              </w:rPr>
              <w:t>3.2</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Price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_Toc228500121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1AE0D7C4"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22" w:history="1">
            <w:r>
              <w:rPr>
                <w:rStyle w:val="Hyperlink"/>
                <w:rFonts w:ascii="Times New Roman" w:hAnsi="Times New Roman" w:cs="Times New Roman"/>
              </w:rPr>
              <w:t>3.3</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Place (Distribution)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_Toc228500122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hyperlink>
        </w:p>
        <w:p w14:paraId="3EC24B6D"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23" w:history="1">
            <w:r>
              <w:rPr>
                <w:rStyle w:val="Hyperlink"/>
                <w:rFonts w:ascii="Times New Roman" w:hAnsi="Times New Roman" w:cs="Times New Roman"/>
              </w:rPr>
              <w:t>3.4</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Promotion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_Toc228500123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hyperlink>
        </w:p>
        <w:p w14:paraId="3ED46A8A"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24" w:history="1">
            <w:r>
              <w:rPr>
                <w:rStyle w:val="Hyperlink"/>
                <w:rFonts w:ascii="Times New Roman" w:hAnsi="Times New Roman" w:cs="Times New Roman"/>
              </w:rPr>
              <w:t>3.5</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People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_Toc228500124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hyperlink>
        </w:p>
        <w:p w14:paraId="76081715"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25" w:history="1">
            <w:r>
              <w:rPr>
                <w:rStyle w:val="Hyperlink"/>
                <w:rFonts w:ascii="Times New Roman" w:hAnsi="Times New Roman" w:cs="Times New Roman"/>
              </w:rPr>
              <w:t>3.6</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Process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_Toc228500125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hyperlink>
        </w:p>
        <w:p w14:paraId="2F6A7080"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26" w:history="1">
            <w:r>
              <w:rPr>
                <w:rStyle w:val="Hyperlink"/>
                <w:rFonts w:ascii="Times New Roman" w:hAnsi="Times New Roman" w:cs="Times New Roman"/>
              </w:rPr>
              <w:t>3.7</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Physical Evidence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_Toc228500126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hyperlink>
        </w:p>
        <w:p w14:paraId="216A9952" w14:textId="77777777" w:rsidR="00A54F04"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hyperlink w:anchor="_Toc228500127" w:history="1">
            <w:r>
              <w:rPr>
                <w:rStyle w:val="Hyperlink"/>
                <w:rFonts w:ascii="Times New Roman" w:hAnsi="Times New Roman" w:cs="Times New Roman"/>
              </w:rPr>
              <w:t>4</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Element 4: Reflection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_Toc228500127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1188A8D2"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28" w:history="1">
            <w:r>
              <w:rPr>
                <w:rStyle w:val="Hyperlink"/>
                <w:rFonts w:ascii="Times New Roman" w:hAnsi="Times New Roman" w:cs="Times New Roman"/>
              </w:rPr>
              <w:t>4.1</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Developing the Brand Extension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_Toc228500128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42C14573"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29" w:history="1">
            <w:r>
              <w:rPr>
                <w:rStyle w:val="Hyperlink"/>
                <w:rFonts w:ascii="Times New Roman" w:hAnsi="Times New Roman" w:cs="Times New Roman"/>
              </w:rPr>
              <w:t>4.2</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Presentation of the poster</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_Toc228500129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0B92195C"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30" w:history="1">
            <w:r>
              <w:rPr>
                <w:rStyle w:val="Hyperlink"/>
                <w:rFonts w:ascii="Times New Roman" w:hAnsi="Times New Roman" w:cs="Times New Roman"/>
              </w:rPr>
              <w:t>4.3</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Skills, Knowledge, Insights Learned</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_Toc228500130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7EE383F5" w14:textId="77777777" w:rsidR="00A54F04"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500131" w:history="1">
            <w:r>
              <w:rPr>
                <w:rStyle w:val="Hyperlink"/>
                <w:rFonts w:ascii="Times New Roman" w:hAnsi="Times New Roman" w:cs="Times New Roman"/>
              </w:rPr>
              <w:t>4.4</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Future Enhancement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_Toc228500131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hyperlink>
        </w:p>
        <w:p w14:paraId="794A4E47" w14:textId="77777777" w:rsidR="00A54F04"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hyperlink w:anchor="_Toc228500132" w:history="1">
            <w:r>
              <w:rPr>
                <w:rStyle w:val="Hyperlink"/>
                <w:rFonts w:ascii="Times New Roman" w:hAnsi="Times New Roman" w:cs="Times New Roman"/>
              </w:rPr>
              <w:t>5</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References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_Toc228500132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15</w:t>
            </w:r>
            <w:r>
              <w:rPr>
                <w:rFonts w:ascii="Times New Roman" w:hAnsi="Times New Roman" w:cs="Times New Roman"/>
              </w:rPr>
              <w:fldChar w:fldCharType="end"/>
            </w:r>
          </w:hyperlink>
        </w:p>
        <w:p w14:paraId="32A9F8CC" w14:textId="77777777" w:rsidR="00A54F04" w:rsidRDefault="00000000">
          <w:pPr>
            <w:spacing w:line="360" w:lineRule="auto"/>
            <w:rPr>
              <w:rFonts w:ascii="Times New Roman" w:hAnsi="Times New Roman" w:cs="Times New Roman"/>
            </w:rPr>
          </w:pPr>
          <w:r>
            <w:rPr>
              <w:rFonts w:ascii="Times New Roman" w:hAnsi="Times New Roman" w:cs="Times New Roman"/>
              <w:b/>
              <w:bCs/>
            </w:rPr>
            <w:fldChar w:fldCharType="end"/>
          </w:r>
        </w:p>
      </w:sdtContent>
    </w:sdt>
    <w:p w14:paraId="3DBA7F74" w14:textId="77777777" w:rsidR="00A54F04" w:rsidRDefault="00000000">
      <w:pPr>
        <w:spacing w:line="360" w:lineRule="auto"/>
        <w:jc w:val="both"/>
        <w:rPr>
          <w:rFonts w:ascii="Times New Roman" w:hAnsi="Times New Roman" w:cs="Times New Roman"/>
        </w:rPr>
      </w:pPr>
      <w:r>
        <w:rPr>
          <w:rFonts w:ascii="Times New Roman" w:hAnsi="Times New Roman" w:cs="Times New Roman"/>
        </w:rPr>
        <w:br w:type="page"/>
      </w:r>
    </w:p>
    <w:p w14:paraId="36B85AB6" w14:textId="77777777" w:rsidR="00A54F04" w:rsidRDefault="00000000">
      <w:pPr>
        <w:pStyle w:val="Heading1"/>
      </w:pPr>
      <w:bookmarkStart w:id="0" w:name="_Toc228500110"/>
      <w:r>
        <w:lastRenderedPageBreak/>
        <w:t>Element 1: Brand Extension Poster</w:t>
      </w:r>
      <w:bookmarkEnd w:id="0"/>
    </w:p>
    <w:p w14:paraId="597CBC3A" w14:textId="77777777" w:rsidR="00A54F04" w:rsidRDefault="00000000">
      <w:pPr>
        <w:spacing w:line="360" w:lineRule="auto"/>
        <w:jc w:val="both"/>
        <w:rPr>
          <w:rFonts w:ascii="Times New Roman" w:hAnsi="Times New Roman" w:cs="Times New Roman"/>
        </w:rPr>
      </w:pPr>
      <w:r>
        <w:rPr>
          <w:rFonts w:ascii="Times New Roman" w:hAnsi="Times New Roman" w:cs="Times New Roman"/>
        </w:rPr>
        <w:t>The poster shows Microsoft FinanceAI - a new brand extension that builds on the company's global technology dominance, Copilot AI technology and 1.4 billion user base to tackle the $1.5 trillion personal finance market. The poster includes the rationale for the brand extension, market trends, and sustainability.</w:t>
      </w:r>
    </w:p>
    <w:p w14:paraId="214DDB2F" w14:textId="77777777" w:rsidR="00A54F04" w:rsidRDefault="00000000">
      <w:pPr>
        <w:spacing w:line="360" w:lineRule="auto"/>
        <w:jc w:val="center"/>
        <w:rPr>
          <w:rFonts w:ascii="Times New Roman" w:hAnsi="Times New Roman" w:cs="Times New Roman"/>
          <w:i/>
          <w:iCs/>
          <w:color w:val="555555"/>
        </w:rPr>
      </w:pPr>
      <w:r>
        <w:rPr>
          <w:rFonts w:ascii="Times New Roman" w:hAnsi="Times New Roman" w:cs="Times New Roman"/>
          <w:i/>
          <w:iCs/>
          <w:noProof/>
          <w:color w:val="555555"/>
        </w:rPr>
        <w:drawing>
          <wp:inline distT="0" distB="0" distL="0" distR="0" wp14:anchorId="7B70598E" wp14:editId="2028A6D5">
            <wp:extent cx="4160520" cy="5539740"/>
            <wp:effectExtent l="0" t="0" r="0" b="3810"/>
            <wp:docPr id="1305265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265606" name="Picture 1"/>
                    <pic:cNvPicPr>
                      <a:picLocks noChangeAspect="1"/>
                    </pic:cNvPicPr>
                  </pic:nvPicPr>
                  <pic:blipFill>
                    <a:blip r:embed="rId8"/>
                    <a:stretch>
                      <a:fillRect/>
                    </a:stretch>
                  </pic:blipFill>
                  <pic:spPr>
                    <a:xfrm>
                      <a:off x="0" y="0"/>
                      <a:ext cx="4160881" cy="5540220"/>
                    </a:xfrm>
                    <a:prstGeom prst="rect">
                      <a:avLst/>
                    </a:prstGeom>
                  </pic:spPr>
                </pic:pic>
              </a:graphicData>
            </a:graphic>
          </wp:inline>
        </w:drawing>
      </w:r>
    </w:p>
    <w:p w14:paraId="42DE52F2" w14:textId="77777777" w:rsidR="00A54F04" w:rsidRDefault="00000000">
      <w:pPr>
        <w:spacing w:line="360" w:lineRule="auto"/>
        <w:jc w:val="center"/>
        <w:rPr>
          <w:rFonts w:ascii="Times New Roman" w:hAnsi="Times New Roman" w:cs="Times New Roman"/>
        </w:rPr>
      </w:pPr>
      <w:r>
        <w:rPr>
          <w:rFonts w:ascii="Times New Roman" w:hAnsi="Times New Roman" w:cs="Times New Roman"/>
          <w:i/>
          <w:iCs/>
          <w:color w:val="555555"/>
        </w:rPr>
        <w:t xml:space="preserve">Figure 1: Microsoft FinanceAI Poster </w:t>
      </w:r>
    </w:p>
    <w:p w14:paraId="6620E295" w14:textId="77777777" w:rsidR="00A54F04" w:rsidRDefault="00000000">
      <w:pPr>
        <w:pStyle w:val="Heading2"/>
      </w:pPr>
      <w:bookmarkStart w:id="1" w:name="_Toc228500111"/>
      <w:r>
        <w:t>Brand Extension Overview</w:t>
      </w:r>
      <w:bookmarkEnd w:id="1"/>
    </w:p>
    <w:p w14:paraId="16A151B6" w14:textId="77777777" w:rsidR="00A54F04" w:rsidRDefault="00000000">
      <w:pPr>
        <w:spacing w:line="360" w:lineRule="auto"/>
        <w:jc w:val="both"/>
        <w:rPr>
          <w:rFonts w:ascii="Times New Roman" w:hAnsi="Times New Roman" w:cs="Times New Roman"/>
        </w:rPr>
      </w:pPr>
      <w:r>
        <w:rPr>
          <w:rFonts w:ascii="Times New Roman" w:hAnsi="Times New Roman" w:cs="Times New Roman"/>
        </w:rPr>
        <w:t xml:space="preserve">Redmond, Washington-based Microsoft Corporation, established in 1975, is a global technology company with a market capitalisation of over $3.1 trillion and 2025 revenue of $245 billion (Microsoft, 2025). With more than 1.4 billion users in its ecosystems, it is well positioned in the cloud and AI markets with Azure and Copilot (and significant investment in </w:t>
      </w:r>
      <w:r>
        <w:rPr>
          <w:rFonts w:ascii="Times New Roman" w:hAnsi="Times New Roman" w:cs="Times New Roman"/>
        </w:rPr>
        <w:lastRenderedPageBreak/>
        <w:t>OpenAI). Microsoft FinanceAI is a brand extension of AI-enabled personal finance software with real-time budgeting, investing and financial planning services via an intelligent device that links with Microsoft 365. Its high brand awareness and fit with the new category have high extension potential (Kotler et al., 2010; Keller &amp; Lehmann, 2006).</w:t>
      </w:r>
    </w:p>
    <w:p w14:paraId="45C875F4" w14:textId="77777777" w:rsidR="00A54F04" w:rsidRDefault="00000000">
      <w:pPr>
        <w:pStyle w:val="Heading2"/>
      </w:pPr>
      <w:bookmarkStart w:id="2" w:name="_Toc228500112"/>
      <w:r>
        <w:t>Product Market and Trends</w:t>
      </w:r>
      <w:bookmarkEnd w:id="2"/>
    </w:p>
    <w:p w14:paraId="3661EC61" w14:textId="77777777" w:rsidR="00A54F04" w:rsidRDefault="00000000">
      <w:pPr>
        <w:spacing w:line="360" w:lineRule="auto"/>
        <w:jc w:val="both"/>
        <w:rPr>
          <w:rFonts w:ascii="Times New Roman" w:hAnsi="Times New Roman" w:cs="Times New Roman"/>
        </w:rPr>
      </w:pPr>
      <w:r>
        <w:rPr>
          <w:rFonts w:ascii="Times New Roman" w:hAnsi="Times New Roman" w:cs="Times New Roman"/>
        </w:rPr>
        <w:t>The personal finance and FinTech market were worth $1.5 trillion in 2025 and will grow to $3.2 trillion by 2030 at a CAGR of 16.4% (Statista, 2025). This is due to digitalisation and post-COVID-19 behaviours. Trends include 78% personal finance and AI usage (PwC, 2024), 71% growth in open banking (Deloitte, 2024) and digital finance preference among Gen Z and Millennials (McKinsey &amp; Company, 2024). Other factors include growth of smart devices, robo-advisory, and ESG investing, highlighting the strategic opportunity for Microsoft FinanceAI in the rapidly changing finance landscape.</w:t>
      </w:r>
    </w:p>
    <w:p w14:paraId="65B61DCD" w14:textId="77777777" w:rsidR="00A54F04" w:rsidRDefault="00000000">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5294F1CD" wp14:editId="370D16B2">
            <wp:extent cx="5972175" cy="3324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rcRect/>
                    <a:stretch>
                      <a:fillRect/>
                    </a:stretch>
                  </pic:blipFill>
                  <pic:spPr>
                    <a:xfrm>
                      <a:off x="0" y="0"/>
                      <a:ext cx="5972175" cy="3324225"/>
                    </a:xfrm>
                    <a:prstGeom prst="rect">
                      <a:avLst/>
                    </a:prstGeom>
                  </pic:spPr>
                </pic:pic>
              </a:graphicData>
            </a:graphic>
          </wp:inline>
        </w:drawing>
      </w:r>
    </w:p>
    <w:p w14:paraId="16A23624" w14:textId="77777777" w:rsidR="00A54F04" w:rsidRDefault="00000000">
      <w:pPr>
        <w:spacing w:line="360" w:lineRule="auto"/>
        <w:jc w:val="center"/>
        <w:rPr>
          <w:rFonts w:ascii="Times New Roman" w:hAnsi="Times New Roman" w:cs="Times New Roman"/>
        </w:rPr>
      </w:pPr>
      <w:r>
        <w:rPr>
          <w:rFonts w:ascii="Times New Roman" w:hAnsi="Times New Roman" w:cs="Times New Roman"/>
          <w:i/>
          <w:iCs/>
          <w:color w:val="555555"/>
        </w:rPr>
        <w:t>Figure 2: Global Personal Finance &amp; FinTech Market Growth 2020–2030 (Sources: Statista, 2025; PwC, 2024; Accenture, 2024)</w:t>
      </w:r>
    </w:p>
    <w:p w14:paraId="6803AF6F" w14:textId="77777777" w:rsidR="00A54F04" w:rsidRDefault="00000000">
      <w:pPr>
        <w:pStyle w:val="Heading2"/>
      </w:pPr>
      <w:bookmarkStart w:id="3" w:name="_Toc228500113"/>
      <w:r>
        <w:t>Sustainability Alignment</w:t>
      </w:r>
      <w:bookmarkEnd w:id="3"/>
    </w:p>
    <w:p w14:paraId="706E238B" w14:textId="77777777" w:rsidR="00A54F04" w:rsidRDefault="00000000">
      <w:pPr>
        <w:spacing w:line="360" w:lineRule="auto"/>
        <w:jc w:val="both"/>
        <w:rPr>
          <w:rFonts w:ascii="Times New Roman" w:hAnsi="Times New Roman" w:cs="Times New Roman"/>
        </w:rPr>
      </w:pPr>
      <w:r>
        <w:rPr>
          <w:rFonts w:ascii="Times New Roman" w:hAnsi="Times New Roman" w:cs="Times New Roman"/>
        </w:rPr>
        <w:t xml:space="preserve">Microsoft FinanceAI is environmentally friendly in its design, operations and interaction with customers, as it is part of the Microsoft strategy to become carbon negative by the year 2030 (Microsoft, 2025), and the UN Sustainable Development Goals (2015). The product is produced using recycled ocean plastic and eco-friendly materials, which is compatible with </w:t>
      </w:r>
      <w:r>
        <w:rPr>
          <w:rFonts w:ascii="Times New Roman" w:hAnsi="Times New Roman" w:cs="Times New Roman"/>
        </w:rPr>
        <w:lastRenderedPageBreak/>
        <w:t>SDG 12 (Responsible Consumption and Production). Regarding operation, it is operated by the green data centres of Azure, having fewer carbon emissions and SDG 13 (Climate Action). It also promotes green investments, carbon tracking, and green spending insights, enabling the user and helping to achieve SDG 8 (Decent Work and Economic Growth). It is an instance of corporate sustainability as defined by van Marrewijk (2003) with green and social value intertwined in this integration.</w:t>
      </w:r>
    </w:p>
    <w:p w14:paraId="4C566CC1" w14:textId="77777777" w:rsidR="00A54F04" w:rsidRDefault="00000000">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0C2C809C" wp14:editId="224EA143">
            <wp:extent cx="5731510" cy="2860675"/>
            <wp:effectExtent l="0" t="0" r="2540" b="0"/>
            <wp:docPr id="1984778280" name="Picture 1984778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778280" name="Picture 1984778280"/>
                    <pic:cNvPicPr>
                      <a:picLocks noChangeAspect="1" noChangeArrowheads="1"/>
                    </pic:cNvPicPr>
                  </pic:nvPicPr>
                  <pic:blipFill>
                    <a:blip r:embed="rId10"/>
                    <a:srcRect/>
                    <a:stretch>
                      <a:fillRect/>
                    </a:stretch>
                  </pic:blipFill>
                  <pic:spPr>
                    <a:xfrm>
                      <a:off x="0" y="0"/>
                      <a:ext cx="5731510" cy="2861184"/>
                    </a:xfrm>
                    <a:prstGeom prst="rect">
                      <a:avLst/>
                    </a:prstGeom>
                  </pic:spPr>
                </pic:pic>
              </a:graphicData>
            </a:graphic>
          </wp:inline>
        </w:drawing>
      </w:r>
    </w:p>
    <w:p w14:paraId="2A96F943" w14:textId="77777777" w:rsidR="00A54F04" w:rsidRDefault="00000000">
      <w:pPr>
        <w:spacing w:line="360" w:lineRule="auto"/>
        <w:jc w:val="center"/>
        <w:rPr>
          <w:rFonts w:ascii="Times New Roman" w:hAnsi="Times New Roman" w:cs="Times New Roman"/>
        </w:rPr>
      </w:pPr>
      <w:r>
        <w:rPr>
          <w:rFonts w:ascii="Times New Roman" w:hAnsi="Times New Roman" w:cs="Times New Roman"/>
          <w:i/>
          <w:iCs/>
          <w:color w:val="555555"/>
        </w:rPr>
        <w:t>Figure 3: Key Market Trends Driving Microsoft FinanceAI Adoption 2024–2025 (Sources: PwC, 2024; Deloitte, 2024; McKinsey &amp; Company, 2024; IDC, 2024; Accenture, 2024; Morgan Stanley, 2024)</w:t>
      </w:r>
    </w:p>
    <w:p w14:paraId="7CE54E50" w14:textId="77777777" w:rsidR="00A54F04" w:rsidRDefault="00A54F04">
      <w:pPr>
        <w:spacing w:line="360" w:lineRule="auto"/>
        <w:jc w:val="both"/>
        <w:rPr>
          <w:rFonts w:ascii="Times New Roman" w:hAnsi="Times New Roman" w:cs="Times New Roman"/>
          <w:b/>
          <w:bCs/>
        </w:rPr>
      </w:pPr>
    </w:p>
    <w:p w14:paraId="03FA3E24" w14:textId="77777777" w:rsidR="00A54F04" w:rsidRDefault="00000000">
      <w:pPr>
        <w:spacing w:line="360" w:lineRule="auto"/>
        <w:jc w:val="both"/>
        <w:rPr>
          <w:rFonts w:ascii="Times New Roman" w:hAnsi="Times New Roman" w:cs="Times New Roman"/>
        </w:rPr>
      </w:pPr>
      <w:r>
        <w:rPr>
          <w:rFonts w:ascii="Times New Roman" w:hAnsi="Times New Roman" w:cs="Times New Roman"/>
        </w:rPr>
        <w:br w:type="page"/>
      </w:r>
    </w:p>
    <w:p w14:paraId="322E8DEC" w14:textId="77777777" w:rsidR="00A54F04" w:rsidRDefault="00000000">
      <w:pPr>
        <w:pStyle w:val="Heading1"/>
      </w:pPr>
      <w:bookmarkStart w:id="4" w:name="_Toc228500114"/>
      <w:r>
        <w:lastRenderedPageBreak/>
        <w:t>Element 2: Segmentation, Targeting, Differentiation, and Positioning (STDP) Analysis</w:t>
      </w:r>
      <w:bookmarkEnd w:id="4"/>
    </w:p>
    <w:p w14:paraId="3F075BF8" w14:textId="77777777" w:rsidR="00A54F04" w:rsidRDefault="00000000">
      <w:pPr>
        <w:pStyle w:val="Heading2"/>
      </w:pPr>
      <w:bookmarkStart w:id="5" w:name="_Toc228500115"/>
      <w:r>
        <w:t>Market Segmentation</w:t>
      </w:r>
      <w:bookmarkEnd w:id="5"/>
    </w:p>
    <w:p w14:paraId="18600CA4" w14:textId="77777777" w:rsidR="00A54F04" w:rsidRDefault="00000000">
      <w:pPr>
        <w:spacing w:line="360" w:lineRule="auto"/>
        <w:jc w:val="both"/>
        <w:rPr>
          <w:rFonts w:ascii="Times New Roman" w:hAnsi="Times New Roman" w:cs="Times New Roman"/>
        </w:rPr>
      </w:pPr>
      <w:r>
        <w:rPr>
          <w:rFonts w:ascii="Times New Roman" w:hAnsi="Times New Roman" w:cs="Times New Roman"/>
        </w:rPr>
        <w:t>Market segmentation refers to the process of subdivision of a heterogeneous market into specific and homogeneous sub-groups whose members have similar needs or characteristics or behaviours and react in a similar manner to a particular marketing activity (Kotler et al., 2010; Wedel and Kamakura, 2000). Segmentation allows organisations to focus their resources on the most valuable opportunities and create differentiated value propositions that appeal to particular consumer groups, which enhances marketing effectiveness, as well as competitive differentiation (Dibb and Simkin, 1991). In the case of Microsoft FinanceAI, the segmentation is done based on four types of variables, which are geographic, demographic, psychographic, and behavioural.</w:t>
      </w:r>
    </w:p>
    <w:p w14:paraId="37D1B75C" w14:textId="77777777" w:rsidR="00A54F04" w:rsidRDefault="00A54F04">
      <w:pPr>
        <w:spacing w:line="360" w:lineRule="auto"/>
        <w:jc w:val="both"/>
        <w:rPr>
          <w:rFonts w:ascii="Times New Roman" w:hAnsi="Times New Roman" w:cs="Times New Roman"/>
        </w:rPr>
      </w:pPr>
    </w:p>
    <w:p w14:paraId="03741EB7"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t>Table 1: Market Segmentation for Microsoft FinanceAI</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3563"/>
        <w:gridCol w:w="3563"/>
      </w:tblGrid>
      <w:tr w:rsidR="00A54F04" w14:paraId="03F3049D" w14:textId="77777777">
        <w:tc>
          <w:tcPr>
            <w:tcW w:w="1900" w:type="dxa"/>
            <w:tcBorders>
              <w:top w:val="single" w:sz="0" w:space="0" w:color="AAAAAA"/>
              <w:left w:val="single" w:sz="0" w:space="0" w:color="AAAAAA"/>
              <w:bottom w:val="single" w:sz="0" w:space="0" w:color="AAAAAA"/>
              <w:right w:val="single" w:sz="0" w:space="0" w:color="AAAAAA"/>
            </w:tcBorders>
            <w:shd w:val="clear" w:color="auto" w:fill="0A2342"/>
            <w:tcMar>
              <w:top w:w="80" w:type="dxa"/>
              <w:left w:w="120" w:type="dxa"/>
              <w:bottom w:w="80" w:type="dxa"/>
              <w:right w:w="120" w:type="dxa"/>
            </w:tcMar>
            <w:vAlign w:val="center"/>
          </w:tcPr>
          <w:p w14:paraId="18CB013D"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color w:val="FFFFFF"/>
              </w:rPr>
              <w:t>Basis</w:t>
            </w:r>
          </w:p>
        </w:tc>
        <w:tc>
          <w:tcPr>
            <w:tcW w:w="3563" w:type="dxa"/>
            <w:tcBorders>
              <w:top w:val="single" w:sz="0" w:space="0" w:color="AAAAAA"/>
              <w:left w:val="single" w:sz="0" w:space="0" w:color="AAAAAA"/>
              <w:bottom w:val="single" w:sz="0" w:space="0" w:color="AAAAAA"/>
              <w:right w:val="single" w:sz="0" w:space="0" w:color="AAAAAA"/>
            </w:tcBorders>
            <w:shd w:val="clear" w:color="auto" w:fill="0A2342"/>
            <w:tcMar>
              <w:top w:w="80" w:type="dxa"/>
              <w:left w:w="120" w:type="dxa"/>
              <w:bottom w:w="80" w:type="dxa"/>
              <w:right w:w="120" w:type="dxa"/>
            </w:tcMar>
            <w:vAlign w:val="center"/>
          </w:tcPr>
          <w:p w14:paraId="3EFB41D3"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color w:val="FFFFFF"/>
              </w:rPr>
              <w:t>Key Variables</w:t>
            </w:r>
          </w:p>
        </w:tc>
        <w:tc>
          <w:tcPr>
            <w:tcW w:w="3563" w:type="dxa"/>
            <w:tcBorders>
              <w:top w:val="single" w:sz="0" w:space="0" w:color="AAAAAA"/>
              <w:left w:val="single" w:sz="0" w:space="0" w:color="AAAAAA"/>
              <w:bottom w:val="single" w:sz="0" w:space="0" w:color="AAAAAA"/>
              <w:right w:val="single" w:sz="0" w:space="0" w:color="AAAAAA"/>
            </w:tcBorders>
            <w:shd w:val="clear" w:color="auto" w:fill="0A2342"/>
            <w:tcMar>
              <w:top w:w="80" w:type="dxa"/>
              <w:left w:w="120" w:type="dxa"/>
              <w:bottom w:w="80" w:type="dxa"/>
              <w:right w:w="120" w:type="dxa"/>
            </w:tcMar>
            <w:vAlign w:val="center"/>
          </w:tcPr>
          <w:p w14:paraId="48190C20"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color w:val="FFFFFF"/>
              </w:rPr>
              <w:t>Application to FinanceAI</w:t>
            </w:r>
          </w:p>
        </w:tc>
      </w:tr>
      <w:tr w:rsidR="00A54F04" w14:paraId="4812B759" w14:textId="77777777">
        <w:tc>
          <w:tcPr>
            <w:tcW w:w="19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1D04BE79"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t>Geographic</w:t>
            </w:r>
          </w:p>
        </w:tc>
        <w:tc>
          <w:tcPr>
            <w:tcW w:w="3563"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5A0BEDB7" w14:textId="77777777" w:rsidR="00A54F04" w:rsidRDefault="00000000">
            <w:pPr>
              <w:spacing w:line="360" w:lineRule="auto"/>
              <w:jc w:val="both"/>
              <w:rPr>
                <w:rFonts w:ascii="Times New Roman" w:hAnsi="Times New Roman" w:cs="Times New Roman"/>
              </w:rPr>
            </w:pPr>
            <w:r>
              <w:rPr>
                <w:rFonts w:ascii="Times New Roman" w:hAnsi="Times New Roman" w:cs="Times New Roman"/>
              </w:rPr>
              <w:t>North America, Western Europe, Australia/NZ; urban and suburban high-income areas; strong broadband and open banking regulatory frameworks</w:t>
            </w:r>
          </w:p>
        </w:tc>
        <w:tc>
          <w:tcPr>
            <w:tcW w:w="3563"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16AB6372" w14:textId="77777777" w:rsidR="00A54F04" w:rsidRDefault="00000000">
            <w:pPr>
              <w:spacing w:line="360" w:lineRule="auto"/>
              <w:jc w:val="both"/>
              <w:rPr>
                <w:rFonts w:ascii="Times New Roman" w:hAnsi="Times New Roman" w:cs="Times New Roman"/>
              </w:rPr>
            </w:pPr>
            <w:r>
              <w:rPr>
                <w:rFonts w:ascii="Times New Roman" w:hAnsi="Times New Roman" w:cs="Times New Roman"/>
              </w:rPr>
              <w:t>Launch in 22 countries where Microsoft 365 adoption is highest and open banking APIs are established (UK, US, EU, Australia)</w:t>
            </w:r>
          </w:p>
        </w:tc>
      </w:tr>
      <w:tr w:rsidR="00A54F04" w14:paraId="5DB7CBC5" w14:textId="77777777">
        <w:tc>
          <w:tcPr>
            <w:tcW w:w="1900"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1110AE3F"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t>Demographic</w:t>
            </w:r>
          </w:p>
        </w:tc>
        <w:tc>
          <w:tcPr>
            <w:tcW w:w="3563"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47F9635B" w14:textId="77777777" w:rsidR="00A54F04" w:rsidRDefault="00000000">
            <w:pPr>
              <w:spacing w:line="360" w:lineRule="auto"/>
              <w:jc w:val="both"/>
              <w:rPr>
                <w:rFonts w:ascii="Times New Roman" w:hAnsi="Times New Roman" w:cs="Times New Roman"/>
              </w:rPr>
            </w:pPr>
            <w:r>
              <w:rPr>
                <w:rFonts w:ascii="Times New Roman" w:hAnsi="Times New Roman" w:cs="Times New Roman"/>
              </w:rPr>
              <w:t>Ages 18–55; household income &gt;$40,000; university-educated; employed in finance, tech, legal, or professional services; financially active (&gt;1 account)</w:t>
            </w:r>
          </w:p>
        </w:tc>
        <w:tc>
          <w:tcPr>
            <w:tcW w:w="3563"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456563F0" w14:textId="77777777" w:rsidR="00A54F04" w:rsidRDefault="00000000">
            <w:pPr>
              <w:spacing w:line="360" w:lineRule="auto"/>
              <w:jc w:val="both"/>
              <w:rPr>
                <w:rFonts w:ascii="Times New Roman" w:hAnsi="Times New Roman" w:cs="Times New Roman"/>
              </w:rPr>
            </w:pPr>
            <w:r>
              <w:rPr>
                <w:rFonts w:ascii="Times New Roman" w:hAnsi="Times New Roman" w:cs="Times New Roman"/>
              </w:rPr>
              <w:t>Targeting consumers who actively manage investments, have multiple financial accounts, and engage with productivity tools daily — core Microsoft 365 demographics</w:t>
            </w:r>
          </w:p>
        </w:tc>
      </w:tr>
      <w:tr w:rsidR="00A54F04" w14:paraId="0CA65DBD" w14:textId="77777777">
        <w:tc>
          <w:tcPr>
            <w:tcW w:w="19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6F113FBF"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t>Psychographic</w:t>
            </w:r>
          </w:p>
        </w:tc>
        <w:tc>
          <w:tcPr>
            <w:tcW w:w="3563"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03C773E8" w14:textId="77777777" w:rsidR="00A54F04" w:rsidRDefault="00000000">
            <w:pPr>
              <w:spacing w:line="360" w:lineRule="auto"/>
              <w:jc w:val="both"/>
              <w:rPr>
                <w:rFonts w:ascii="Times New Roman" w:hAnsi="Times New Roman" w:cs="Times New Roman"/>
              </w:rPr>
            </w:pPr>
            <w:r>
              <w:rPr>
                <w:rFonts w:ascii="Times New Roman" w:hAnsi="Times New Roman" w:cs="Times New Roman"/>
              </w:rPr>
              <w:t>Financially aspirational; tech-forward; privacy-valuing; sustainability-conscious; seek control and visibility over personal finances; value-driven consumers</w:t>
            </w:r>
          </w:p>
        </w:tc>
        <w:tc>
          <w:tcPr>
            <w:tcW w:w="3563"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15B645F4" w14:textId="77777777" w:rsidR="00A54F04" w:rsidRDefault="00000000">
            <w:pPr>
              <w:spacing w:line="360" w:lineRule="auto"/>
              <w:jc w:val="both"/>
              <w:rPr>
                <w:rFonts w:ascii="Times New Roman" w:hAnsi="Times New Roman" w:cs="Times New Roman"/>
              </w:rPr>
            </w:pPr>
            <w:r>
              <w:rPr>
                <w:rFonts w:ascii="Times New Roman" w:hAnsi="Times New Roman" w:cs="Times New Roman"/>
              </w:rPr>
              <w:t xml:space="preserve">Aligns with Microsoft's brand values of productivity, trust, and responsible innovation; ESG and Copilot AI features appeal to </w:t>
            </w:r>
            <w:r>
              <w:rPr>
                <w:rFonts w:ascii="Times New Roman" w:hAnsi="Times New Roman" w:cs="Times New Roman"/>
              </w:rPr>
              <w:lastRenderedPageBreak/>
              <w:t>achievement-oriented, values-driven consumers</w:t>
            </w:r>
          </w:p>
        </w:tc>
      </w:tr>
      <w:tr w:rsidR="00A54F04" w14:paraId="5D5F9D9F" w14:textId="77777777">
        <w:tc>
          <w:tcPr>
            <w:tcW w:w="1900"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6566C2B2"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lastRenderedPageBreak/>
              <w:t>Behavioural</w:t>
            </w:r>
          </w:p>
        </w:tc>
        <w:tc>
          <w:tcPr>
            <w:tcW w:w="3563"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324818DB" w14:textId="77777777" w:rsidR="00A54F04" w:rsidRDefault="00000000">
            <w:pPr>
              <w:spacing w:line="360" w:lineRule="auto"/>
              <w:jc w:val="both"/>
              <w:rPr>
                <w:rFonts w:ascii="Times New Roman" w:hAnsi="Times New Roman" w:cs="Times New Roman"/>
              </w:rPr>
            </w:pPr>
            <w:r>
              <w:rPr>
                <w:rFonts w:ascii="Times New Roman" w:hAnsi="Times New Roman" w:cs="Times New Roman"/>
              </w:rPr>
              <w:t>Microsoft 365 subscribers; active banking app users; robo-advisory adopters; smart home device owners; high app engagement frequency (daily–weekly)</w:t>
            </w:r>
          </w:p>
        </w:tc>
        <w:tc>
          <w:tcPr>
            <w:tcW w:w="3563"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12EE5C82" w14:textId="77777777" w:rsidR="00A54F04" w:rsidRDefault="00000000">
            <w:pPr>
              <w:spacing w:line="360" w:lineRule="auto"/>
              <w:jc w:val="both"/>
              <w:rPr>
                <w:rFonts w:ascii="Times New Roman" w:hAnsi="Times New Roman" w:cs="Times New Roman"/>
              </w:rPr>
            </w:pPr>
            <w:r>
              <w:rPr>
                <w:rFonts w:ascii="Times New Roman" w:hAnsi="Times New Roman" w:cs="Times New Roman"/>
              </w:rPr>
              <w:t>Cross-sell to 400M+ Microsoft 365 subscribers; integrate FinanceAI with Outlook, Teams, and Excel for seamless professional workflow</w:t>
            </w:r>
          </w:p>
        </w:tc>
      </w:tr>
    </w:tbl>
    <w:p w14:paraId="382ED805" w14:textId="77777777" w:rsidR="00A54F04" w:rsidRDefault="00000000">
      <w:pPr>
        <w:spacing w:line="360" w:lineRule="auto"/>
        <w:jc w:val="center"/>
        <w:rPr>
          <w:rFonts w:ascii="Times New Roman" w:hAnsi="Times New Roman" w:cs="Times New Roman"/>
        </w:rPr>
      </w:pPr>
      <w:r>
        <w:rPr>
          <w:rFonts w:ascii="Times New Roman" w:hAnsi="Times New Roman" w:cs="Times New Roman"/>
          <w:i/>
          <w:iCs/>
          <w:color w:val="555555"/>
        </w:rPr>
        <w:t>Table 1: Market Segmentation Analysis for Microsoft FinanceAI (Kotler et al., 2010; Wedel and Kamakura, 2000; Dibb and Simkin, 1991)</w:t>
      </w:r>
    </w:p>
    <w:p w14:paraId="782209EF" w14:textId="77777777" w:rsidR="00A54F04" w:rsidRDefault="00000000">
      <w:pPr>
        <w:pStyle w:val="Heading2"/>
      </w:pPr>
      <w:bookmarkStart w:id="6" w:name="_Toc228500116"/>
      <w:r>
        <w:t>Target Audience</w:t>
      </w:r>
      <w:bookmarkEnd w:id="6"/>
    </w:p>
    <w:p w14:paraId="4CE41906" w14:textId="77777777" w:rsidR="00A54F04" w:rsidRDefault="00000000">
      <w:pPr>
        <w:spacing w:line="360" w:lineRule="auto"/>
        <w:jc w:val="both"/>
        <w:rPr>
          <w:rFonts w:ascii="Times New Roman" w:hAnsi="Times New Roman" w:cs="Times New Roman"/>
        </w:rPr>
      </w:pPr>
      <w:r>
        <w:rPr>
          <w:rFonts w:ascii="Times New Roman" w:hAnsi="Times New Roman" w:cs="Times New Roman"/>
        </w:rPr>
        <w:t>Microsoft FinanceAI is focused on the two main categories of the target market in North America and Western Europe, specifically Gen Z and Millennials aged 1840, and the existing users of Microsoft 365. This digitally savvy group appreciates holistic ecosystems and AI-based financial solutions, and 83% of them like digital finance management and 61% of them are ready to pay more to receive advanced AI insights (McKinsey and Company, 2024). The secondary market will comprise professionals with high income, 35-55 years old, and with the need to use high-level analytics, investment management, and taxation optimization (PwC, 2024). A tertiary segment is the SME owners aged 25-60 who integrate their business and personal finances in the Microsoft ecosystem with the help of Azure.</w:t>
      </w:r>
    </w:p>
    <w:p w14:paraId="65A0D71D" w14:textId="77777777" w:rsidR="00A54F04" w:rsidRDefault="00000000">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3D8D50D8" wp14:editId="71634F93">
            <wp:extent cx="5972175" cy="3324225"/>
            <wp:effectExtent l="0" t="0" r="0" b="0"/>
            <wp:docPr id="1836637621" name="Picture 1836637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37621" name="Picture 1836637621"/>
                    <pic:cNvPicPr>
                      <a:picLocks noChangeAspect="1" noChangeArrowheads="1"/>
                    </pic:cNvPicPr>
                  </pic:nvPicPr>
                  <pic:blipFill>
                    <a:blip r:embed="rId11"/>
                    <a:srcRect/>
                    <a:stretch>
                      <a:fillRect/>
                    </a:stretch>
                  </pic:blipFill>
                  <pic:spPr>
                    <a:xfrm>
                      <a:off x="0" y="0"/>
                      <a:ext cx="5972175" cy="3324225"/>
                    </a:xfrm>
                    <a:prstGeom prst="rect">
                      <a:avLst/>
                    </a:prstGeom>
                  </pic:spPr>
                </pic:pic>
              </a:graphicData>
            </a:graphic>
          </wp:inline>
        </w:drawing>
      </w:r>
    </w:p>
    <w:p w14:paraId="66696EDD" w14:textId="77777777" w:rsidR="00A54F04" w:rsidRDefault="00000000">
      <w:pPr>
        <w:spacing w:line="360" w:lineRule="auto"/>
        <w:jc w:val="center"/>
        <w:rPr>
          <w:rFonts w:ascii="Times New Roman" w:hAnsi="Times New Roman" w:cs="Times New Roman"/>
        </w:rPr>
      </w:pPr>
      <w:r>
        <w:rPr>
          <w:rFonts w:ascii="Times New Roman" w:hAnsi="Times New Roman" w:cs="Times New Roman"/>
          <w:i/>
          <w:iCs/>
          <w:color w:val="555555"/>
        </w:rPr>
        <w:lastRenderedPageBreak/>
        <w:t>Figure 4: Target Segment Revenue Potential — Microsoft FinanceAI (Self-made)</w:t>
      </w:r>
    </w:p>
    <w:p w14:paraId="75CF13BC" w14:textId="77777777" w:rsidR="00A54F04" w:rsidRDefault="00000000">
      <w:pPr>
        <w:pStyle w:val="Heading2"/>
      </w:pPr>
      <w:r>
        <w:t xml:space="preserve"> </w:t>
      </w:r>
      <w:bookmarkStart w:id="7" w:name="_Toc228500117"/>
      <w:r>
        <w:t>Differentiation</w:t>
      </w:r>
      <w:bookmarkEnd w:id="7"/>
    </w:p>
    <w:p w14:paraId="24351261" w14:textId="77777777" w:rsidR="00A54F04" w:rsidRDefault="00000000">
      <w:pPr>
        <w:spacing w:line="360" w:lineRule="auto"/>
        <w:jc w:val="both"/>
        <w:rPr>
          <w:rFonts w:ascii="Times New Roman" w:hAnsi="Times New Roman" w:cs="Times New Roman"/>
        </w:rPr>
      </w:pPr>
      <w:r>
        <w:rPr>
          <w:rFonts w:ascii="Times New Roman" w:hAnsi="Times New Roman" w:cs="Times New Roman"/>
        </w:rPr>
        <w:t>Differentiation according to Porter (1985) is the process of establishing unique value in the mind of the customers whereas Kay (1995) points out that the only way to have sustainable advantage is through inimitable capabilities. Microsoft FinanceAI can be distinguished on four pillars. First, Microsoft ecosystem integration ties FinanceAI with Microsoft 365, providing synchronised financial data in Outlook, Excel and Teams, providing productivity-finance convergence, which is not offered by single applications. Second, its committed 7-inch device provides a continuous financial transparency and more detailed real-time dashboards than its smartphone-based competitors. Third, Copilot AI is a conversational financial assistant, which provides budgeting, investment advice, and anomaly detection with intelligence of enterprise grade across 500 million users. Fourth, ESG intelligence offers carbon tracking, sustainability scoring and ethical investment insights, which fulfills the increasing Millennial expectations of responsible finance. All these capabilities combined create a multi-layered differentiation strategy that is defensible based on ecosystem integration, AI capability, and sustainability leadership, and it makes FinanceAI hard to replicate or replace by competitors in the constantly changing FinTech market.</w:t>
      </w:r>
    </w:p>
    <w:p w14:paraId="230EC91D" w14:textId="77777777" w:rsidR="00A54F04" w:rsidRDefault="00000000">
      <w:pPr>
        <w:pStyle w:val="Heading2"/>
      </w:pPr>
      <w:bookmarkStart w:id="8" w:name="_Toc228500118"/>
      <w:r>
        <w:t>Positioning</w:t>
      </w:r>
      <w:bookmarkEnd w:id="8"/>
    </w:p>
    <w:p w14:paraId="09462804" w14:textId="77777777" w:rsidR="00A54F04" w:rsidRDefault="00000000">
      <w:pPr>
        <w:spacing w:line="360" w:lineRule="auto"/>
        <w:jc w:val="both"/>
        <w:rPr>
          <w:rFonts w:ascii="Times New Roman" w:hAnsi="Times New Roman" w:cs="Times New Roman"/>
        </w:rPr>
      </w:pPr>
      <w:r>
        <w:rPr>
          <w:rFonts w:ascii="Times New Roman" w:hAnsi="Times New Roman" w:cs="Times New Roman"/>
        </w:rPr>
        <w:t>According to Ries and Trout (2001), positioning is a process that creates perception in the mind of the consumer and Wind (1982), positioning focuses on the credibility of creating a unique and realistic niche in the market. Microsoft FinanceAI is a high-end AI-driven personal finance product that unites a trusted Microsoft ecosystem, Copilot AI, and integration of ESG to help make financial management easier. It is positioned in the high-quality, mid-premium category according to Kotler et al. (2010) quality price map at a price of 299 with a subscription fee of 9.99 per month between the low-end budgeting applications, on the one hand, and the high-end advisory services, on the other. The exclusivity, intelligence and integration are emphasized in its positioning statement supporting its purpose as an all-purpose financial wellbeing solution.</w:t>
      </w:r>
    </w:p>
    <w:p w14:paraId="6379EA0F" w14:textId="77777777" w:rsidR="00A54F04" w:rsidRDefault="00000000">
      <w:pPr>
        <w:spacing w:line="360" w:lineRule="auto"/>
        <w:jc w:val="both"/>
        <w:rPr>
          <w:rFonts w:ascii="Times New Roman" w:hAnsi="Times New Roman" w:cs="Times New Roman"/>
        </w:rPr>
      </w:pPr>
      <w:r>
        <w:rPr>
          <w:rFonts w:ascii="Times New Roman" w:hAnsi="Times New Roman" w:cs="Times New Roman"/>
        </w:rPr>
        <w:t> </w:t>
      </w:r>
    </w:p>
    <w:p w14:paraId="57151BA9" w14:textId="77777777" w:rsidR="00A54F04" w:rsidRDefault="00A54F04">
      <w:pPr>
        <w:spacing w:line="360" w:lineRule="auto"/>
        <w:jc w:val="both"/>
        <w:rPr>
          <w:rFonts w:ascii="Times New Roman" w:hAnsi="Times New Roman" w:cs="Times New Roman"/>
        </w:rPr>
      </w:pPr>
    </w:p>
    <w:p w14:paraId="5FD316E8" w14:textId="77777777" w:rsidR="00A54F04" w:rsidRDefault="00A54F04">
      <w:pPr>
        <w:spacing w:line="360" w:lineRule="auto"/>
        <w:jc w:val="both"/>
        <w:rPr>
          <w:rFonts w:ascii="Times New Roman" w:hAnsi="Times New Roman" w:cs="Times New Roman"/>
        </w:rPr>
      </w:pPr>
    </w:p>
    <w:p w14:paraId="4022AD6E" w14:textId="77777777" w:rsidR="00A54F04" w:rsidRDefault="00A54F04">
      <w:pPr>
        <w:spacing w:line="360" w:lineRule="auto"/>
        <w:jc w:val="both"/>
        <w:rPr>
          <w:rFonts w:ascii="Times New Roman" w:hAnsi="Times New Roman" w:cs="Times New Roman"/>
        </w:rPr>
      </w:pPr>
    </w:p>
    <w:p w14:paraId="0D642510" w14:textId="77777777" w:rsidR="00A54F04" w:rsidRDefault="00A54F04">
      <w:pPr>
        <w:spacing w:line="360" w:lineRule="auto"/>
        <w:jc w:val="both"/>
        <w:rPr>
          <w:rFonts w:ascii="Times New Roman" w:hAnsi="Times New Roman" w:cs="Times New Roman"/>
        </w:rPr>
      </w:pPr>
    </w:p>
    <w:p w14:paraId="55EE90F5" w14:textId="77777777" w:rsidR="00A54F04" w:rsidRDefault="00000000">
      <w:pPr>
        <w:pStyle w:val="Heading1"/>
      </w:pPr>
      <w:bookmarkStart w:id="9" w:name="_Toc228500119"/>
      <w:r>
        <w:lastRenderedPageBreak/>
        <w:t>Element 3: Marketing Mix -7Ps Analysis.</w:t>
      </w:r>
      <w:bookmarkEnd w:id="9"/>
    </w:p>
    <w:p w14:paraId="3C3BDF0C" w14:textId="77777777" w:rsidR="00A54F04" w:rsidRDefault="00000000">
      <w:pPr>
        <w:spacing w:line="360" w:lineRule="auto"/>
        <w:jc w:val="both"/>
        <w:rPr>
          <w:rFonts w:ascii="Times New Roman" w:hAnsi="Times New Roman" w:cs="Times New Roman"/>
        </w:rPr>
      </w:pPr>
      <w:r>
        <w:rPr>
          <w:rFonts w:ascii="Times New Roman" w:hAnsi="Times New Roman" w:cs="Times New Roman"/>
        </w:rPr>
        <w:t>Marketing Mix 7Ps framework created by Booms and Bitner (1981) as a continuation of the original 4Ps framework (Product, Price, Place, Promotion) introduced by McCarthy (1969) includes additional 7Ps: People, Process, and Physical Evidence that reflect the unique features of service and technology products (Kotler et al., 2010). The 7Ps are confirmed by Rafiq and Ahmed (1995) as the strongest framework of technology service marketing, which is especially useful in portraying the human and processual aspects, which are the determinants of service quality perceptions. All the elements have been critically analysed and put into context concerning Microsoft FinanceAI below.</w:t>
      </w:r>
    </w:p>
    <w:p w14:paraId="5FE8933E" w14:textId="77777777" w:rsidR="00A54F04" w:rsidRDefault="00000000">
      <w:pPr>
        <w:spacing w:line="360" w:lineRule="auto"/>
        <w:jc w:val="center"/>
        <w:rPr>
          <w:rFonts w:ascii="Times New Roman" w:hAnsi="Times New Roman" w:cs="Times New Roman"/>
        </w:rPr>
      </w:pPr>
      <w:r>
        <w:rPr>
          <w:rFonts w:ascii="Times New Roman" w:hAnsi="Times New Roman" w:cs="Times New Roman"/>
          <w:b/>
          <w:bCs/>
        </w:rPr>
        <w:t>Table 2: 7Ps Marketing Mix — Microsoft FinanceAI</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7426"/>
      </w:tblGrid>
      <w:tr w:rsidR="00A54F04" w14:paraId="0C999630" w14:textId="77777777">
        <w:tc>
          <w:tcPr>
            <w:tcW w:w="1600" w:type="dxa"/>
            <w:tcBorders>
              <w:top w:val="single" w:sz="0" w:space="0" w:color="AAAAAA"/>
              <w:left w:val="single" w:sz="0" w:space="0" w:color="AAAAAA"/>
              <w:bottom w:val="single" w:sz="0" w:space="0" w:color="AAAAAA"/>
              <w:right w:val="single" w:sz="0" w:space="0" w:color="AAAAAA"/>
            </w:tcBorders>
            <w:shd w:val="clear" w:color="auto" w:fill="0A2342"/>
            <w:tcMar>
              <w:top w:w="80" w:type="dxa"/>
              <w:left w:w="120" w:type="dxa"/>
              <w:bottom w:w="80" w:type="dxa"/>
              <w:right w:w="120" w:type="dxa"/>
            </w:tcMar>
            <w:vAlign w:val="center"/>
          </w:tcPr>
          <w:p w14:paraId="7865A117"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color w:val="FFFFFF"/>
              </w:rPr>
              <w:t>Element</w:t>
            </w:r>
          </w:p>
        </w:tc>
        <w:tc>
          <w:tcPr>
            <w:tcW w:w="7426" w:type="dxa"/>
            <w:tcBorders>
              <w:top w:val="single" w:sz="0" w:space="0" w:color="AAAAAA"/>
              <w:left w:val="single" w:sz="0" w:space="0" w:color="AAAAAA"/>
              <w:bottom w:val="single" w:sz="0" w:space="0" w:color="AAAAAA"/>
              <w:right w:val="single" w:sz="0" w:space="0" w:color="AAAAAA"/>
            </w:tcBorders>
            <w:shd w:val="clear" w:color="auto" w:fill="0A2342"/>
            <w:tcMar>
              <w:top w:w="80" w:type="dxa"/>
              <w:left w:w="120" w:type="dxa"/>
              <w:bottom w:w="80" w:type="dxa"/>
              <w:right w:w="120" w:type="dxa"/>
            </w:tcMar>
            <w:vAlign w:val="center"/>
          </w:tcPr>
          <w:p w14:paraId="6DE1DAF3"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color w:val="FFFFFF"/>
              </w:rPr>
              <w:t>Strategic Application</w:t>
            </w:r>
          </w:p>
        </w:tc>
      </w:tr>
      <w:tr w:rsidR="00A54F04" w14:paraId="2E0A7B03" w14:textId="77777777">
        <w:tc>
          <w:tcPr>
            <w:tcW w:w="16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7B23774A"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t>Product</w:t>
            </w:r>
          </w:p>
        </w:tc>
        <w:tc>
          <w:tcPr>
            <w:tcW w:w="74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1AA45981" w14:textId="77777777" w:rsidR="00A54F04" w:rsidRDefault="00000000">
            <w:pPr>
              <w:spacing w:line="360" w:lineRule="auto"/>
              <w:jc w:val="both"/>
              <w:rPr>
                <w:rFonts w:ascii="Times New Roman" w:hAnsi="Times New Roman" w:cs="Times New Roman"/>
              </w:rPr>
            </w:pPr>
            <w:r>
              <w:rPr>
                <w:rFonts w:ascii="Times New Roman" w:hAnsi="Times New Roman" w:cs="Times New Roman"/>
              </w:rPr>
              <w:t>7-inch touchscreen smart finance device; Copilot AI engine; real-time budget tracking; investment portfolio monitoring; voice-activated planning; Microsoft 365 and Azure integration; ESG investment score dashboard; carbon footprint monitoring; recycled ocean plastic casing.</w:t>
            </w:r>
          </w:p>
        </w:tc>
      </w:tr>
      <w:tr w:rsidR="00A54F04" w14:paraId="720E1698" w14:textId="77777777">
        <w:tc>
          <w:tcPr>
            <w:tcW w:w="1600"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631DF110"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t>Price</w:t>
            </w:r>
          </w:p>
        </w:tc>
        <w:tc>
          <w:tcPr>
            <w:tcW w:w="7426"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0EB5DDE3" w14:textId="77777777" w:rsidR="00A54F04" w:rsidRDefault="00000000">
            <w:pPr>
              <w:spacing w:line="360" w:lineRule="auto"/>
              <w:jc w:val="both"/>
              <w:rPr>
                <w:rFonts w:ascii="Times New Roman" w:hAnsi="Times New Roman" w:cs="Times New Roman"/>
              </w:rPr>
            </w:pPr>
            <w:r>
              <w:rPr>
                <w:rFonts w:ascii="Times New Roman" w:hAnsi="Times New Roman" w:cs="Times New Roman"/>
              </w:rPr>
              <w:t>Hardware: $299 RRP ($249 introductory for Microsoft 365 subscribers). Software: Free basic tier; Copilot Premium $9.99/month; Business tier $24.99/month. Razor-and-blade model aligning with Microsoft 365 and Xbox Game Pass subscription architecture.</w:t>
            </w:r>
          </w:p>
        </w:tc>
      </w:tr>
      <w:tr w:rsidR="00A54F04" w14:paraId="4CFBF2C7" w14:textId="77777777">
        <w:tc>
          <w:tcPr>
            <w:tcW w:w="16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2185A9DA"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t>Place</w:t>
            </w:r>
          </w:p>
        </w:tc>
        <w:tc>
          <w:tcPr>
            <w:tcW w:w="74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1FD1C193" w14:textId="77777777" w:rsidR="00A54F04" w:rsidRDefault="00000000">
            <w:pPr>
              <w:spacing w:line="360" w:lineRule="auto"/>
              <w:jc w:val="both"/>
              <w:rPr>
                <w:rFonts w:ascii="Times New Roman" w:hAnsi="Times New Roman" w:cs="Times New Roman"/>
              </w:rPr>
            </w:pPr>
            <w:r>
              <w:rPr>
                <w:rFonts w:ascii="Times New Roman" w:hAnsi="Times New Roman" w:cs="Times New Roman"/>
              </w:rPr>
              <w:t>Microsoft Store (108 global locations and online); Amazon, Best Buy (US), John Lewis (UK), MediaMarkt (EU); B2B via Microsoft Enterprise agreements; Azure Marketplace for business tier; bundled with Microsoft 365 Family and Business plans.</w:t>
            </w:r>
          </w:p>
        </w:tc>
      </w:tr>
      <w:tr w:rsidR="00A54F04" w14:paraId="3237B3CA" w14:textId="77777777">
        <w:tc>
          <w:tcPr>
            <w:tcW w:w="1600"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789D95FB"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t>Promotion</w:t>
            </w:r>
          </w:p>
        </w:tc>
        <w:tc>
          <w:tcPr>
            <w:tcW w:w="7426"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508FA848" w14:textId="77777777" w:rsidR="00A54F04" w:rsidRDefault="00000000">
            <w:pPr>
              <w:spacing w:line="360" w:lineRule="auto"/>
              <w:jc w:val="both"/>
              <w:rPr>
                <w:rFonts w:ascii="Times New Roman" w:hAnsi="Times New Roman" w:cs="Times New Roman"/>
              </w:rPr>
            </w:pPr>
            <w:r>
              <w:rPr>
                <w:rFonts w:ascii="Times New Roman" w:hAnsi="Times New Roman" w:cs="Times New Roman"/>
              </w:rPr>
              <w:t>Microsoft Build and Ignite conference launches; targeted LinkedIn (25M followers) and YouTube pre-roll campaigns; co-marketing with Barclays, JPMorgan, HSBC; personal finance influencer partnerships; free 90-day Copilot Premium trial with Microsoft 365 renewal.</w:t>
            </w:r>
          </w:p>
        </w:tc>
      </w:tr>
      <w:tr w:rsidR="00A54F04" w14:paraId="5DD064AB" w14:textId="77777777">
        <w:tc>
          <w:tcPr>
            <w:tcW w:w="16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1DF919DC"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t>People</w:t>
            </w:r>
          </w:p>
        </w:tc>
        <w:tc>
          <w:tcPr>
            <w:tcW w:w="74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7861DFB7" w14:textId="77777777" w:rsidR="00A54F04" w:rsidRDefault="00000000">
            <w:pPr>
              <w:spacing w:line="360" w:lineRule="auto"/>
              <w:jc w:val="both"/>
              <w:rPr>
                <w:rFonts w:ascii="Times New Roman" w:hAnsi="Times New Roman" w:cs="Times New Roman"/>
              </w:rPr>
            </w:pPr>
            <w:r>
              <w:rPr>
                <w:rFonts w:ascii="Times New Roman" w:hAnsi="Times New Roman" w:cs="Times New Roman"/>
              </w:rPr>
              <w:t>Microsoft-certified financial technology engineers; FCA/SEC/GDPR-compliant data teams; Copilot AI conversational specialists; Microsoft Store FinanceAI advisors; 24/7 AI-powered Copilot chat support; partner bank relationship managers.</w:t>
            </w:r>
          </w:p>
        </w:tc>
      </w:tr>
      <w:tr w:rsidR="00A54F04" w14:paraId="5EEB1436" w14:textId="77777777">
        <w:tc>
          <w:tcPr>
            <w:tcW w:w="1600"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1EB2D142"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lastRenderedPageBreak/>
              <w:t>Process</w:t>
            </w:r>
          </w:p>
        </w:tc>
        <w:tc>
          <w:tcPr>
            <w:tcW w:w="7426" w:type="dxa"/>
            <w:tcBorders>
              <w:top w:val="single" w:sz="0" w:space="0" w:color="AAAAAA"/>
              <w:left w:val="single" w:sz="0" w:space="0" w:color="AAAAAA"/>
              <w:bottom w:val="single" w:sz="0" w:space="0" w:color="AAAAAA"/>
              <w:right w:val="single" w:sz="0" w:space="0" w:color="AAAAAA"/>
            </w:tcBorders>
            <w:shd w:val="clear" w:color="auto" w:fill="EBF4FC"/>
            <w:tcMar>
              <w:top w:w="80" w:type="dxa"/>
              <w:left w:w="120" w:type="dxa"/>
              <w:bottom w:w="80" w:type="dxa"/>
              <w:right w:w="120" w:type="dxa"/>
            </w:tcMar>
            <w:vAlign w:val="center"/>
          </w:tcPr>
          <w:p w14:paraId="4D12A259" w14:textId="77777777" w:rsidR="00A54F04" w:rsidRDefault="00000000">
            <w:pPr>
              <w:spacing w:line="360" w:lineRule="auto"/>
              <w:jc w:val="both"/>
              <w:rPr>
                <w:rFonts w:ascii="Times New Roman" w:hAnsi="Times New Roman" w:cs="Times New Roman"/>
              </w:rPr>
            </w:pPr>
            <w:r>
              <w:rPr>
                <w:rFonts w:ascii="Times New Roman" w:hAnsi="Times New Roman" w:cs="Times New Roman"/>
              </w:rPr>
              <w:t>Full account setup via Microsoft Account in under 5 minutes; automatic bank connectivity via open banking APIs; daily AI-generated financial insights with zero user input; proactive Copilot alerts for anomalous spending; automated monthly Copilot Financial Health Report; seamless Microsoft 365 calendar and Excel sync.</w:t>
            </w:r>
          </w:p>
        </w:tc>
      </w:tr>
      <w:tr w:rsidR="00A54F04" w14:paraId="7CECC9B4" w14:textId="77777777">
        <w:tc>
          <w:tcPr>
            <w:tcW w:w="1600" w:type="dxa"/>
            <w:tcBorders>
              <w:top w:val="single" w:sz="0" w:space="0" w:color="AAAAAA"/>
              <w:left w:val="single" w:sz="0" w:space="0" w:color="AAAAAA"/>
              <w:bottom w:val="single" w:sz="0" w:space="0" w:color="AAAAAA"/>
              <w:right w:val="single" w:sz="0" w:space="0" w:color="AAAAAA"/>
            </w:tcBorders>
            <w:shd w:val="clear" w:color="auto" w:fill="C7E0F4"/>
            <w:tcMar>
              <w:top w:w="80" w:type="dxa"/>
              <w:left w:w="120" w:type="dxa"/>
              <w:bottom w:w="80" w:type="dxa"/>
              <w:right w:w="120" w:type="dxa"/>
            </w:tcMar>
            <w:vAlign w:val="center"/>
          </w:tcPr>
          <w:p w14:paraId="7B733A53" w14:textId="77777777" w:rsidR="00A54F04" w:rsidRDefault="00000000">
            <w:pPr>
              <w:spacing w:line="360" w:lineRule="auto"/>
              <w:jc w:val="both"/>
              <w:rPr>
                <w:rFonts w:ascii="Times New Roman" w:hAnsi="Times New Roman" w:cs="Times New Roman"/>
              </w:rPr>
            </w:pPr>
            <w:r>
              <w:rPr>
                <w:rFonts w:ascii="Times New Roman" w:hAnsi="Times New Roman" w:cs="Times New Roman"/>
                <w:b/>
                <w:bCs/>
              </w:rPr>
              <w:t>Physical Evidence</w:t>
            </w:r>
          </w:p>
        </w:tc>
        <w:tc>
          <w:tcPr>
            <w:tcW w:w="7426"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vAlign w:val="center"/>
          </w:tcPr>
          <w:p w14:paraId="0E9172C6" w14:textId="77777777" w:rsidR="00A54F04" w:rsidRDefault="00000000">
            <w:pPr>
              <w:spacing w:line="360" w:lineRule="auto"/>
              <w:jc w:val="both"/>
              <w:rPr>
                <w:rFonts w:ascii="Times New Roman" w:hAnsi="Times New Roman" w:cs="Times New Roman"/>
              </w:rPr>
            </w:pPr>
            <w:r>
              <w:rPr>
                <w:rFonts w:ascii="Times New Roman" w:hAnsi="Times New Roman" w:cs="Times New Roman"/>
              </w:rPr>
              <w:t>Premium matte recycled ocean plastic device casing; illuminated Microsoft logo; Copilot AI certification badge; ESG A+ score display; real-time biometric dashboard visualisations; bank partner logos; Which?, Trustpilot, and Forbes Technology reviews; Microsoft's $340B brand valuation (Interbrand, 2024).</w:t>
            </w:r>
          </w:p>
        </w:tc>
      </w:tr>
    </w:tbl>
    <w:p w14:paraId="2302EBF0" w14:textId="77777777" w:rsidR="00A54F04" w:rsidRDefault="00000000">
      <w:pPr>
        <w:spacing w:line="360" w:lineRule="auto"/>
        <w:jc w:val="center"/>
        <w:rPr>
          <w:rFonts w:ascii="Times New Roman" w:hAnsi="Times New Roman" w:cs="Times New Roman"/>
          <w:i/>
          <w:iCs/>
          <w:color w:val="555555"/>
        </w:rPr>
      </w:pPr>
      <w:r>
        <w:rPr>
          <w:rFonts w:ascii="Times New Roman" w:hAnsi="Times New Roman" w:cs="Times New Roman"/>
          <w:i/>
          <w:iCs/>
          <w:color w:val="555555"/>
        </w:rPr>
        <w:t>Table 2: 7Ps Marketing Mix Summary (Booms and Bitner, 1981; McCarthy, 1969; Kotler et al., 2010; Rafiq and Ahmed, 1995)</w:t>
      </w:r>
    </w:p>
    <w:p w14:paraId="42221F3E" w14:textId="77777777" w:rsidR="00A54F04" w:rsidRDefault="00000000">
      <w:pPr>
        <w:pStyle w:val="Heading2"/>
      </w:pPr>
      <w:bookmarkStart w:id="10" w:name="_Toc228500120"/>
      <w:r>
        <w:t>Product</w:t>
      </w:r>
      <w:bookmarkEnd w:id="10"/>
    </w:p>
    <w:p w14:paraId="32156B2F" w14:textId="77777777" w:rsidR="00A54F04" w:rsidRDefault="00000000">
      <w:pPr>
        <w:spacing w:line="360" w:lineRule="auto"/>
        <w:jc w:val="both"/>
        <w:rPr>
          <w:rFonts w:ascii="Times New Roman" w:hAnsi="Times New Roman" w:cs="Times New Roman"/>
        </w:rPr>
      </w:pPr>
      <w:r>
        <w:rPr>
          <w:rFonts w:ascii="Times New Roman" w:hAnsi="Times New Roman" w:cs="Times New Roman"/>
        </w:rPr>
        <w:t>Microsoft FinanceAI is an augmented product, which goes beyond simple financial monitoring, providing AI-driven insights and integration into the ecosystem, which is consistent with Kotler et al. (2010). It simplifies the complex financial information into personalised and conversational advice with Copilot AI with minimal financial decision stress as reported by Prelec and Loewenstein (1998). Nonetheless, the brand extension also has threats of brand dilution and reputational losses in financial services that are regulated (Aaker and Keller, 1990). To counter this, Microsoft should make sure that it complies with FCA and SEC, use explicit advisory disclaimers and be certified to ISO 27001. These are critical in ensuring trust and security as well as brand credibility in the long run.</w:t>
      </w:r>
    </w:p>
    <w:p w14:paraId="7ABDC5DC" w14:textId="77777777" w:rsidR="00A54F04" w:rsidRDefault="00000000">
      <w:pPr>
        <w:pStyle w:val="Heading2"/>
      </w:pPr>
      <w:bookmarkStart w:id="11" w:name="_Toc228500121"/>
      <w:r>
        <w:t>Price</w:t>
      </w:r>
      <w:bookmarkEnd w:id="11"/>
    </w:p>
    <w:p w14:paraId="5D5C7651" w14:textId="77777777" w:rsidR="00A54F04" w:rsidRDefault="00000000">
      <w:pPr>
        <w:spacing w:line="360" w:lineRule="auto"/>
        <w:jc w:val="both"/>
        <w:rPr>
          <w:rFonts w:ascii="Times New Roman" w:hAnsi="Times New Roman" w:cs="Times New Roman"/>
        </w:rPr>
      </w:pPr>
      <w:r>
        <w:rPr>
          <w:rFonts w:ascii="Times New Roman" w:hAnsi="Times New Roman" w:cs="Times New Roman"/>
        </w:rPr>
        <w:t xml:space="preserve">The FinanceAI pricing model is based on a two-part revenue model of a hardware device priced at $299 and a subscription fee of $9.99/month, which follows the razor-blade model that was determined by Shapiro and Varian (1999). This helps Microsoft to transition to recurring revenue, like Microsoft 365 and Xbox Game Pass. The value-based pricing increases the perceived quality and trust in a controlled financial services environment (Anderson et al., 2014). The cross-selling is promoted by a discounted price of Microsoft 365 users at $249 price, which boosts customer lifetime value (Reinartz and Kumar, 2003). The subscription is </w:t>
      </w:r>
      <w:r>
        <w:rPr>
          <w:rFonts w:ascii="Times New Roman" w:hAnsi="Times New Roman" w:cs="Times New Roman"/>
        </w:rPr>
        <w:lastRenderedPageBreak/>
        <w:t>also aimed at being lower than switching thresholds, which makes it affordable, and it would allow further developing AI and improving the services (Lilien et al., 2017).</w:t>
      </w:r>
    </w:p>
    <w:p w14:paraId="3F33E2C2" w14:textId="77777777" w:rsidR="00A54F04" w:rsidRDefault="00000000">
      <w:pPr>
        <w:pStyle w:val="Heading2"/>
      </w:pPr>
      <w:bookmarkStart w:id="12" w:name="_Toc228500122"/>
      <w:r>
        <w:t>Place (Distribution)</w:t>
      </w:r>
      <w:bookmarkEnd w:id="12"/>
    </w:p>
    <w:p w14:paraId="448F0471" w14:textId="77777777" w:rsidR="00A54F04" w:rsidRDefault="00000000">
      <w:pPr>
        <w:spacing w:line="360" w:lineRule="auto"/>
        <w:jc w:val="both"/>
        <w:rPr>
          <w:rFonts w:ascii="Times New Roman" w:hAnsi="Times New Roman" w:cs="Times New Roman"/>
        </w:rPr>
      </w:pPr>
      <w:r>
        <w:rPr>
          <w:rFonts w:ascii="Times New Roman" w:hAnsi="Times New Roman" w:cs="Times New Roman"/>
        </w:rPr>
        <w:t>The Microsoft FinanceAI has a multi-channel distribution approach with the help of Microsoft 108 stores worldwide and its developed e-commerce system, and its key retail partners such as Amazon, Best Buy, John Lewis and MediaMarkt. This provides extensive consumption of consumers in major markets around the world. The B2B channel via Microsoft Enterprise agreements is a strategic value addition as FinanceAI will be an employee financial wellness benefit and it will enhance institutional credibility and adoption. Also, the use of FinanceAI along with Microsoft 365 subscriptions will boost the efficiency of acquiring and retaining customers. Bundling, as Stremersch and Tellis (2002) observe, boosts revenue per user, and decreases churn, making it a very effective growth and scaling strategy.</w:t>
      </w:r>
    </w:p>
    <w:p w14:paraId="3DAA4655" w14:textId="77777777" w:rsidR="00A54F04" w:rsidRDefault="00000000">
      <w:pPr>
        <w:pStyle w:val="Heading2"/>
      </w:pPr>
      <w:bookmarkStart w:id="13" w:name="_Toc228500123"/>
      <w:r>
        <w:t>Promotion</w:t>
      </w:r>
      <w:bookmarkEnd w:id="13"/>
    </w:p>
    <w:p w14:paraId="4858F834" w14:textId="77777777" w:rsidR="00A54F04" w:rsidRDefault="00000000">
      <w:pPr>
        <w:spacing w:line="360" w:lineRule="auto"/>
        <w:jc w:val="both"/>
        <w:rPr>
          <w:rFonts w:ascii="Times New Roman" w:hAnsi="Times New Roman" w:cs="Times New Roman"/>
        </w:rPr>
      </w:pPr>
      <w:r>
        <w:rPr>
          <w:rFonts w:ascii="Times New Roman" w:hAnsi="Times New Roman" w:cs="Times New Roman"/>
        </w:rPr>
        <w:t>The promotional plan of Microsoft FinanceAI focuses on credibility-based sequencing of launch whereby it will start with Microsoft Build and Microsoft Ignite to reach developers and enterprise IT professionals. This is in line with Rogers theory of diffusion of innovation (2003) and the early adopters create some social evidence that further boosts adoption in the wider market. The digital promotion through LinkedIn and YouTube is targeted at a wider audience of personal finance, and integrated marketing communications maintains a similarity in the earned, owned, and paid media (Fill, 2013). Co-marketing with larger banks like Barclays, JPMorgan and HSBC would also enhance confidence, regulatory goodwill and legitimacy of FinanceAI to penetrate into the financial services.</w:t>
      </w:r>
    </w:p>
    <w:p w14:paraId="1836CE1E" w14:textId="77777777" w:rsidR="00A54F04" w:rsidRDefault="00000000">
      <w:pPr>
        <w:pStyle w:val="Heading2"/>
      </w:pPr>
      <w:bookmarkStart w:id="14" w:name="_Toc228500124"/>
      <w:r>
        <w:t>People</w:t>
      </w:r>
      <w:bookmarkEnd w:id="14"/>
    </w:p>
    <w:p w14:paraId="098E059B" w14:textId="77777777" w:rsidR="00A54F04" w:rsidRDefault="00000000">
      <w:pPr>
        <w:spacing w:line="360" w:lineRule="auto"/>
        <w:jc w:val="both"/>
        <w:rPr>
          <w:rFonts w:ascii="Times New Roman" w:hAnsi="Times New Roman" w:cs="Times New Roman"/>
        </w:rPr>
      </w:pPr>
      <w:r>
        <w:rPr>
          <w:rFonts w:ascii="Times New Roman" w:hAnsi="Times New Roman" w:cs="Times New Roman"/>
        </w:rPr>
        <w:t xml:space="preserve">According to Parasuraman et al. (1988) SERVQUAL model, reliability, assurance, tangibles, empathy and responsiveness are the five key aspects of service quality that are highly affected by the employees. In the case of Microsoft FinanceAI, the people component is made up of technical specialists (Copilot AI engineers, cybersecurity specialists and API developers as well as regulatory compliance teams that ensure FCA, SEC, GDPR, and CCPA compliance), and customer-facing personnel that assist users. Zeithaml et al. (2020) emphasize that frontline employees are a part of the service delivery in offerings based on technology. Thus, Microsoft needs to invest in educating Microsoft Store advisors and support teams to provide explanations </w:t>
      </w:r>
      <w:r>
        <w:rPr>
          <w:rFonts w:ascii="Times New Roman" w:hAnsi="Times New Roman" w:cs="Times New Roman"/>
        </w:rPr>
        <w:lastRenderedPageBreak/>
        <w:t>of AI-driven financial insights, and create trust and responsibility in the use of AI in regulated financial services.</w:t>
      </w:r>
    </w:p>
    <w:p w14:paraId="2879C155" w14:textId="77777777" w:rsidR="00A54F04" w:rsidRDefault="00000000">
      <w:pPr>
        <w:pStyle w:val="Heading2"/>
      </w:pPr>
      <w:bookmarkStart w:id="15" w:name="_Toc228500125"/>
      <w:r>
        <w:t>Process</w:t>
      </w:r>
      <w:bookmarkEnd w:id="15"/>
    </w:p>
    <w:p w14:paraId="61FAB24B" w14:textId="77777777" w:rsidR="00A54F04" w:rsidRDefault="00000000">
      <w:pPr>
        <w:spacing w:line="360" w:lineRule="auto"/>
        <w:jc w:val="both"/>
        <w:rPr>
          <w:rFonts w:ascii="Times New Roman" w:hAnsi="Times New Roman" w:cs="Times New Roman"/>
        </w:rPr>
      </w:pPr>
      <w:r>
        <w:rPr>
          <w:rFonts w:ascii="Times New Roman" w:hAnsi="Times New Roman" w:cs="Times New Roman"/>
        </w:rPr>
        <w:t>The onboarding and process design of FinanceAI is focused on the frictionless user experience to deal with financial anxiety, and 42% of consumers in the UK do not take financial checks because of stress (Money and Mental Health Policy Institute, 2023). This is in line with the pain of paying theory by Prelec and Loewenstein (1998) that emphasizes on the need to minimize emotional and mental obstacles. The platform allows creating an account in a matter of less than five minutes through open banking APIs, automatic insights, and proactive AI notifications on any spending anomalies. It can be integrated with Microsoft 365 to make financial management a part of the workflows in Outlook, Excel, and Teams. Bitner (1992) notes that this alignment of the processes improves the adoption, usability and long term customer loyalty.</w:t>
      </w:r>
    </w:p>
    <w:p w14:paraId="6996CDF8" w14:textId="77777777" w:rsidR="00A54F04" w:rsidRDefault="00000000">
      <w:pPr>
        <w:pStyle w:val="Heading2"/>
      </w:pPr>
      <w:bookmarkStart w:id="16" w:name="_Toc228500126"/>
      <w:r>
        <w:t>Physical Evidence</w:t>
      </w:r>
      <w:bookmarkEnd w:id="16"/>
    </w:p>
    <w:p w14:paraId="5968A46B" w14:textId="77777777" w:rsidR="00A54F04" w:rsidRDefault="00000000">
      <w:pPr>
        <w:spacing w:line="360" w:lineRule="auto"/>
        <w:jc w:val="both"/>
        <w:rPr>
          <w:rFonts w:ascii="Times New Roman" w:hAnsi="Times New Roman" w:cs="Times New Roman"/>
        </w:rPr>
      </w:pPr>
      <w:r>
        <w:rPr>
          <w:rFonts w:ascii="Times New Roman" w:hAnsi="Times New Roman" w:cs="Times New Roman"/>
        </w:rPr>
        <w:t>Zeithaml et al. (2020) claim that tangible evidence plays a vital role in technology services because consumers use physical indicators to evaluate the quality. In the case of Microsoft FinanceAI, there are three levels of physical evidence. The design of the device, with recycle ocean plastic, high-end finish and a 7-inch screen is a sign of sustainability and quality. Elements of the interface like Copilot AI insights, ESG badges, and financial health scores enhance perceived value and trust. Credibility can also be enhanced by external validation by trusted sources and banking partners, which helps to fill in gaps of trust in regulated finance (Parasuraman et al., 1988). Having a high physical evidence score (9.1/10), Microsoft builds on its strong brand equity with the value of more than 340 billion (Interbrand, 2024). Keller (2013) points out that this brand equity will give a competitive advantage over time that competitors have a hard time matching, and thus a major strength of FinanceAI to prosper.</w:t>
      </w:r>
    </w:p>
    <w:p w14:paraId="1E788A58" w14:textId="77777777" w:rsidR="00A54F04" w:rsidRDefault="00000000">
      <w:pPr>
        <w:spacing w:line="360" w:lineRule="auto"/>
        <w:jc w:val="both"/>
        <w:rPr>
          <w:rFonts w:ascii="Times New Roman" w:hAnsi="Times New Roman" w:cs="Times New Roman"/>
        </w:rPr>
      </w:pPr>
      <w:r>
        <w:rPr>
          <w:rFonts w:ascii="Times New Roman" w:hAnsi="Times New Roman" w:cs="Times New Roman"/>
        </w:rPr>
        <w:br w:type="page"/>
      </w:r>
    </w:p>
    <w:p w14:paraId="116013E9" w14:textId="77777777" w:rsidR="00A54F04" w:rsidRDefault="00000000">
      <w:pPr>
        <w:pStyle w:val="Heading1"/>
      </w:pPr>
      <w:bookmarkStart w:id="17" w:name="_Toc228500127"/>
      <w:r>
        <w:lastRenderedPageBreak/>
        <w:t>Element 4: Reflection</w:t>
      </w:r>
      <w:bookmarkEnd w:id="17"/>
    </w:p>
    <w:p w14:paraId="2DE87F21" w14:textId="77777777" w:rsidR="00A54F04" w:rsidRDefault="00000000">
      <w:pPr>
        <w:pStyle w:val="Heading2"/>
      </w:pPr>
      <w:bookmarkStart w:id="18" w:name="_Toc228500128"/>
      <w:r>
        <w:t>Developing the Brand Extension</w:t>
      </w:r>
      <w:bookmarkEnd w:id="18"/>
    </w:p>
    <w:p w14:paraId="4B61D247" w14:textId="77777777" w:rsidR="00A54F04" w:rsidRDefault="00000000">
      <w:pPr>
        <w:spacing w:line="360" w:lineRule="auto"/>
        <w:jc w:val="both"/>
        <w:rPr>
          <w:rFonts w:ascii="Times New Roman" w:hAnsi="Times New Roman" w:cs="Times New Roman"/>
        </w:rPr>
      </w:pPr>
      <w:r>
        <w:rPr>
          <w:rFonts w:ascii="Times New Roman" w:hAnsi="Times New Roman" w:cs="Times New Roman"/>
        </w:rPr>
        <w:t>Creating the Microsoft FinanceAI brand extension has been an enriching and tough MBA task, demanding sophisticated thinking in terms of strategy and analysis. Though Microsoft had a good ecosystem and AI tools offered great prospects, expanding into regulated financial services required a thorough consideration of brand fit. With the help of the framework by Aaker and Keller (1990), high correspondence in the associations of trust, data, and productivity were identified. Gen Z and Millennials were prioritised in terms of long-term customer lifetime value (Wedel and Kamakura, 2000), and not short-term profitability, in segmentation analysis. This solidified the relevance of strategic fit and long-term value-creation in the top management of marketing.</w:t>
      </w:r>
    </w:p>
    <w:p w14:paraId="02CCDDF7" w14:textId="77777777" w:rsidR="00A54F04" w:rsidRDefault="00000000">
      <w:pPr>
        <w:pStyle w:val="Heading2"/>
      </w:pPr>
      <w:r>
        <w:t xml:space="preserve"> </w:t>
      </w:r>
      <w:bookmarkStart w:id="19" w:name="_Toc228500129"/>
      <w:r>
        <w:t>Presentation of the poster</w:t>
      </w:r>
      <w:bookmarkEnd w:id="19"/>
      <w:r>
        <w:t xml:space="preserve"> </w:t>
      </w:r>
    </w:p>
    <w:p w14:paraId="086BFCFD" w14:textId="77777777" w:rsidR="00A54F04" w:rsidRDefault="00000000">
      <w:pPr>
        <w:spacing w:line="360" w:lineRule="auto"/>
        <w:jc w:val="both"/>
        <w:rPr>
          <w:rFonts w:ascii="Times New Roman" w:hAnsi="Times New Roman" w:cs="Times New Roman"/>
        </w:rPr>
      </w:pPr>
      <w:r>
        <w:rPr>
          <w:rFonts w:ascii="Times New Roman" w:hAnsi="Times New Roman" w:cs="Times New Roman"/>
        </w:rPr>
        <w:t>The poster pitch became a challenging experience within the strategic communication field because, the complex ideas of AI, regulation, sustainability, and finance had to be condensed into a simple graphic narrative. It highlighted the learning process that was formulated by Kolb (1984) and it showed the distinction between what is learnt in theory and what is realised in the heat of the moment. As a visual focus, the Copilot dashboard with the integration of ESG was chosen because it enables them to communicate the concept of Microsoft FinanceAI. Feedback indicated weaknesses in the depth of regulation and pricing rationalization that was then addressed in the portfolio. This repetition was what helped me to concentrate on the most significant messages and present complicated strategic ideas to a large audience.</w:t>
      </w:r>
    </w:p>
    <w:p w14:paraId="31D5287E" w14:textId="77777777" w:rsidR="00A54F04" w:rsidRDefault="00000000">
      <w:pPr>
        <w:pStyle w:val="Heading2"/>
      </w:pPr>
      <w:bookmarkStart w:id="20" w:name="_Toc228500130"/>
      <w:r>
        <w:t>Skills, Knowledge, Insights Learned</w:t>
      </w:r>
      <w:bookmarkEnd w:id="20"/>
      <w:r>
        <w:t xml:space="preserve"> </w:t>
      </w:r>
    </w:p>
    <w:p w14:paraId="597F252E" w14:textId="77777777" w:rsidR="00A54F04" w:rsidRDefault="00000000">
      <w:pPr>
        <w:spacing w:line="360" w:lineRule="auto"/>
        <w:jc w:val="both"/>
        <w:rPr>
          <w:rFonts w:ascii="Times New Roman" w:hAnsi="Times New Roman" w:cs="Times New Roman"/>
        </w:rPr>
      </w:pPr>
      <w:r>
        <w:rPr>
          <w:rFonts w:ascii="Times New Roman" w:hAnsi="Times New Roman" w:cs="Times New Roman"/>
        </w:rPr>
        <w:t>This portfolio did a lot to contribute to the addition of analytical and strategic skills and competencies through the implementation of the theory of brand extension, particularly, Aaker and Keller (1990) and Kotler et al. (2010). It has acquired a critical understanding of the necessity to optimize such models like the 7Ps to the AI-based business models which are platform-based. The regulatory, sustainability and financial thinking enabled cross disciplinary thinking and strategic synthesis. According to Fill (2013), effective marketers are able to integrate the knowledge in different areas, which is what this project did improve. Overall, the exercise developed a more advanced, management level perception of strategy formulation to incorporate theory and practical, real-world constraints, in a consistent and practical manner.</w:t>
      </w:r>
    </w:p>
    <w:p w14:paraId="7DC2483C" w14:textId="77777777" w:rsidR="00A54F04" w:rsidRDefault="00000000">
      <w:pPr>
        <w:pStyle w:val="Heading2"/>
      </w:pPr>
      <w:bookmarkStart w:id="21" w:name="_Toc228500131"/>
      <w:r>
        <w:lastRenderedPageBreak/>
        <w:t>Future Enhancement</w:t>
      </w:r>
      <w:bookmarkEnd w:id="21"/>
      <w:r>
        <w:t xml:space="preserve"> </w:t>
      </w:r>
    </w:p>
    <w:p w14:paraId="215A2B52" w14:textId="77777777" w:rsidR="00A54F04" w:rsidRDefault="00000000">
      <w:pPr>
        <w:spacing w:line="360" w:lineRule="auto"/>
        <w:jc w:val="both"/>
        <w:rPr>
          <w:rFonts w:ascii="Times New Roman" w:hAnsi="Times New Roman" w:cs="Times New Roman"/>
        </w:rPr>
      </w:pPr>
      <w:r>
        <w:rPr>
          <w:rFonts w:ascii="Times New Roman" w:hAnsi="Times New Roman" w:cs="Times New Roman"/>
        </w:rPr>
        <w:t>The use of secondary data in this portfolio is one of the key weaknesses since it does not involve primary consumer research. Pricing, feature and adoption decisions are not, therefore, justified with the use of such techniques as conjoint analysis, A/B testing or qualitative interviews, which would provide more informative information about behaviour. According to Moon (2005), competitive advantage is typically built based on proprietary consumer data, and this project lacks it. In addition, absence of financial modelling minimizes commercial rigour of the plan particularly on the forecast of revenues, costs of acquisition and profit analysis. In further work, the combination of primary research and financial forecasting should be employed to develop more powerful, investor-oriented strategic solutions.</w:t>
      </w:r>
      <w:r>
        <w:rPr>
          <w:rFonts w:ascii="Times New Roman" w:hAnsi="Times New Roman" w:cs="Times New Roman"/>
        </w:rPr>
        <w:br w:type="page"/>
      </w:r>
    </w:p>
    <w:p w14:paraId="1B3CB6A4" w14:textId="77777777" w:rsidR="00A54F04" w:rsidRDefault="00000000">
      <w:pPr>
        <w:pStyle w:val="Heading1"/>
      </w:pPr>
      <w:bookmarkStart w:id="22" w:name="_Toc228500132"/>
      <w:r>
        <w:lastRenderedPageBreak/>
        <w:t>References</w:t>
      </w:r>
      <w:bookmarkEnd w:id="22"/>
    </w:p>
    <w:p w14:paraId="08BCC67F"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Aaker, D.A. and Keller, K.L., 1990. Consumer evaluations of brand extensions. </w:t>
      </w:r>
      <w:r w:rsidRPr="00C31602">
        <w:rPr>
          <w:rFonts w:ascii="Times New Roman" w:eastAsia="SimSun" w:hAnsi="Times New Roman" w:cs="Times New Roman"/>
          <w:i/>
          <w:iCs/>
          <w:color w:val="222222"/>
          <w:shd w:val="clear" w:color="auto" w:fill="FFFFFF"/>
        </w:rPr>
        <w:t>Journal of marketing</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54</w:t>
      </w:r>
      <w:r w:rsidRPr="00C31602">
        <w:rPr>
          <w:rFonts w:ascii="Times New Roman" w:eastAsia="SimSun" w:hAnsi="Times New Roman" w:cs="Times New Roman"/>
          <w:color w:val="222222"/>
          <w:shd w:val="clear" w:color="auto" w:fill="FFFFFF"/>
        </w:rPr>
        <w:t>(1), pp.27-41.</w:t>
      </w:r>
    </w:p>
    <w:p w14:paraId="4D179F7F"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Accenture (2024) Global Wealth Management Report 2024: The Rise of AI-Driven Advisory. London: Accenture. </w:t>
      </w:r>
      <w:hyperlink r:id="rId12" w:history="1">
        <w:r w:rsidRPr="00C31602">
          <w:rPr>
            <w:rStyle w:val="Hyperlink"/>
            <w:rFonts w:ascii="Times New Roman" w:hAnsi="Times New Roman" w:cs="Times New Roman"/>
          </w:rPr>
          <w:t>https://www.accenture.com/content/dam/accenture/final/accenture-com/document-2/Accenture-The-future-of-Asia-wealth-management-2024.pdf</w:t>
        </w:r>
      </w:hyperlink>
      <w:r w:rsidRPr="00C31602">
        <w:rPr>
          <w:rFonts w:ascii="Times New Roman" w:hAnsi="Times New Roman" w:cs="Times New Roman"/>
        </w:rPr>
        <w:t xml:space="preserve">  </w:t>
      </w:r>
    </w:p>
    <w:p w14:paraId="1E4EAF2B"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Anderson, J.C., Narus, J.A. and Wouters, M., 2014. Tiebreaker selling. </w:t>
      </w:r>
      <w:r w:rsidRPr="00C31602">
        <w:rPr>
          <w:rFonts w:ascii="Times New Roman" w:eastAsia="SimSun" w:hAnsi="Times New Roman" w:cs="Times New Roman"/>
          <w:i/>
          <w:iCs/>
          <w:color w:val="222222"/>
          <w:shd w:val="clear" w:color="auto" w:fill="FFFFFF"/>
        </w:rPr>
        <w:t>Harvard business review</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92</w:t>
      </w:r>
      <w:r w:rsidRPr="00C31602">
        <w:rPr>
          <w:rFonts w:ascii="Times New Roman" w:eastAsia="SimSun" w:hAnsi="Times New Roman" w:cs="Times New Roman"/>
          <w:color w:val="222222"/>
          <w:shd w:val="clear" w:color="auto" w:fill="FFFFFF"/>
        </w:rPr>
        <w:t>(3), pp.90-96.</w:t>
      </w:r>
    </w:p>
    <w:p w14:paraId="4BA2CAE7"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Bitner, M.J., 1992. Servicescapes: The impact of physical surroundings on customers and employees. </w:t>
      </w:r>
      <w:r w:rsidRPr="00C31602">
        <w:rPr>
          <w:rFonts w:ascii="Times New Roman" w:eastAsia="SimSun" w:hAnsi="Times New Roman" w:cs="Times New Roman"/>
          <w:i/>
          <w:iCs/>
          <w:color w:val="222222"/>
          <w:shd w:val="clear" w:color="auto" w:fill="FFFFFF"/>
        </w:rPr>
        <w:t>Journal of marketing</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56</w:t>
      </w:r>
      <w:r w:rsidRPr="00C31602">
        <w:rPr>
          <w:rFonts w:ascii="Times New Roman" w:eastAsia="SimSun" w:hAnsi="Times New Roman" w:cs="Times New Roman"/>
          <w:color w:val="222222"/>
          <w:shd w:val="clear" w:color="auto" w:fill="FFFFFF"/>
        </w:rPr>
        <w:t>(2), pp.57-71.</w:t>
      </w:r>
    </w:p>
    <w:p w14:paraId="3F4EE84B"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Booms, B., 1981. Marketing strategies and organizational structures for service firms. </w:t>
      </w:r>
      <w:r w:rsidRPr="00C31602">
        <w:rPr>
          <w:rFonts w:ascii="Times New Roman" w:eastAsia="SimSun" w:hAnsi="Times New Roman" w:cs="Times New Roman"/>
          <w:i/>
          <w:iCs/>
          <w:color w:val="222222"/>
          <w:shd w:val="clear" w:color="auto" w:fill="FFFFFF"/>
        </w:rPr>
        <w:t>Marketing of services</w:t>
      </w:r>
      <w:r w:rsidRPr="00C31602">
        <w:rPr>
          <w:rFonts w:ascii="Times New Roman" w:eastAsia="SimSun" w:hAnsi="Times New Roman" w:cs="Times New Roman"/>
          <w:color w:val="222222"/>
          <w:shd w:val="clear" w:color="auto" w:fill="FFFFFF"/>
        </w:rPr>
        <w:t>.</w:t>
      </w:r>
    </w:p>
    <w:p w14:paraId="5132600F"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Chaffey, D. and Ellis-Chadwick, F., 2019. </w:t>
      </w:r>
      <w:r w:rsidRPr="00C31602">
        <w:rPr>
          <w:rFonts w:ascii="Times New Roman" w:eastAsia="SimSun" w:hAnsi="Times New Roman" w:cs="Times New Roman"/>
          <w:i/>
          <w:iCs/>
          <w:color w:val="222222"/>
          <w:shd w:val="clear" w:color="auto" w:fill="FFFFFF"/>
        </w:rPr>
        <w:t>Digital marketing</w:t>
      </w:r>
      <w:r w:rsidRPr="00C31602">
        <w:rPr>
          <w:rFonts w:ascii="Times New Roman" w:eastAsia="SimSun" w:hAnsi="Times New Roman" w:cs="Times New Roman"/>
          <w:color w:val="222222"/>
          <w:shd w:val="clear" w:color="auto" w:fill="FFFFFF"/>
        </w:rPr>
        <w:t>. Pearson uk.</w:t>
      </w:r>
    </w:p>
    <w:p w14:paraId="149BFEFC"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Da, K., 1984. Experiential learning. </w:t>
      </w:r>
      <w:r w:rsidRPr="00C31602">
        <w:rPr>
          <w:rFonts w:ascii="Times New Roman" w:eastAsia="SimSun" w:hAnsi="Times New Roman" w:cs="Times New Roman"/>
          <w:i/>
          <w:iCs/>
          <w:color w:val="222222"/>
          <w:shd w:val="clear" w:color="auto" w:fill="FFFFFF"/>
        </w:rPr>
        <w:t>Experience as the Source of Learning and Development</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41</w:t>
      </w:r>
      <w:r w:rsidRPr="00C31602">
        <w:rPr>
          <w:rFonts w:ascii="Times New Roman" w:eastAsia="SimSun" w:hAnsi="Times New Roman" w:cs="Times New Roman"/>
          <w:color w:val="222222"/>
          <w:shd w:val="clear" w:color="auto" w:fill="FFFFFF"/>
        </w:rPr>
        <w:t>.</w:t>
      </w:r>
    </w:p>
    <w:p w14:paraId="3F91D3BA"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Deloitte (2024) Open Banking and the Future of Financial Services. London: Deloitte Insights.  </w:t>
      </w:r>
      <w:hyperlink r:id="rId13" w:history="1">
        <w:r w:rsidRPr="00C31602">
          <w:rPr>
            <w:rStyle w:val="Hyperlink"/>
            <w:rFonts w:ascii="Times New Roman" w:hAnsi="Times New Roman" w:cs="Times New Roman"/>
          </w:rPr>
          <w:t>https://www.deloitte.com/us/en/insights/industry/financial-services/financial-services-industry-outlooks/banking-industry-outlook-2024.html</w:t>
        </w:r>
      </w:hyperlink>
      <w:r w:rsidRPr="00C31602">
        <w:rPr>
          <w:rFonts w:ascii="Times New Roman" w:hAnsi="Times New Roman" w:cs="Times New Roman"/>
        </w:rPr>
        <w:t xml:space="preserve"> </w:t>
      </w:r>
    </w:p>
    <w:p w14:paraId="587459AA"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Dibb, S. and Simkin, L., 1991. Targeting, segments and positioning. </w:t>
      </w:r>
      <w:r w:rsidRPr="00C31602">
        <w:rPr>
          <w:rFonts w:ascii="Times New Roman" w:eastAsia="SimSun" w:hAnsi="Times New Roman" w:cs="Times New Roman"/>
          <w:i/>
          <w:iCs/>
          <w:color w:val="222222"/>
          <w:shd w:val="clear" w:color="auto" w:fill="FFFFFF"/>
        </w:rPr>
        <w:t>International Journal of Retail &amp; Distribution Management</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19</w:t>
      </w:r>
      <w:r w:rsidRPr="00C31602">
        <w:rPr>
          <w:rFonts w:ascii="Times New Roman" w:eastAsia="SimSun" w:hAnsi="Times New Roman" w:cs="Times New Roman"/>
          <w:color w:val="222222"/>
          <w:shd w:val="clear" w:color="auto" w:fill="FFFFFF"/>
        </w:rPr>
        <w:t>(3).</w:t>
      </w:r>
    </w:p>
    <w:p w14:paraId="02A0B976"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Fill, C. and Turnbull, S., 2013. Marketing Communication: Brands. </w:t>
      </w:r>
      <w:r w:rsidRPr="00C31602">
        <w:rPr>
          <w:rFonts w:ascii="Times New Roman" w:eastAsia="SimSun" w:hAnsi="Times New Roman" w:cs="Times New Roman"/>
          <w:i/>
          <w:iCs/>
          <w:color w:val="222222"/>
          <w:shd w:val="clear" w:color="auto" w:fill="FFFFFF"/>
        </w:rPr>
        <w:t>Experiences, and Participation</w:t>
      </w:r>
      <w:r w:rsidRPr="00C31602">
        <w:rPr>
          <w:rFonts w:ascii="Times New Roman" w:eastAsia="SimSun" w:hAnsi="Times New Roman" w:cs="Times New Roman"/>
          <w:color w:val="222222"/>
          <w:shd w:val="clear" w:color="auto" w:fill="FFFFFF"/>
        </w:rPr>
        <w:t>.</w:t>
      </w:r>
    </w:p>
    <w:p w14:paraId="6AF78A27"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Huang, M.H. and Rust, R.T., 2018. Artificial intelligence in service. </w:t>
      </w:r>
      <w:r w:rsidRPr="00C31602">
        <w:rPr>
          <w:rFonts w:ascii="Times New Roman" w:eastAsia="SimSun" w:hAnsi="Times New Roman" w:cs="Times New Roman"/>
          <w:i/>
          <w:iCs/>
          <w:color w:val="222222"/>
          <w:shd w:val="clear" w:color="auto" w:fill="FFFFFF"/>
        </w:rPr>
        <w:t>Journal of service research</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21</w:t>
      </w:r>
      <w:r w:rsidRPr="00C31602">
        <w:rPr>
          <w:rFonts w:ascii="Times New Roman" w:eastAsia="SimSun" w:hAnsi="Times New Roman" w:cs="Times New Roman"/>
          <w:color w:val="222222"/>
          <w:shd w:val="clear" w:color="auto" w:fill="FFFFFF"/>
        </w:rPr>
        <w:t>(2), pp.155-172.</w:t>
      </w:r>
    </w:p>
    <w:p w14:paraId="357BF368"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IDC (2024) Worldwide Smart Home Device Market Forecast 2024–2028. Framingham: International Data Corporation. </w:t>
      </w:r>
      <w:hyperlink r:id="rId14" w:history="1">
        <w:r w:rsidRPr="00C31602">
          <w:rPr>
            <w:rStyle w:val="Hyperlink"/>
            <w:rFonts w:ascii="Times New Roman" w:hAnsi="Times New Roman" w:cs="Times New Roman"/>
          </w:rPr>
          <w:t>https://my.idc.com/getdoc.jsp?containerId=prUS52632124</w:t>
        </w:r>
      </w:hyperlink>
      <w:r w:rsidRPr="00C31602">
        <w:rPr>
          <w:rFonts w:ascii="Times New Roman" w:hAnsi="Times New Roman" w:cs="Times New Roman"/>
        </w:rPr>
        <w:t xml:space="preserve">  </w:t>
      </w:r>
    </w:p>
    <w:p w14:paraId="6F35A349"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Interbrand (2024) Best Global Brands 2024. New York: Interbrand.  </w:t>
      </w:r>
      <w:hyperlink r:id="rId15" w:history="1">
        <w:r w:rsidRPr="00C31602">
          <w:rPr>
            <w:rStyle w:val="Hyperlink"/>
            <w:rFonts w:ascii="Times New Roman" w:hAnsi="Times New Roman" w:cs="Times New Roman"/>
          </w:rPr>
          <w:t>https://interbrand.com/best-global-brands/global/2024-report/</w:t>
        </w:r>
      </w:hyperlink>
      <w:r w:rsidRPr="00C31602">
        <w:rPr>
          <w:rFonts w:ascii="Times New Roman" w:hAnsi="Times New Roman" w:cs="Times New Roman"/>
        </w:rPr>
        <w:t xml:space="preserve"> </w:t>
      </w:r>
    </w:p>
    <w:p w14:paraId="77C624CC"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Kay, J., 1995. </w:t>
      </w:r>
      <w:r w:rsidRPr="00C31602">
        <w:rPr>
          <w:rFonts w:ascii="Times New Roman" w:eastAsia="SimSun" w:hAnsi="Times New Roman" w:cs="Times New Roman"/>
          <w:i/>
          <w:iCs/>
          <w:color w:val="222222"/>
          <w:shd w:val="clear" w:color="auto" w:fill="FFFFFF"/>
        </w:rPr>
        <w:t>Foundations of corporate success: how business strategies add value</w:t>
      </w:r>
      <w:r w:rsidRPr="00C31602">
        <w:rPr>
          <w:rFonts w:ascii="Times New Roman" w:eastAsia="SimSun" w:hAnsi="Times New Roman" w:cs="Times New Roman"/>
          <w:color w:val="222222"/>
          <w:shd w:val="clear" w:color="auto" w:fill="FFFFFF"/>
        </w:rPr>
        <w:t>. OUP Oxford.</w:t>
      </w:r>
    </w:p>
    <w:p w14:paraId="077E9AED"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Keller, K.L. and Lehmann, D.R., 2006. Brands and branding: Research findings and future priorities. </w:t>
      </w:r>
      <w:r w:rsidRPr="00C31602">
        <w:rPr>
          <w:rFonts w:ascii="Times New Roman" w:eastAsia="SimSun" w:hAnsi="Times New Roman" w:cs="Times New Roman"/>
          <w:i/>
          <w:iCs/>
          <w:color w:val="222222"/>
          <w:shd w:val="clear" w:color="auto" w:fill="FFFFFF"/>
        </w:rPr>
        <w:t>Marketing science</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25</w:t>
      </w:r>
      <w:r w:rsidRPr="00C31602">
        <w:rPr>
          <w:rFonts w:ascii="Times New Roman" w:eastAsia="SimSun" w:hAnsi="Times New Roman" w:cs="Times New Roman"/>
          <w:color w:val="222222"/>
          <w:shd w:val="clear" w:color="auto" w:fill="FFFFFF"/>
        </w:rPr>
        <w:t>(6), pp.740-759.</w:t>
      </w:r>
    </w:p>
    <w:p w14:paraId="1F0A3078"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Keller, K.L., 2013. </w:t>
      </w:r>
      <w:r w:rsidRPr="00C31602">
        <w:rPr>
          <w:rFonts w:ascii="Times New Roman" w:eastAsia="SimSun" w:hAnsi="Times New Roman" w:cs="Times New Roman"/>
          <w:i/>
          <w:iCs/>
          <w:color w:val="222222"/>
          <w:shd w:val="clear" w:color="auto" w:fill="FFFFFF"/>
        </w:rPr>
        <w:t>Building, Measuring, and Managing Brand Equity </w:t>
      </w:r>
      <w:r w:rsidRPr="00C31602">
        <w:rPr>
          <w:rFonts w:ascii="Times New Roman" w:eastAsia="SimSun" w:hAnsi="Times New Roman" w:cs="Times New Roman"/>
          <w:color w:val="222222"/>
          <w:shd w:val="clear" w:color="auto" w:fill="FFFFFF"/>
        </w:rPr>
        <w:t>.</w:t>
      </w:r>
    </w:p>
    <w:p w14:paraId="64F2322D"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Kotler, P. and Armstrong, G., 2010. </w:t>
      </w:r>
      <w:r w:rsidRPr="00C31602">
        <w:rPr>
          <w:rFonts w:ascii="Times New Roman" w:eastAsia="SimSun" w:hAnsi="Times New Roman" w:cs="Times New Roman"/>
          <w:i/>
          <w:iCs/>
          <w:color w:val="222222"/>
          <w:shd w:val="clear" w:color="auto" w:fill="FFFFFF"/>
        </w:rPr>
        <w:t>Principles of marketing</w:t>
      </w:r>
      <w:r w:rsidRPr="00C31602">
        <w:rPr>
          <w:rFonts w:ascii="Times New Roman" w:eastAsia="SimSun" w:hAnsi="Times New Roman" w:cs="Times New Roman"/>
          <w:color w:val="222222"/>
          <w:shd w:val="clear" w:color="auto" w:fill="FFFFFF"/>
        </w:rPr>
        <w:t>. Pearson education.</w:t>
      </w:r>
    </w:p>
    <w:p w14:paraId="3A7BC63C"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lastRenderedPageBreak/>
        <w:t>Lilien, G.L., Rangaswamy, A. and De Bruyn, A., 2017. </w:t>
      </w:r>
      <w:r w:rsidRPr="00C31602">
        <w:rPr>
          <w:rFonts w:ascii="Times New Roman" w:eastAsia="SimSun" w:hAnsi="Times New Roman" w:cs="Times New Roman"/>
          <w:i/>
          <w:iCs/>
          <w:color w:val="222222"/>
          <w:shd w:val="clear" w:color="auto" w:fill="FFFFFF"/>
        </w:rPr>
        <w:t>Principles of marketing engineering and analytics</w:t>
      </w:r>
      <w:r w:rsidRPr="00C31602">
        <w:rPr>
          <w:rFonts w:ascii="Times New Roman" w:eastAsia="SimSun" w:hAnsi="Times New Roman" w:cs="Times New Roman"/>
          <w:color w:val="222222"/>
          <w:shd w:val="clear" w:color="auto" w:fill="FFFFFF"/>
        </w:rPr>
        <w:t>. DecisionPro.</w:t>
      </w:r>
    </w:p>
    <w:p w14:paraId="3970B620"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McCarthy, E.J., 1969. </w:t>
      </w:r>
      <w:r w:rsidRPr="00C31602">
        <w:rPr>
          <w:rFonts w:ascii="Times New Roman" w:eastAsia="SimSun" w:hAnsi="Times New Roman" w:cs="Times New Roman"/>
          <w:i/>
          <w:iCs/>
          <w:color w:val="222222"/>
          <w:shd w:val="clear" w:color="auto" w:fill="FFFFFF"/>
        </w:rPr>
        <w:t>Basic Marketing: A Managerial Approach</w:t>
      </w:r>
      <w:r w:rsidRPr="00C31602">
        <w:rPr>
          <w:rFonts w:ascii="Times New Roman" w:eastAsia="SimSun" w:hAnsi="Times New Roman" w:cs="Times New Roman"/>
          <w:color w:val="222222"/>
          <w:shd w:val="clear" w:color="auto" w:fill="FFFFFF"/>
        </w:rPr>
        <w:t>. Irwin-Dorsey.</w:t>
      </w:r>
    </w:p>
    <w:p w14:paraId="3407CAA8"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McKinsey &amp; Company (2024) The Future of Personal Finance: Digital-First Consumer Trends. Chicago: McKinsey &amp; Company.  </w:t>
      </w:r>
      <w:hyperlink r:id="rId16" w:history="1">
        <w:r w:rsidRPr="00C31602">
          <w:rPr>
            <w:rStyle w:val="Hyperlink"/>
            <w:rFonts w:ascii="Times New Roman" w:hAnsi="Times New Roman" w:cs="Times New Roman"/>
          </w:rPr>
          <w:t>https://www.mckinsey.com/industries/consumer-packaged-goods/our-insights/state-of-consumer-2024</w:t>
        </w:r>
      </w:hyperlink>
      <w:r w:rsidRPr="00C31602">
        <w:rPr>
          <w:rFonts w:ascii="Times New Roman" w:hAnsi="Times New Roman" w:cs="Times New Roman"/>
        </w:rPr>
        <w:t xml:space="preserve"> </w:t>
      </w:r>
    </w:p>
    <w:p w14:paraId="29F6717D"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Microsoft (2025) Annual Report and Corporate Sustainability Report 2025. Redmond: Microsoft Corporation.  </w:t>
      </w:r>
      <w:hyperlink r:id="rId17" w:history="1">
        <w:r w:rsidRPr="00C31602">
          <w:rPr>
            <w:rStyle w:val="Hyperlink"/>
            <w:rFonts w:ascii="Times New Roman" w:hAnsi="Times New Roman" w:cs="Times New Roman"/>
          </w:rPr>
          <w:t>https://www.microsoft.com/investor/reports/ar25/index.html</w:t>
        </w:r>
      </w:hyperlink>
      <w:r w:rsidRPr="00C31602">
        <w:rPr>
          <w:rFonts w:ascii="Times New Roman" w:hAnsi="Times New Roman" w:cs="Times New Roman"/>
        </w:rPr>
        <w:t xml:space="preserve"> </w:t>
      </w:r>
    </w:p>
    <w:p w14:paraId="6E6C95CF"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Money and Mental Health Policy Institute (2023) Caught in a Trap: The Link Between Financial Difficulty and Mental Health Problems. London: Money and Mental Health Policy Institute. </w:t>
      </w:r>
      <w:hyperlink r:id="rId18" w:history="1">
        <w:r w:rsidRPr="00C31602">
          <w:rPr>
            <w:rStyle w:val="Hyperlink"/>
            <w:rFonts w:ascii="Times New Roman" w:hAnsi="Times New Roman" w:cs="Times New Roman"/>
          </w:rPr>
          <w:t>https://www.moneyandmentalhealth.org/the-missing-link/</w:t>
        </w:r>
      </w:hyperlink>
      <w:r w:rsidRPr="00C31602">
        <w:rPr>
          <w:rFonts w:ascii="Times New Roman" w:hAnsi="Times New Roman" w:cs="Times New Roman"/>
        </w:rPr>
        <w:t xml:space="preserve"> </w:t>
      </w:r>
    </w:p>
    <w:p w14:paraId="56BC1864"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Moon, Y., 2005. Break free from the product life cycle. </w:t>
      </w:r>
      <w:r w:rsidRPr="00C31602">
        <w:rPr>
          <w:rFonts w:ascii="Times New Roman" w:eastAsia="SimSun" w:hAnsi="Times New Roman" w:cs="Times New Roman"/>
          <w:i/>
          <w:iCs/>
          <w:color w:val="222222"/>
          <w:shd w:val="clear" w:color="auto" w:fill="FFFFFF"/>
        </w:rPr>
        <w:t>Harvard Business Review</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83</w:t>
      </w:r>
      <w:r w:rsidRPr="00C31602">
        <w:rPr>
          <w:rFonts w:ascii="Times New Roman" w:eastAsia="SimSun" w:hAnsi="Times New Roman" w:cs="Times New Roman"/>
          <w:color w:val="222222"/>
          <w:shd w:val="clear" w:color="auto" w:fill="FFFFFF"/>
        </w:rPr>
        <w:t>(5), pp.86-94.</w:t>
      </w:r>
    </w:p>
    <w:p w14:paraId="09008747"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Morgan Stanley Institute for Sustainable Investing (2024) Sustainable Signals: Asset Owners Embrace Sustainability. New York: Morgan Stanley.  </w:t>
      </w:r>
      <w:hyperlink r:id="rId19" w:history="1">
        <w:r w:rsidRPr="00C31602">
          <w:rPr>
            <w:rStyle w:val="Hyperlink"/>
            <w:rFonts w:ascii="Times New Roman" w:hAnsi="Times New Roman" w:cs="Times New Roman"/>
          </w:rPr>
          <w:t>https://www.morganstanley.com/press-releases/morgan-stanley-sustainable-signals</w:t>
        </w:r>
      </w:hyperlink>
      <w:r w:rsidRPr="00C31602">
        <w:rPr>
          <w:rFonts w:ascii="Times New Roman" w:hAnsi="Times New Roman" w:cs="Times New Roman"/>
        </w:rPr>
        <w:t xml:space="preserve"> </w:t>
      </w:r>
    </w:p>
    <w:p w14:paraId="74526530"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Parasuraman, A.B.L.L., Zeithaml, V.A. and Berry, L., 1988. SERVQUAL: A multiple-item scale for measuring consumer perceptions of service quality. </w:t>
      </w:r>
      <w:r w:rsidRPr="00C31602">
        <w:rPr>
          <w:rFonts w:ascii="Times New Roman" w:eastAsia="SimSun" w:hAnsi="Times New Roman" w:cs="Times New Roman"/>
          <w:i/>
          <w:iCs/>
          <w:color w:val="222222"/>
          <w:shd w:val="clear" w:color="auto" w:fill="FFFFFF"/>
        </w:rPr>
        <w:t>1988</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64</w:t>
      </w:r>
      <w:r w:rsidRPr="00C31602">
        <w:rPr>
          <w:rFonts w:ascii="Times New Roman" w:eastAsia="SimSun" w:hAnsi="Times New Roman" w:cs="Times New Roman"/>
          <w:color w:val="222222"/>
          <w:shd w:val="clear" w:color="auto" w:fill="FFFFFF"/>
        </w:rPr>
        <w:t>(1), pp.12-40.</w:t>
      </w:r>
    </w:p>
    <w:p w14:paraId="1800DDB3"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Pettigrew, A. and Whittington, R., 2003. Complementarities in action: organizational change and performance in BP and Unilever 1985-2002.</w:t>
      </w:r>
    </w:p>
    <w:p w14:paraId="7445C7DC"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Porter, M.E. and Advantage, C., 1985. Creating and sustaining superior performance. </w:t>
      </w:r>
      <w:r w:rsidRPr="00C31602">
        <w:rPr>
          <w:rFonts w:ascii="Times New Roman" w:eastAsia="SimSun" w:hAnsi="Times New Roman" w:cs="Times New Roman"/>
          <w:i/>
          <w:iCs/>
          <w:color w:val="222222"/>
          <w:shd w:val="clear" w:color="auto" w:fill="FFFFFF"/>
        </w:rPr>
        <w:t>Competitive advantage</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167</w:t>
      </w:r>
      <w:r w:rsidRPr="00C31602">
        <w:rPr>
          <w:rFonts w:ascii="Times New Roman" w:eastAsia="SimSun" w:hAnsi="Times New Roman" w:cs="Times New Roman"/>
          <w:color w:val="222222"/>
          <w:shd w:val="clear" w:color="auto" w:fill="FFFFFF"/>
        </w:rPr>
        <w:t>, pp.167-206.</w:t>
      </w:r>
    </w:p>
    <w:p w14:paraId="341126BA"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Prelec, D. and Loewenstein, G., 1998. The red and the black: Mental accounting of savings and debt. </w:t>
      </w:r>
      <w:r w:rsidRPr="00C31602">
        <w:rPr>
          <w:rFonts w:ascii="Times New Roman" w:eastAsia="SimSun" w:hAnsi="Times New Roman" w:cs="Times New Roman"/>
          <w:i/>
          <w:iCs/>
          <w:color w:val="222222"/>
          <w:shd w:val="clear" w:color="auto" w:fill="FFFFFF"/>
        </w:rPr>
        <w:t>Marketing science</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17</w:t>
      </w:r>
      <w:r w:rsidRPr="00C31602">
        <w:rPr>
          <w:rFonts w:ascii="Times New Roman" w:eastAsia="SimSun" w:hAnsi="Times New Roman" w:cs="Times New Roman"/>
          <w:color w:val="222222"/>
          <w:shd w:val="clear" w:color="auto" w:fill="FFFFFF"/>
        </w:rPr>
        <w:t>(1), pp.4-28.</w:t>
      </w:r>
    </w:p>
    <w:p w14:paraId="11078551"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PwC (2024) Global FinTech Report 2024: AI and the Future of Financial Services. London: PricewaterhouseCoopers. </w:t>
      </w:r>
      <w:hyperlink r:id="rId20" w:history="1">
        <w:r w:rsidRPr="00C31602">
          <w:rPr>
            <w:rStyle w:val="Hyperlink"/>
            <w:rFonts w:ascii="Times New Roman" w:hAnsi="Times New Roman" w:cs="Times New Roman"/>
          </w:rPr>
          <w:t>https://www.pwc.com/sg/en/event-slides/assets/202410-the-future-of-fintech.pdf</w:t>
        </w:r>
      </w:hyperlink>
      <w:r w:rsidRPr="00C31602">
        <w:rPr>
          <w:rFonts w:ascii="Times New Roman" w:hAnsi="Times New Roman" w:cs="Times New Roman"/>
        </w:rPr>
        <w:t xml:space="preserve"> </w:t>
      </w:r>
    </w:p>
    <w:p w14:paraId="68921C6F"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Rafiq, M. and Ahmed, P.K., 1995. Using the 7Ps as a generic marketing mix: an exploratory survey of UK and European marketing academics. </w:t>
      </w:r>
      <w:r w:rsidRPr="00C31602">
        <w:rPr>
          <w:rFonts w:ascii="Times New Roman" w:eastAsia="SimSun" w:hAnsi="Times New Roman" w:cs="Times New Roman"/>
          <w:i/>
          <w:iCs/>
          <w:color w:val="222222"/>
          <w:shd w:val="clear" w:color="auto" w:fill="FFFFFF"/>
        </w:rPr>
        <w:t>Marketing intelligence &amp; planning</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13</w:t>
      </w:r>
      <w:r w:rsidRPr="00C31602">
        <w:rPr>
          <w:rFonts w:ascii="Times New Roman" w:eastAsia="SimSun" w:hAnsi="Times New Roman" w:cs="Times New Roman"/>
          <w:color w:val="222222"/>
          <w:shd w:val="clear" w:color="auto" w:fill="FFFFFF"/>
        </w:rPr>
        <w:t>(9), pp.4-15.</w:t>
      </w:r>
    </w:p>
    <w:p w14:paraId="4859CE60"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Rafiq, M. and Ahmed, P.K., 1995. Using the 7Ps as a generic marketing mix: an exploratory survey of UK and European marketing academics. </w:t>
      </w:r>
      <w:r w:rsidRPr="00C31602">
        <w:rPr>
          <w:rFonts w:ascii="Times New Roman" w:eastAsia="SimSun" w:hAnsi="Times New Roman" w:cs="Times New Roman"/>
          <w:i/>
          <w:iCs/>
          <w:color w:val="222222"/>
          <w:shd w:val="clear" w:color="auto" w:fill="FFFFFF"/>
        </w:rPr>
        <w:t>Marketing intelligence &amp; planning</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13</w:t>
      </w:r>
      <w:r w:rsidRPr="00C31602">
        <w:rPr>
          <w:rFonts w:ascii="Times New Roman" w:eastAsia="SimSun" w:hAnsi="Times New Roman" w:cs="Times New Roman"/>
          <w:color w:val="222222"/>
          <w:shd w:val="clear" w:color="auto" w:fill="FFFFFF"/>
        </w:rPr>
        <w:t>(9), pp.4-15.</w:t>
      </w:r>
    </w:p>
    <w:p w14:paraId="384F22F9"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lastRenderedPageBreak/>
        <w:t>Ries, A., Trout, J. and Kotler, P., 2001. </w:t>
      </w:r>
      <w:r w:rsidRPr="00C31602">
        <w:rPr>
          <w:rFonts w:ascii="Times New Roman" w:eastAsia="SimSun" w:hAnsi="Times New Roman" w:cs="Times New Roman"/>
          <w:i/>
          <w:iCs/>
          <w:color w:val="222222"/>
          <w:shd w:val="clear" w:color="auto" w:fill="FFFFFF"/>
        </w:rPr>
        <w:t>Positioning: The battle for your mind</w:t>
      </w:r>
      <w:r w:rsidRPr="00C31602">
        <w:rPr>
          <w:rFonts w:ascii="Times New Roman" w:eastAsia="SimSun" w:hAnsi="Times New Roman" w:cs="Times New Roman"/>
          <w:color w:val="222222"/>
          <w:shd w:val="clear" w:color="auto" w:fill="FFFFFF"/>
        </w:rPr>
        <w:t> (Vol. 2). New York: McGraw-Hill.</w:t>
      </w:r>
    </w:p>
    <w:p w14:paraId="4EFD8C17"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Rogers, E., 2003. Diffusion of Innovations 5th.</w:t>
      </w:r>
    </w:p>
    <w:p w14:paraId="6FF41BD4"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Shapiro, C. and Varian, H.R., 1999. </w:t>
      </w:r>
      <w:r w:rsidRPr="00C31602">
        <w:rPr>
          <w:rFonts w:ascii="Times New Roman" w:eastAsia="SimSun" w:hAnsi="Times New Roman" w:cs="Times New Roman"/>
          <w:i/>
          <w:iCs/>
          <w:color w:val="222222"/>
          <w:shd w:val="clear" w:color="auto" w:fill="FFFFFF"/>
        </w:rPr>
        <w:t>Information rules: A strategic guide to the network economy</w:t>
      </w:r>
      <w:r w:rsidRPr="00C31602">
        <w:rPr>
          <w:rFonts w:ascii="Times New Roman" w:eastAsia="SimSun" w:hAnsi="Times New Roman" w:cs="Times New Roman"/>
          <w:color w:val="222222"/>
          <w:shd w:val="clear" w:color="auto" w:fill="FFFFFF"/>
        </w:rPr>
        <w:t>. Harvard Business Press.</w:t>
      </w:r>
    </w:p>
    <w:p w14:paraId="02DC8D2E"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Solomon, M.R., 2010. </w:t>
      </w:r>
      <w:r w:rsidRPr="00C31602">
        <w:rPr>
          <w:rFonts w:ascii="Times New Roman" w:eastAsia="SimSun" w:hAnsi="Times New Roman" w:cs="Times New Roman"/>
          <w:i/>
          <w:iCs/>
          <w:color w:val="222222"/>
          <w:shd w:val="clear" w:color="auto" w:fill="FFFFFF"/>
        </w:rPr>
        <w:t>Consumer behaviour: A European perspective</w:t>
      </w:r>
      <w:r w:rsidRPr="00C31602">
        <w:rPr>
          <w:rFonts w:ascii="Times New Roman" w:eastAsia="SimSun" w:hAnsi="Times New Roman" w:cs="Times New Roman"/>
          <w:color w:val="222222"/>
          <w:shd w:val="clear" w:color="auto" w:fill="FFFFFF"/>
        </w:rPr>
        <w:t>. Pearson education.</w:t>
      </w:r>
    </w:p>
    <w:p w14:paraId="6220C63F"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Statista (2025) Global FinTech Market Size Forecast 2020–2030.  </w:t>
      </w:r>
      <w:hyperlink r:id="rId21" w:history="1">
        <w:r w:rsidRPr="00C31602">
          <w:rPr>
            <w:rStyle w:val="Hyperlink"/>
            <w:rFonts w:ascii="Times New Roman" w:hAnsi="Times New Roman" w:cs="Times New Roman"/>
          </w:rPr>
          <w:t>https://www.statista.com/topics/2404/fintech/?srsltid=AfmBOooju0J59Kp_LEm6sMgRqYsDFci5_KJ2qW5JDGJ60GTzJBZqYC_1</w:t>
        </w:r>
      </w:hyperlink>
      <w:r w:rsidRPr="00C31602">
        <w:rPr>
          <w:rFonts w:ascii="Times New Roman" w:hAnsi="Times New Roman" w:cs="Times New Roman"/>
        </w:rPr>
        <w:t xml:space="preserve"> </w:t>
      </w:r>
    </w:p>
    <w:p w14:paraId="1E6242FF"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Stremersch, S. and Tellis, G.J., 2002. Strategic bundling of products and prices: A new synthesis for marketing. </w:t>
      </w:r>
      <w:r w:rsidRPr="00C31602">
        <w:rPr>
          <w:rFonts w:ascii="Times New Roman" w:eastAsia="SimSun" w:hAnsi="Times New Roman" w:cs="Times New Roman"/>
          <w:i/>
          <w:iCs/>
          <w:color w:val="222222"/>
          <w:shd w:val="clear" w:color="auto" w:fill="FFFFFF"/>
        </w:rPr>
        <w:t>Journal of marketing</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66</w:t>
      </w:r>
      <w:r w:rsidRPr="00C31602">
        <w:rPr>
          <w:rFonts w:ascii="Times New Roman" w:eastAsia="SimSun" w:hAnsi="Times New Roman" w:cs="Times New Roman"/>
          <w:color w:val="222222"/>
          <w:shd w:val="clear" w:color="auto" w:fill="FFFFFF"/>
        </w:rPr>
        <w:t>(1), pp.55-72.</w:t>
      </w:r>
    </w:p>
    <w:p w14:paraId="3AB0EE87" w14:textId="77777777" w:rsidR="00C31602" w:rsidRPr="00C31602" w:rsidRDefault="00C31602">
      <w:pPr>
        <w:spacing w:line="360" w:lineRule="auto"/>
        <w:jc w:val="both"/>
        <w:rPr>
          <w:rFonts w:ascii="Times New Roman" w:hAnsi="Times New Roman" w:cs="Times New Roman"/>
        </w:rPr>
      </w:pPr>
      <w:r w:rsidRPr="00C31602">
        <w:rPr>
          <w:rFonts w:ascii="Times New Roman" w:hAnsi="Times New Roman" w:cs="Times New Roman"/>
        </w:rPr>
        <w:t xml:space="preserve">United Nations (2015) Transforming our World: The 2030 Agenda for Sustainable Development. New York: United Nations. </w:t>
      </w:r>
      <w:hyperlink r:id="rId22" w:history="1">
        <w:r w:rsidRPr="00C31602">
          <w:rPr>
            <w:rStyle w:val="Hyperlink"/>
            <w:rFonts w:ascii="Times New Roman" w:hAnsi="Times New Roman" w:cs="Times New Roman"/>
          </w:rPr>
          <w:t>https://sdgs.un.org/2030agenda</w:t>
        </w:r>
      </w:hyperlink>
      <w:r w:rsidRPr="00C31602">
        <w:rPr>
          <w:rFonts w:ascii="Times New Roman" w:hAnsi="Times New Roman" w:cs="Times New Roman"/>
        </w:rPr>
        <w:t xml:space="preserve"> </w:t>
      </w:r>
    </w:p>
    <w:p w14:paraId="30BB8C3B"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Van Marrewijk, M., 2003. Concepts and definitions of CSR and corporate sustainability: Between agency and communion. </w:t>
      </w:r>
      <w:r w:rsidRPr="00C31602">
        <w:rPr>
          <w:rFonts w:ascii="Times New Roman" w:eastAsia="SimSun" w:hAnsi="Times New Roman" w:cs="Times New Roman"/>
          <w:i/>
          <w:iCs/>
          <w:color w:val="222222"/>
          <w:shd w:val="clear" w:color="auto" w:fill="FFFFFF"/>
        </w:rPr>
        <w:t>Journal of business ethics</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44</w:t>
      </w:r>
      <w:r w:rsidRPr="00C31602">
        <w:rPr>
          <w:rFonts w:ascii="Times New Roman" w:eastAsia="SimSun" w:hAnsi="Times New Roman" w:cs="Times New Roman"/>
          <w:color w:val="222222"/>
          <w:shd w:val="clear" w:color="auto" w:fill="FFFFFF"/>
        </w:rPr>
        <w:t>(2), pp.95-105.</w:t>
      </w:r>
    </w:p>
    <w:p w14:paraId="25FF8F73"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Wedel, M. and Kamakura, W.A., 2000. </w:t>
      </w:r>
      <w:r w:rsidRPr="00C31602">
        <w:rPr>
          <w:rFonts w:ascii="Times New Roman" w:eastAsia="SimSun" w:hAnsi="Times New Roman" w:cs="Times New Roman"/>
          <w:i/>
          <w:iCs/>
          <w:color w:val="222222"/>
          <w:shd w:val="clear" w:color="auto" w:fill="FFFFFF"/>
        </w:rPr>
        <w:t>Market segmentation: Conceptual and methodological foundations</w:t>
      </w:r>
      <w:r w:rsidRPr="00C31602">
        <w:rPr>
          <w:rFonts w:ascii="Times New Roman" w:eastAsia="SimSun" w:hAnsi="Times New Roman" w:cs="Times New Roman"/>
          <w:color w:val="222222"/>
          <w:shd w:val="clear" w:color="auto" w:fill="FFFFFF"/>
        </w:rPr>
        <w:t>. Springer Science &amp; Business Media.</w:t>
      </w:r>
    </w:p>
    <w:p w14:paraId="582EE45A"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Wiggers, K., 2024. Microsoft Copilot: Everything you need to know about Microsoft’s AI. </w:t>
      </w:r>
      <w:r w:rsidRPr="00C31602">
        <w:rPr>
          <w:rFonts w:ascii="Times New Roman" w:eastAsia="SimSun" w:hAnsi="Times New Roman" w:cs="Times New Roman"/>
          <w:i/>
          <w:iCs/>
          <w:color w:val="222222"/>
          <w:shd w:val="clear" w:color="auto" w:fill="FFFFFF"/>
        </w:rPr>
        <w:t>TechCrunch. Retrieved January</w:t>
      </w:r>
      <w:r w:rsidRPr="00C31602">
        <w:rPr>
          <w:rFonts w:ascii="Times New Roman" w:eastAsia="SimSun" w:hAnsi="Times New Roman" w:cs="Times New Roman"/>
          <w:color w:val="222222"/>
          <w:shd w:val="clear" w:color="auto" w:fill="FFFFFF"/>
        </w:rPr>
        <w:t>, </w:t>
      </w:r>
      <w:r w:rsidRPr="00C31602">
        <w:rPr>
          <w:rFonts w:ascii="Times New Roman" w:eastAsia="SimSun" w:hAnsi="Times New Roman" w:cs="Times New Roman"/>
          <w:i/>
          <w:iCs/>
          <w:color w:val="222222"/>
          <w:shd w:val="clear" w:color="auto" w:fill="FFFFFF"/>
        </w:rPr>
        <w:t>10</w:t>
      </w:r>
      <w:r w:rsidRPr="00C31602">
        <w:rPr>
          <w:rFonts w:ascii="Times New Roman" w:eastAsia="SimSun" w:hAnsi="Times New Roman" w:cs="Times New Roman"/>
          <w:color w:val="222222"/>
          <w:shd w:val="clear" w:color="auto" w:fill="FFFFFF"/>
        </w:rPr>
        <w:t>, p.2025.</w:t>
      </w:r>
    </w:p>
    <w:p w14:paraId="19FB25AB"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Wind, Y.J., 1982. </w:t>
      </w:r>
      <w:r w:rsidRPr="00C31602">
        <w:rPr>
          <w:rFonts w:ascii="Times New Roman" w:eastAsia="SimSun" w:hAnsi="Times New Roman" w:cs="Times New Roman"/>
          <w:i/>
          <w:iCs/>
          <w:color w:val="222222"/>
          <w:shd w:val="clear" w:color="auto" w:fill="FFFFFF"/>
        </w:rPr>
        <w:t>Product policy: Concepts, methods, and strategy</w:t>
      </w:r>
      <w:r w:rsidRPr="00C31602">
        <w:rPr>
          <w:rFonts w:ascii="Times New Roman" w:eastAsia="SimSun" w:hAnsi="Times New Roman" w:cs="Times New Roman"/>
          <w:color w:val="222222"/>
          <w:shd w:val="clear" w:color="auto" w:fill="FFFFFF"/>
        </w:rPr>
        <w:t> (Vol. 8). Reading, MA: Addison-Wesley Publishing Company.</w:t>
      </w:r>
    </w:p>
    <w:p w14:paraId="52E0C3D9" w14:textId="77777777" w:rsidR="00C31602" w:rsidRPr="00C31602" w:rsidRDefault="00C31602">
      <w:pPr>
        <w:spacing w:line="360" w:lineRule="auto"/>
        <w:jc w:val="both"/>
        <w:rPr>
          <w:rFonts w:ascii="Times New Roman" w:eastAsia="SimSun" w:hAnsi="Times New Roman" w:cs="Times New Roman"/>
          <w:color w:val="222222"/>
          <w:shd w:val="clear" w:color="auto" w:fill="FFFFFF"/>
        </w:rPr>
      </w:pPr>
      <w:r w:rsidRPr="00C31602">
        <w:rPr>
          <w:rFonts w:ascii="Times New Roman" w:eastAsia="SimSun" w:hAnsi="Times New Roman" w:cs="Times New Roman"/>
          <w:color w:val="222222"/>
          <w:shd w:val="clear" w:color="auto" w:fill="FFFFFF"/>
        </w:rPr>
        <w:t>Zeithaml, V.A., Bitner, M.J. and Gremler, D.D., 2000. Services marketing: Integrating customer focus across the firm. </w:t>
      </w:r>
      <w:r w:rsidRPr="00C31602">
        <w:rPr>
          <w:rFonts w:ascii="Times New Roman" w:eastAsia="SimSun" w:hAnsi="Times New Roman" w:cs="Times New Roman"/>
          <w:i/>
          <w:iCs/>
          <w:color w:val="222222"/>
          <w:shd w:val="clear" w:color="auto" w:fill="FFFFFF"/>
        </w:rPr>
        <w:t>(No Title)</w:t>
      </w:r>
      <w:r w:rsidRPr="00C31602">
        <w:rPr>
          <w:rFonts w:ascii="Times New Roman" w:eastAsia="SimSun" w:hAnsi="Times New Roman" w:cs="Times New Roman"/>
          <w:color w:val="222222"/>
          <w:shd w:val="clear" w:color="auto" w:fill="FFFFFF"/>
        </w:rPr>
        <w:t>.</w:t>
      </w:r>
    </w:p>
    <w:p w14:paraId="42B6D759" w14:textId="77777777" w:rsidR="00A54F04" w:rsidRDefault="00A54F04">
      <w:pPr>
        <w:spacing w:line="360" w:lineRule="auto"/>
        <w:jc w:val="both"/>
        <w:rPr>
          <w:rFonts w:eastAsia="SimSun"/>
          <w:color w:val="222222"/>
          <w:sz w:val="19"/>
          <w:szCs w:val="19"/>
          <w:shd w:val="clear" w:color="auto" w:fill="FFFFFF"/>
        </w:rPr>
      </w:pPr>
    </w:p>
    <w:sectPr w:rsidR="00A54F04">
      <w:headerReference w:type="default" r:id="rId23"/>
      <w:footerReference w:type="default" r:id="rId24"/>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3549E" w14:textId="77777777" w:rsidR="006536D1" w:rsidRDefault="006536D1">
      <w:r>
        <w:separator/>
      </w:r>
    </w:p>
  </w:endnote>
  <w:endnote w:type="continuationSeparator" w:id="0">
    <w:p w14:paraId="0C608B34" w14:textId="77777777" w:rsidR="006536D1" w:rsidRDefault="006536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9904D6" w14:textId="77777777" w:rsidR="00A54F04" w:rsidRDefault="00000000">
    <w:pPr>
      <w:pBdr>
        <w:top w:val="single" w:sz="2" w:space="1" w:color="1B6CA8"/>
      </w:pBd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Pr>
        <w:color w:val="888888"/>
        <w:sz w:val="18"/>
        <w:szCs w:val="18"/>
      </w:rPr>
      <w:t>1</w:t>
    </w:r>
    <w:r>
      <w:rPr>
        <w:color w:val="888888"/>
        <w:sz w:val="18"/>
        <w:szCs w:val="18"/>
      </w:rPr>
      <w:fldChar w:fldCharType="end"/>
    </w:r>
    <w:r>
      <w:rPr>
        <w:color w:val="888888"/>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7A014B" w14:textId="77777777" w:rsidR="006536D1" w:rsidRDefault="006536D1">
      <w:r>
        <w:separator/>
      </w:r>
    </w:p>
  </w:footnote>
  <w:footnote w:type="continuationSeparator" w:id="0">
    <w:p w14:paraId="1C7D7048" w14:textId="77777777" w:rsidR="006536D1" w:rsidRDefault="006536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E21017" w14:textId="77777777" w:rsidR="00A54F04" w:rsidRDefault="00000000">
    <w:pPr>
      <w:pBdr>
        <w:bottom w:val="single" w:sz="2" w:space="1" w:color="1B6CA8"/>
      </w:pBdr>
      <w:jc w:val="right"/>
    </w:pPr>
    <w:r>
      <w:rPr>
        <w:color w:val="888888"/>
        <w:sz w:val="18"/>
        <w:szCs w:val="18"/>
      </w:rPr>
      <w:t>Microsoft Finance AI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31D52"/>
    <w:multiLevelType w:val="multilevel"/>
    <w:tmpl w:val="04031D5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94577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displayBackgroundShape/>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44FB"/>
    <w:rsid w:val="00006F07"/>
    <w:rsid w:val="00165D06"/>
    <w:rsid w:val="001D62DB"/>
    <w:rsid w:val="00346A6F"/>
    <w:rsid w:val="00356286"/>
    <w:rsid w:val="004A44FB"/>
    <w:rsid w:val="00581EA7"/>
    <w:rsid w:val="0061020A"/>
    <w:rsid w:val="006536D1"/>
    <w:rsid w:val="00761701"/>
    <w:rsid w:val="008459DF"/>
    <w:rsid w:val="0093087A"/>
    <w:rsid w:val="00A54F04"/>
    <w:rsid w:val="00AB5C0F"/>
    <w:rsid w:val="00C31602"/>
    <w:rsid w:val="388744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C1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0"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sz w:val="24"/>
      <w:szCs w:val="24"/>
    </w:rPr>
  </w:style>
  <w:style w:type="paragraph" w:styleId="Heading1">
    <w:name w:val="heading 1"/>
    <w:uiPriority w:val="9"/>
    <w:qFormat/>
    <w:pPr>
      <w:numPr>
        <w:numId w:val="1"/>
      </w:numPr>
      <w:spacing w:before="280" w:after="80"/>
      <w:outlineLvl w:val="0"/>
    </w:pPr>
    <w:rPr>
      <w:rFonts w:eastAsia="Arial" w:cs="Arial"/>
      <w:b/>
      <w:bCs/>
      <w:sz w:val="28"/>
      <w:szCs w:val="32"/>
    </w:rPr>
  </w:style>
  <w:style w:type="paragraph" w:styleId="Heading2">
    <w:name w:val="heading 2"/>
    <w:uiPriority w:val="9"/>
    <w:unhideWhenUsed/>
    <w:qFormat/>
    <w:pPr>
      <w:numPr>
        <w:ilvl w:val="1"/>
        <w:numId w:val="1"/>
      </w:numPr>
      <w:spacing w:before="280" w:after="160"/>
      <w:outlineLvl w:val="1"/>
    </w:pPr>
    <w:rPr>
      <w:rFonts w:eastAsia="Arial" w:cs="Arial"/>
      <w:b/>
      <w:bCs/>
      <w:sz w:val="24"/>
      <w:szCs w:val="26"/>
    </w:rPr>
  </w:style>
  <w:style w:type="paragraph" w:styleId="Heading3">
    <w:name w:val="heading 3"/>
    <w:uiPriority w:val="9"/>
    <w:semiHidden/>
    <w:unhideWhenUsed/>
    <w:qFormat/>
    <w:pPr>
      <w:numPr>
        <w:ilvl w:val="2"/>
        <w:numId w:val="1"/>
      </w:numPr>
      <w:outlineLvl w:val="2"/>
    </w:pPr>
    <w:rPr>
      <w:rFonts w:ascii="Arial" w:eastAsia="Arial" w:hAnsi="Arial" w:cs="Arial"/>
      <w:color w:val="1F4D78"/>
      <w:sz w:val="24"/>
      <w:szCs w:val="24"/>
    </w:rPr>
  </w:style>
  <w:style w:type="paragraph" w:styleId="Heading4">
    <w:name w:val="heading 4"/>
    <w:uiPriority w:val="9"/>
    <w:semiHidden/>
    <w:unhideWhenUsed/>
    <w:qFormat/>
    <w:pPr>
      <w:numPr>
        <w:ilvl w:val="3"/>
        <w:numId w:val="1"/>
      </w:numPr>
      <w:outlineLvl w:val="3"/>
    </w:pPr>
    <w:rPr>
      <w:rFonts w:ascii="Arial" w:eastAsia="Arial" w:hAnsi="Arial" w:cs="Arial"/>
      <w:i/>
      <w:iCs/>
      <w:color w:val="2E74B5"/>
      <w:sz w:val="24"/>
      <w:szCs w:val="24"/>
    </w:rPr>
  </w:style>
  <w:style w:type="paragraph" w:styleId="Heading5">
    <w:name w:val="heading 5"/>
    <w:uiPriority w:val="9"/>
    <w:semiHidden/>
    <w:unhideWhenUsed/>
    <w:qFormat/>
    <w:pPr>
      <w:numPr>
        <w:ilvl w:val="4"/>
        <w:numId w:val="1"/>
      </w:numPr>
      <w:outlineLvl w:val="4"/>
    </w:pPr>
    <w:rPr>
      <w:rFonts w:ascii="Arial" w:eastAsia="Arial" w:hAnsi="Arial" w:cs="Arial"/>
      <w:color w:val="2E74B5"/>
      <w:sz w:val="24"/>
      <w:szCs w:val="24"/>
    </w:rPr>
  </w:style>
  <w:style w:type="paragraph" w:styleId="Heading6">
    <w:name w:val="heading 6"/>
    <w:uiPriority w:val="9"/>
    <w:semiHidden/>
    <w:unhideWhenUsed/>
    <w:qFormat/>
    <w:pPr>
      <w:numPr>
        <w:ilvl w:val="5"/>
        <w:numId w:val="1"/>
      </w:numPr>
      <w:outlineLvl w:val="5"/>
    </w:pPr>
    <w:rPr>
      <w:rFonts w:ascii="Arial" w:eastAsia="Arial" w:hAnsi="Arial" w:cs="Arial"/>
      <w:color w:val="1F4D78"/>
      <w:sz w:val="24"/>
      <w:szCs w:val="24"/>
    </w:rPr>
  </w:style>
  <w:style w:type="paragraph" w:styleId="Heading7">
    <w:name w:val="heading 7"/>
    <w:basedOn w:val="Normal"/>
    <w:next w:val="Normal"/>
    <w:link w:val="Heading7Char"/>
    <w:uiPriority w:val="9"/>
    <w:semiHidden/>
    <w:unhideWhenUsed/>
    <w:qFormat/>
    <w:pPr>
      <w:keepNext/>
      <w:keepLines/>
      <w:numPr>
        <w:ilvl w:val="6"/>
        <w:numId w:val="1"/>
      </w:numPr>
      <w:spacing w:before="40"/>
      <w:outlineLvl w:val="6"/>
    </w:pPr>
    <w:rPr>
      <w:rFonts w:asciiTheme="majorHAnsi" w:eastAsiaTheme="majorEastAsia" w:hAnsiTheme="majorHAnsi" w:cstheme="majorBidi"/>
      <w:i/>
      <w:iCs/>
      <w:color w:val="0A2F41" w:themeColor="accent1" w:themeShade="80"/>
    </w:rPr>
  </w:style>
  <w:style w:type="paragraph" w:styleId="Heading8">
    <w:name w:val="heading 8"/>
    <w:basedOn w:val="Normal"/>
    <w:next w:val="Normal"/>
    <w:link w:val="Heading8Char"/>
    <w:uiPriority w:val="9"/>
    <w:semiHidden/>
    <w:unhideWhenUsed/>
    <w:qFormat/>
    <w:pPr>
      <w:keepNext/>
      <w:keepLines/>
      <w:numPr>
        <w:ilvl w:val="7"/>
        <w:numId w:val="1"/>
      </w:numPr>
      <w:spacing w:before="4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pPr>
      <w:keepNext/>
      <w:keepLines/>
      <w:numPr>
        <w:ilvl w:val="8"/>
        <w:numId w:val="1"/>
      </w:numPr>
      <w:spacing w:before="4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uiPriority w:val="99"/>
    <w:semiHidden/>
    <w:unhideWhenUsed/>
    <w:qFormat/>
    <w:rPr>
      <w:vertAlign w:val="superscript"/>
    </w:rPr>
  </w:style>
  <w:style w:type="paragraph" w:styleId="EndnoteText">
    <w:name w:val="endnote text"/>
    <w:link w:val="EndnoteTextChar"/>
    <w:uiPriority w:val="99"/>
    <w:semiHidden/>
    <w:unhideWhenUsed/>
    <w:qFormat/>
    <w:rPr>
      <w:rFonts w:ascii="Arial" w:eastAsia="Arial" w:hAnsi="Arial" w:cs="Arial"/>
    </w:rPr>
  </w:style>
  <w:style w:type="paragraph" w:styleId="Footer">
    <w:name w:val="footer"/>
    <w:basedOn w:val="Normal"/>
    <w:link w:val="FooterChar"/>
    <w:uiPriority w:val="99"/>
    <w:unhideWhenUsed/>
    <w:pPr>
      <w:tabs>
        <w:tab w:val="center" w:pos="4680"/>
        <w:tab w:val="right" w:pos="9360"/>
      </w:tabs>
    </w:pPr>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rPr>
      <w:rFonts w:ascii="Arial" w:eastAsia="Arial" w:hAnsi="Arial" w:cs="Arial"/>
    </w:rPr>
  </w:style>
  <w:style w:type="paragraph" w:styleId="Header">
    <w:name w:val="header"/>
    <w:basedOn w:val="Normal"/>
    <w:link w:val="HeaderChar"/>
    <w:uiPriority w:val="99"/>
    <w:unhideWhenUsed/>
    <w:qFormat/>
    <w:pPr>
      <w:tabs>
        <w:tab w:val="center" w:pos="4680"/>
        <w:tab w:val="right" w:pos="9360"/>
      </w:tabs>
    </w:pPr>
  </w:style>
  <w:style w:type="character" w:styleId="Hyperlink">
    <w:name w:val="Hyperlink"/>
    <w:uiPriority w:val="99"/>
    <w:unhideWhenUsed/>
    <w:rPr>
      <w:color w:val="0563C1"/>
      <w:u w:val="single"/>
    </w:rPr>
  </w:style>
  <w:style w:type="paragraph" w:styleId="NormalWeb">
    <w:name w:val="Normal (Web)"/>
    <w:basedOn w:val="Normal"/>
    <w:uiPriority w:val="99"/>
    <w:semiHidden/>
    <w:unhideWhenUsed/>
    <w:pPr>
      <w:spacing w:before="100" w:beforeAutospacing="1" w:after="100" w:afterAutospacing="1"/>
    </w:pPr>
    <w:rPr>
      <w:rFonts w:ascii="Times New Roman" w:eastAsia="Times New Roman" w:hAnsi="Times New Roman" w:cs="Times New Roman"/>
    </w:rPr>
  </w:style>
  <w:style w:type="paragraph" w:styleId="Title">
    <w:name w:val="Title"/>
    <w:uiPriority w:val="10"/>
    <w:qFormat/>
    <w:rPr>
      <w:rFonts w:ascii="Arial" w:eastAsia="Arial" w:hAnsi="Arial" w:cs="Arial"/>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40"/>
    </w:pPr>
  </w:style>
  <w:style w:type="paragraph" w:customStyle="1" w:styleId="Strong1">
    <w:name w:val="Strong1"/>
    <w:qFormat/>
    <w:rPr>
      <w:rFonts w:ascii="Arial" w:eastAsia="Arial" w:hAnsi="Arial" w:cs="Arial"/>
      <w:b/>
      <w:bCs/>
      <w:sz w:val="24"/>
      <w:szCs w:val="24"/>
    </w:rPr>
  </w:style>
  <w:style w:type="paragraph" w:styleId="ListParagraph">
    <w:name w:val="List Paragraph"/>
    <w:qFormat/>
    <w:rPr>
      <w:rFonts w:ascii="Arial" w:eastAsia="Arial" w:hAnsi="Arial" w:cs="Arial"/>
      <w:sz w:val="24"/>
      <w:szCs w:val="24"/>
    </w:rPr>
  </w:style>
  <w:style w:type="character" w:customStyle="1" w:styleId="FootnoteTextChar">
    <w:name w:val="Footnote Text Char"/>
    <w:link w:val="FootnoteText"/>
    <w:uiPriority w:val="99"/>
    <w:semiHidden/>
    <w:unhideWhenUsed/>
    <w:qFormat/>
    <w:rPr>
      <w:sz w:val="20"/>
      <w:szCs w:val="20"/>
    </w:rPr>
  </w:style>
  <w:style w:type="character" w:customStyle="1" w:styleId="EndnoteTextChar">
    <w:name w:val="Endnote Text Char"/>
    <w:link w:val="EndnoteText"/>
    <w:uiPriority w:val="99"/>
    <w:semiHidden/>
    <w:unhideWhenUsed/>
    <w:qFormat/>
    <w:rPr>
      <w:sz w:val="20"/>
      <w:szCs w:val="20"/>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A2F41" w:themeColor="accent1" w:themeShade="8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62626" w:themeColor="text1" w:themeTint="D9"/>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loitte.com/us/en/insights/industry/financial-services/financial-services-industry-outlooks/banking-industry-outlook-2024.html" TargetMode="External"/><Relationship Id="rId18" Type="http://schemas.openxmlformats.org/officeDocument/2006/relationships/hyperlink" Target="https://www.moneyandmentalhealth.org/the-missing-lin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topics/2404/fintech/?srsltid=AfmBOooju0J59Kp_LEm6sMgRqYsDFci5_KJ2qW5JDGJ60GTzJBZqYC_1" TargetMode="External"/><Relationship Id="rId7" Type="http://schemas.openxmlformats.org/officeDocument/2006/relationships/endnotes" Target="endnotes.xml"/><Relationship Id="rId12" Type="http://schemas.openxmlformats.org/officeDocument/2006/relationships/hyperlink" Target="https://www.accenture.com/content/dam/accenture/final/accenture-com/document-2/Accenture-The-future-of-Asia-wealth-management-2024.pdf" TargetMode="External"/><Relationship Id="rId17" Type="http://schemas.openxmlformats.org/officeDocument/2006/relationships/hyperlink" Target="https://www.microsoft.com/investor/reports/ar25/index.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ckinsey.com/industries/consumer-packaged-goods/our-insights/state-of-consumer-2024" TargetMode="External"/><Relationship Id="rId20" Type="http://schemas.openxmlformats.org/officeDocument/2006/relationships/hyperlink" Target="https://www.pwc.com/sg/en/event-slides/assets/202410-the-future-of-fintech.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nterbrand.com/best-global-brands/global/2024-report/"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morganstanley.com/press-releases/morgan-stanley-sustainable-signa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y.idc.com/getdoc.jsp?containerId=prUS52632124" TargetMode="External"/><Relationship Id="rId22" Type="http://schemas.openxmlformats.org/officeDocument/2006/relationships/hyperlink" Target="https://sdgs.un.org/2030agen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140503-C72F-4466-933A-0F8902FBB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4537</Words>
  <Characters>25861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2026-05-01T07:23:00Z</dcterms:created>
  <dcterms:modified xsi:type="dcterms:W3CDTF">2026-05-01T07:23:00Z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eyJoZGlkIjoiOWNmYmExZmI3NzZiNjkwZTFlMTg2Y2QwMDRjYTYxYjcifQ==</vt:lpwstr>
  </property>
  <property fmtid="{D5CDD505-2E9C-101B-9397-08002B2CF9AE}" pid="3" name="KSOProductBuildVer">
    <vt:lpwstr>1033-12.1.0.25862</vt:lpwstr>
  </property>
  <property fmtid="{D5CDD505-2E9C-101B-9397-08002B2CF9AE}" pid="4" name="ICV">
    <vt:lpwstr>E55D6092703C441B8A680C7F124D4F04_13</vt:lpwstr>
  </property>
</Properties>
</file>