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92C13" w14:textId="77777777" w:rsidR="009B6C01" w:rsidRDefault="009B6C01" w:rsidP="009B6C01">
      <w:pPr>
        <w:jc w:val="cente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DISCUSSION</w:t>
      </w:r>
    </w:p>
    <w:p w14:paraId="188CBFF1" w14:textId="77777777" w:rsidR="009B6C01" w:rsidRDefault="009B6C01" w:rsidP="009B6C01">
      <w:pPr>
        <w:rPr>
          <w:rFonts w:ascii="Times New Roman" w:hAnsi="Times New Roman" w:cs="Times New Roman"/>
          <w:color w:val="000000"/>
          <w:sz w:val="24"/>
          <w:szCs w:val="24"/>
          <w:shd w:val="clear" w:color="auto" w:fill="FFFFFF"/>
        </w:rPr>
      </w:pPr>
    </w:p>
    <w:p w14:paraId="6AAC3320" w14:textId="77777777" w:rsidR="009B6C01" w:rsidRDefault="009B6C01" w:rsidP="009B6C01">
      <w:pPr>
        <w:spacing w:line="480" w:lineRule="auto"/>
        <w:rPr>
          <w:rFonts w:ascii="Times New Roman" w:hAnsi="Times New Roman" w:cs="Times New Roman"/>
          <w:color w:val="000000"/>
          <w:sz w:val="24"/>
          <w:szCs w:val="24"/>
          <w:shd w:val="clear" w:color="auto" w:fill="FFFFFF"/>
        </w:rPr>
      </w:pPr>
      <w:r w:rsidRPr="00404DDC">
        <w:rPr>
          <w:rFonts w:ascii="Times New Roman" w:hAnsi="Times New Roman" w:cs="Times New Roman"/>
          <w:sz w:val="24"/>
          <w:szCs w:val="24"/>
        </w:rPr>
        <w:t>The</w:t>
      </w:r>
      <w:r>
        <w:rPr>
          <w:rFonts w:ascii="Times New Roman" w:hAnsi="Times New Roman" w:cs="Times New Roman"/>
          <w:sz w:val="24"/>
          <w:szCs w:val="24"/>
        </w:rPr>
        <w:t xml:space="preserve"> main findings of this study </w:t>
      </w:r>
      <w:r w:rsidRPr="00404DDC">
        <w:rPr>
          <w:rFonts w:ascii="Times New Roman" w:hAnsi="Times New Roman" w:cs="Times New Roman"/>
          <w:sz w:val="24"/>
          <w:szCs w:val="24"/>
        </w:rPr>
        <w:t>indicat</w:t>
      </w:r>
      <w:r>
        <w:rPr>
          <w:rFonts w:ascii="Times New Roman" w:hAnsi="Times New Roman" w:cs="Times New Roman"/>
          <w:sz w:val="24"/>
          <w:szCs w:val="24"/>
        </w:rPr>
        <w:t>e</w:t>
      </w:r>
      <w:r w:rsidRPr="00404DDC">
        <w:rPr>
          <w:rFonts w:ascii="Times New Roman" w:hAnsi="Times New Roman" w:cs="Times New Roman"/>
          <w:sz w:val="24"/>
          <w:szCs w:val="24"/>
        </w:rPr>
        <w:t xml:space="preserve"> that</w:t>
      </w:r>
      <w:r>
        <w:rPr>
          <w:rFonts w:ascii="Times New Roman" w:hAnsi="Times New Roman" w:cs="Times New Roman"/>
          <w:sz w:val="24"/>
          <w:szCs w:val="24"/>
        </w:rPr>
        <w:t xml:space="preserve"> effects of</w:t>
      </w:r>
      <w:r w:rsidRPr="00404DDC">
        <w:rPr>
          <w:rFonts w:ascii="Times New Roman" w:hAnsi="Times New Roman" w:cs="Times New Roman"/>
          <w:sz w:val="24"/>
          <w:szCs w:val="24"/>
        </w:rPr>
        <w:t xml:space="preserve"> </w:t>
      </w:r>
      <w:r>
        <w:rPr>
          <w:rFonts w:ascii="Times New Roman" w:hAnsi="Times New Roman" w:cs="Times New Roman"/>
          <w:sz w:val="24"/>
          <w:szCs w:val="24"/>
        </w:rPr>
        <w:t>i</w:t>
      </w:r>
      <w:r w:rsidRPr="00404DDC">
        <w:rPr>
          <w:rFonts w:ascii="Times New Roman" w:hAnsi="Times New Roman" w:cs="Times New Roman"/>
          <w:sz w:val="24"/>
          <w:szCs w:val="24"/>
        </w:rPr>
        <w:t xml:space="preserve">mpulsivity </w:t>
      </w:r>
      <w:r>
        <w:rPr>
          <w:rFonts w:ascii="Times New Roman" w:hAnsi="Times New Roman" w:cs="Times New Roman"/>
          <w:sz w:val="24"/>
          <w:szCs w:val="24"/>
        </w:rPr>
        <w:t xml:space="preserve">and the frequency of gambling behaviour did not </w:t>
      </w:r>
      <w:r w:rsidRPr="00404DDC">
        <w:rPr>
          <w:rFonts w:ascii="Times New Roman" w:hAnsi="Times New Roman" w:cs="Times New Roman"/>
          <w:sz w:val="24"/>
          <w:szCs w:val="24"/>
        </w:rPr>
        <w:t xml:space="preserve">significantly </w:t>
      </w:r>
      <w:r>
        <w:rPr>
          <w:rFonts w:ascii="Times New Roman" w:hAnsi="Times New Roman" w:cs="Times New Roman"/>
          <w:sz w:val="24"/>
          <w:szCs w:val="24"/>
        </w:rPr>
        <w:t>a</w:t>
      </w:r>
      <w:r w:rsidRPr="00404DDC">
        <w:rPr>
          <w:rFonts w:ascii="Times New Roman" w:hAnsi="Times New Roman" w:cs="Times New Roman"/>
          <w:sz w:val="24"/>
          <w:szCs w:val="24"/>
        </w:rPr>
        <w:t>ffect risk-taking behaviour</w:t>
      </w:r>
      <w:r>
        <w:rPr>
          <w:rFonts w:ascii="Times New Roman" w:hAnsi="Times New Roman" w:cs="Times New Roman"/>
          <w:sz w:val="24"/>
          <w:szCs w:val="24"/>
        </w:rPr>
        <w:t>, and therefore the hypothesis that</w:t>
      </w:r>
      <w:r w:rsidRPr="0069264D">
        <w:rPr>
          <w:rFonts w:ascii="Times New Roman" w:hAnsi="Times New Roman" w:cs="Times New Roman"/>
          <w:color w:val="FF0000"/>
          <w:sz w:val="24"/>
          <w:szCs w:val="24"/>
        </w:rPr>
        <w:t xml:space="preserve"> (INSERT HERE) </w:t>
      </w:r>
      <w:r>
        <w:rPr>
          <w:rFonts w:ascii="Times New Roman" w:hAnsi="Times New Roman" w:cs="Times New Roman"/>
          <w:sz w:val="24"/>
          <w:szCs w:val="24"/>
        </w:rPr>
        <w:t>must be rejected</w:t>
      </w:r>
      <w:r w:rsidRPr="00404DDC">
        <w:rPr>
          <w:rFonts w:ascii="Times New Roman" w:hAnsi="Times New Roman" w:cs="Times New Roman"/>
          <w:sz w:val="24"/>
          <w:szCs w:val="24"/>
        </w:rPr>
        <w:t>.</w:t>
      </w:r>
      <w:r>
        <w:rPr>
          <w:rFonts w:ascii="Times New Roman" w:hAnsi="Times New Roman" w:cs="Times New Roman"/>
          <w:sz w:val="24"/>
          <w:szCs w:val="24"/>
        </w:rPr>
        <w:t xml:space="preserve"> </w:t>
      </w:r>
      <w:r w:rsidRPr="00404DDC">
        <w:rPr>
          <w:rFonts w:ascii="Times New Roman" w:hAnsi="Times New Roman" w:cs="Times New Roman"/>
          <w:sz w:val="24"/>
          <w:szCs w:val="24"/>
        </w:rPr>
        <w:t xml:space="preserve"> In addition, the interaction effect between gambling frequency and gambling behaviour also did not provide a significant result. These results contradict past research </w:t>
      </w:r>
      <w:r w:rsidRPr="00404DDC">
        <w:rPr>
          <w:rFonts w:ascii="Times New Roman" w:hAnsi="Times New Roman" w:cs="Times New Roman"/>
          <w:color w:val="000000"/>
          <w:sz w:val="24"/>
          <w:szCs w:val="24"/>
          <w:shd w:val="clear" w:color="auto" w:fill="FFFFFF"/>
        </w:rPr>
        <w:t xml:space="preserve">(Kräplin et al., 2014; Leppink, Redden, Chamberlain &amp; Grant, 2016). </w:t>
      </w:r>
    </w:p>
    <w:p w14:paraId="6B3243C4" w14:textId="77777777" w:rsidR="009B6C01" w:rsidRDefault="009B6C01" w:rsidP="009B6C01">
      <w:pPr>
        <w:spacing w:line="480" w:lineRule="auto"/>
        <w:rPr>
          <w:rFonts w:ascii="Times New Roman" w:hAnsi="Times New Roman" w:cs="Times New Roman"/>
          <w:color w:val="000000"/>
          <w:sz w:val="24"/>
          <w:szCs w:val="24"/>
          <w:shd w:val="clear" w:color="auto" w:fill="FFFFFF"/>
        </w:rPr>
      </w:pPr>
    </w:p>
    <w:p w14:paraId="025E9AB0" w14:textId="77777777" w:rsidR="009B6C01" w:rsidRDefault="009B6C01" w:rsidP="009B6C01">
      <w:pPr>
        <w:spacing w:line="480" w:lineRule="auto"/>
        <w:rPr>
          <w:rFonts w:ascii="Times New Roman" w:hAnsi="Times New Roman" w:cs="Times New Roman"/>
          <w:color w:val="000000"/>
          <w:sz w:val="24"/>
          <w:szCs w:val="24"/>
          <w:shd w:val="clear" w:color="auto" w:fill="FFFFFF"/>
        </w:rPr>
      </w:pPr>
      <w:r w:rsidRPr="00404DDC">
        <w:rPr>
          <w:rFonts w:ascii="Times New Roman" w:hAnsi="Times New Roman" w:cs="Times New Roman"/>
          <w:color w:val="000000"/>
          <w:sz w:val="24"/>
          <w:szCs w:val="24"/>
          <w:shd w:val="clear" w:color="auto" w:fill="FFFFFF"/>
        </w:rPr>
        <w:t>This could lead to the implication that these variables are directly not responsible for risk-taking behaviour but could also be a result of other factors that may have implicitly influenced the results</w:t>
      </w:r>
      <w:r>
        <w:rPr>
          <w:rFonts w:ascii="Times New Roman" w:hAnsi="Times New Roman" w:cs="Times New Roman"/>
          <w:color w:val="000000"/>
          <w:sz w:val="24"/>
          <w:szCs w:val="24"/>
          <w:shd w:val="clear" w:color="auto" w:fill="FFFFFF"/>
        </w:rPr>
        <w:t xml:space="preserve"> without the researcher’s knowledge</w:t>
      </w:r>
      <w:r w:rsidRPr="00404DDC">
        <w:rPr>
          <w:rFonts w:ascii="Times New Roman" w:hAnsi="Times New Roman" w:cs="Times New Roman"/>
          <w:color w:val="000000"/>
          <w:sz w:val="24"/>
          <w:szCs w:val="24"/>
          <w:shd w:val="clear" w:color="auto" w:fill="FFFFFF"/>
        </w:rPr>
        <w:t xml:space="preserve">. </w:t>
      </w:r>
    </w:p>
    <w:p w14:paraId="0260F562" w14:textId="77777777" w:rsidR="009B6C01" w:rsidRDefault="009B6C01" w:rsidP="009B6C01">
      <w:pPr>
        <w:spacing w:line="480" w:lineRule="auto"/>
        <w:rPr>
          <w:rFonts w:ascii="Times New Roman" w:hAnsi="Times New Roman" w:cs="Times New Roman"/>
          <w:color w:val="000000"/>
          <w:sz w:val="24"/>
          <w:szCs w:val="24"/>
          <w:shd w:val="clear" w:color="auto" w:fill="FFFFFF"/>
        </w:rPr>
      </w:pPr>
    </w:p>
    <w:p w14:paraId="5CB260DB" w14:textId="77777777" w:rsidR="009B6C01" w:rsidRDefault="009B6C01" w:rsidP="009B6C01">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current study also provides contrasting evidence to the Acquired preparedness model </w:t>
      </w:r>
      <w:r w:rsidRPr="0069264D">
        <w:rPr>
          <w:rFonts w:ascii="Times New Roman" w:hAnsi="Times New Roman" w:cs="Times New Roman"/>
          <w:color w:val="FF0000"/>
          <w:sz w:val="24"/>
          <w:szCs w:val="24"/>
          <w:shd w:val="clear" w:color="auto" w:fill="FFFFFF"/>
        </w:rPr>
        <w:t>(REF!)</w:t>
      </w:r>
      <w:r>
        <w:rPr>
          <w:rFonts w:ascii="Times New Roman" w:hAnsi="Times New Roman" w:cs="Times New Roman"/>
          <w:color w:val="FF0000"/>
          <w:sz w:val="24"/>
          <w:szCs w:val="24"/>
          <w:shd w:val="clear" w:color="auto" w:fill="FFFFFF"/>
        </w:rPr>
        <w:t xml:space="preserve"> which suggests that……</w:t>
      </w:r>
      <w:r>
        <w:rPr>
          <w:rFonts w:ascii="Times New Roman" w:hAnsi="Times New Roman" w:cs="Times New Roman"/>
          <w:color w:val="000000"/>
          <w:sz w:val="24"/>
          <w:szCs w:val="24"/>
          <w:shd w:val="clear" w:color="auto" w:fill="FFFFFF"/>
        </w:rPr>
        <w:t>, as there was no significant finding found between impulsivity and risk-taking behaviour as depicted within the model (Ginley, Whelan, Relyea, Meyers &amp; Pearlson, 2014). This could indicate that impulsivity as a whole may not be directly responsible for engagement with risk taking behaviour as proposed by the model. Further research should seek to investigate individual factors of impulsivity</w:t>
      </w:r>
      <w:r>
        <w:rPr>
          <w:rFonts w:ascii="Times New Roman" w:hAnsi="Times New Roman" w:cs="Times New Roman"/>
          <w:color w:val="FF0000"/>
          <w:sz w:val="24"/>
          <w:szCs w:val="24"/>
          <w:shd w:val="clear" w:color="auto" w:fill="FFFFFF"/>
        </w:rPr>
        <w:t xml:space="preserve"> like what?</w:t>
      </w:r>
      <w:r>
        <w:rPr>
          <w:rFonts w:ascii="Times New Roman" w:hAnsi="Times New Roman" w:cs="Times New Roman"/>
          <w:color w:val="000000"/>
          <w:sz w:val="24"/>
          <w:szCs w:val="24"/>
          <w:shd w:val="clear" w:color="auto" w:fill="FFFFFF"/>
        </w:rPr>
        <w:t xml:space="preserve"> that significantly affect the effectiveness in predicting risk taking behaviour and gambling frequency within the model.</w:t>
      </w:r>
    </w:p>
    <w:p w14:paraId="423AA17F" w14:textId="77777777" w:rsidR="009B6C01"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color w:val="000000"/>
          <w:sz w:val="24"/>
          <w:szCs w:val="24"/>
          <w:shd w:val="clear" w:color="auto" w:fill="FFFFFF"/>
        </w:rPr>
        <w:t>On the other hand, a significant result</w:t>
      </w:r>
      <w:r w:rsidRPr="00A3206B">
        <w:rPr>
          <w:rFonts w:ascii="Times New Roman" w:hAnsi="Times New Roman" w:cs="Times New Roman"/>
          <w:sz w:val="24"/>
          <w:szCs w:val="24"/>
        </w:rPr>
        <w:t xml:space="preserve"> was found between motor impulsivity and risk-taking behaviour. This significant finding has been supported by past research (Chowdhury, Livesey, Blascynski &amp; Harris, 2017).</w:t>
      </w:r>
      <w:r>
        <w:rPr>
          <w:rFonts w:ascii="Times New Roman" w:hAnsi="Times New Roman" w:cs="Times New Roman"/>
          <w:sz w:val="24"/>
          <w:szCs w:val="24"/>
        </w:rPr>
        <w:t xml:space="preserve"> Which suggests that when completing the GDT, </w:t>
      </w:r>
      <w:r>
        <w:rPr>
          <w:rFonts w:ascii="Times New Roman" w:hAnsi="Times New Roman" w:cs="Times New Roman"/>
          <w:sz w:val="24"/>
          <w:szCs w:val="24"/>
        </w:rPr>
        <w:lastRenderedPageBreak/>
        <w:t>participants who scored high on motor impulsivity were more likely to engage with the task without prior thought, and as a result gamble with more risk. This could imply that the Acquired preparedness model is only supported when impulsivity is measured by motor impulsivity alone, instead of measuring impulsivity as a whole. Chowdbury and colleagues suggest that motor impulsivity’s significance in engaging with risky gambling behaviour could be explained due to deficits in sustained attention, which could indicate that less attention was being given when completing the risk-taking task. This could be inferred however as an extraneous variable, as less attention could suggest the participants not caring when engaging with the task presented in front of them. The implications of attention have also been suggested to be regulated by mood, where more positive moods suggest greater levels of attention (Bolte, Gosche &amp; Kuhl, 2003). Therefore, it could be implicated that the mood of participants could have negatively affected and impacted the results. In the situation where a participant engaged with the study in a poor mood, motor impulsivity could objectively be observed to be higher than actuality. One potential implication for research into motor impulsivity could suggest that mood scale questionnaires be completed to assess behavioural mood before data collection; This would allow researchers to distinguish the sincerity of motor impulsivity when engaging with future studies.</w:t>
      </w:r>
    </w:p>
    <w:p w14:paraId="5E526591" w14:textId="77777777" w:rsidR="009B6C01" w:rsidRPr="00CF2D46"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addition, research investigating motor impulsivity could suggest clinical implications as a development of specifically motor impulsivity measures could help in distinguishing and categorising different gamblers for more efficient treatments. At present, the most commonly used measure of motor impulsivity is the continuous performance test (CPT), a stop-go signal task that can measure attention by mistakes made when observing consecutive numbers presented on </w:t>
      </w:r>
      <w:r w:rsidRPr="00BB72AF">
        <w:rPr>
          <w:rFonts w:ascii="Times New Roman" w:hAnsi="Times New Roman" w:cs="Times New Roman"/>
          <w:sz w:val="24"/>
          <w:szCs w:val="24"/>
        </w:rPr>
        <w:t xml:space="preserve">screen (Phillipou et al., 2016). </w:t>
      </w:r>
      <w:r>
        <w:rPr>
          <w:rFonts w:ascii="Times New Roman" w:hAnsi="Times New Roman" w:cs="Times New Roman"/>
          <w:sz w:val="24"/>
          <w:szCs w:val="24"/>
        </w:rPr>
        <w:t xml:space="preserve">Furthermore, the current research further stipulates a greater expansion of motor impulsivity research being required. </w:t>
      </w:r>
      <w:r>
        <w:rPr>
          <w:rFonts w:ascii="Times New Roman" w:hAnsi="Times New Roman" w:cs="Times New Roman"/>
          <w:sz w:val="24"/>
          <w:szCs w:val="24"/>
        </w:rPr>
        <w:lastRenderedPageBreak/>
        <w:t xml:space="preserve">As supported by </w:t>
      </w:r>
      <w:r w:rsidRPr="00A3206B">
        <w:rPr>
          <w:rFonts w:ascii="Times New Roman" w:hAnsi="Times New Roman" w:cs="Times New Roman"/>
          <w:sz w:val="24"/>
          <w:szCs w:val="24"/>
        </w:rPr>
        <w:t xml:space="preserve">Chowdhury, Livesey, Blascynski &amp; Harris, </w:t>
      </w:r>
      <w:r>
        <w:rPr>
          <w:rFonts w:ascii="Times New Roman" w:hAnsi="Times New Roman" w:cs="Times New Roman"/>
          <w:sz w:val="24"/>
          <w:szCs w:val="24"/>
        </w:rPr>
        <w:t>(2</w:t>
      </w:r>
      <w:r w:rsidRPr="00A3206B">
        <w:rPr>
          <w:rFonts w:ascii="Times New Roman" w:hAnsi="Times New Roman" w:cs="Times New Roman"/>
          <w:sz w:val="24"/>
          <w:szCs w:val="24"/>
        </w:rPr>
        <w:t>017</w:t>
      </w:r>
      <w:r>
        <w:rPr>
          <w:rFonts w:ascii="Times New Roman" w:hAnsi="Times New Roman" w:cs="Times New Roman"/>
          <w:sz w:val="24"/>
          <w:szCs w:val="24"/>
        </w:rPr>
        <w:t>) there is not enough research assessing the relationship of gambling and specifically motor impulsivity.</w:t>
      </w:r>
    </w:p>
    <w:p w14:paraId="1A0F631D" w14:textId="77777777" w:rsidR="009B6C01"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research has suggested that personality questionnaires such as the BIS-11 and risky-decision making tasks are likely to measure different components of impulsive behaviour and could further be unrelated </w:t>
      </w:r>
      <w:r w:rsidRPr="00090721">
        <w:rPr>
          <w:rFonts w:ascii="Times New Roman" w:hAnsi="Times New Roman" w:cs="Times New Roman"/>
          <w:sz w:val="24"/>
          <w:szCs w:val="24"/>
        </w:rPr>
        <w:t>(Reynolds, Ortengren, Richards &amp; de Wit, 2006)</w:t>
      </w:r>
      <w:r>
        <w:rPr>
          <w:rFonts w:ascii="Times New Roman" w:hAnsi="Times New Roman" w:cs="Times New Roman"/>
          <w:sz w:val="24"/>
          <w:szCs w:val="24"/>
        </w:rPr>
        <w:t xml:space="preserve">. While the research targeted impulsive decision making using the Delay-Discounting Task </w:t>
      </w:r>
      <w:r w:rsidRPr="00090721">
        <w:rPr>
          <w:rFonts w:ascii="Times New Roman" w:hAnsi="Times New Roman" w:cs="Times New Roman"/>
          <w:sz w:val="24"/>
          <w:szCs w:val="24"/>
        </w:rPr>
        <w:t>(Bickel, Odum &amp; Madden, 1999)</w:t>
      </w:r>
      <w:r>
        <w:rPr>
          <w:rFonts w:ascii="Times New Roman" w:hAnsi="Times New Roman" w:cs="Times New Roman"/>
          <w:sz w:val="24"/>
          <w:szCs w:val="24"/>
        </w:rPr>
        <w:t>, and the Ballon Analogue Risk Task (BART), (Lejuez et al., 2002), they did not investigate the GDT. Reynold and colleagues research could indicate a gap in the research where further risk-taking behaviour measures such as the GDT should be investigated to assess its applicability to the BIS-11, as explicit rules could implicate different results to Reynolds and colleagues’ study.</w:t>
      </w:r>
    </w:p>
    <w:p w14:paraId="5B5A178A" w14:textId="77777777" w:rsidR="009B6C01"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research has also suggested that there is no empirical support that the current BIS-11 can be used to measure each second-order factor </w:t>
      </w:r>
      <w:r w:rsidRPr="00C327BD">
        <w:rPr>
          <w:rFonts w:ascii="Times New Roman" w:hAnsi="Times New Roman" w:cs="Times New Roman"/>
          <w:sz w:val="24"/>
          <w:szCs w:val="24"/>
        </w:rPr>
        <w:t xml:space="preserve">meaningfully </w:t>
      </w:r>
      <w:r>
        <w:rPr>
          <w:rFonts w:ascii="Times New Roman" w:hAnsi="Times New Roman" w:cs="Times New Roman"/>
          <w:sz w:val="24"/>
          <w:szCs w:val="24"/>
        </w:rPr>
        <w:t>(</w:t>
      </w:r>
      <w:r w:rsidRPr="00C327BD">
        <w:rPr>
          <w:rFonts w:ascii="Times New Roman" w:hAnsi="Times New Roman" w:cs="Times New Roman"/>
          <w:sz w:val="24"/>
          <w:szCs w:val="24"/>
        </w:rPr>
        <w:t>Reise, Moore, Sabb, Brown &amp; London, 2013)</w:t>
      </w:r>
      <w:r>
        <w:rPr>
          <w:rFonts w:ascii="Times New Roman" w:hAnsi="Times New Roman" w:cs="Times New Roman"/>
          <w:sz w:val="24"/>
          <w:szCs w:val="24"/>
        </w:rPr>
        <w:t xml:space="preserve">. This could be due to Reise and colleagues finding weak correlation between items used within the scale. Their research suggested that other psychometric tools should be used instead when measuring impulsivity as the criteria for subscale measurements within the BIS-11 are flawed. Examples of such tools </w:t>
      </w:r>
      <w:r w:rsidRPr="00F76A67">
        <w:rPr>
          <w:rFonts w:ascii="Times New Roman" w:hAnsi="Times New Roman" w:cs="Times New Roman"/>
          <w:sz w:val="24"/>
          <w:szCs w:val="24"/>
        </w:rPr>
        <w:t>included the</w:t>
      </w:r>
      <w:r>
        <w:rPr>
          <w:rFonts w:ascii="Times New Roman" w:hAnsi="Times New Roman" w:cs="Times New Roman"/>
          <w:sz w:val="24"/>
          <w:szCs w:val="24"/>
        </w:rPr>
        <w:t xml:space="preserve"> Impulsiveness-Venturesomeness-Empathy questionnaire</w:t>
      </w:r>
      <w:r w:rsidRPr="00F76A67">
        <w:rPr>
          <w:rFonts w:ascii="Times New Roman" w:hAnsi="Times New Roman" w:cs="Times New Roman"/>
          <w:sz w:val="24"/>
          <w:szCs w:val="24"/>
        </w:rPr>
        <w:t xml:space="preserve"> </w:t>
      </w:r>
      <w:r>
        <w:rPr>
          <w:rFonts w:ascii="Times New Roman" w:hAnsi="Times New Roman" w:cs="Times New Roman"/>
          <w:sz w:val="24"/>
          <w:szCs w:val="24"/>
        </w:rPr>
        <w:t>(</w:t>
      </w:r>
      <w:r w:rsidRPr="00F76A67">
        <w:rPr>
          <w:rFonts w:ascii="Times New Roman" w:hAnsi="Times New Roman" w:cs="Times New Roman"/>
          <w:color w:val="000000"/>
          <w:sz w:val="24"/>
          <w:szCs w:val="24"/>
          <w:shd w:val="clear" w:color="auto" w:fill="FFFFFF"/>
        </w:rPr>
        <w:t>I</w:t>
      </w:r>
      <w:r w:rsidRPr="00F76A67">
        <w:rPr>
          <w:rFonts w:ascii="Times New Roman" w:hAnsi="Times New Roman" w:cs="Times New Roman"/>
          <w:color w:val="000000"/>
          <w:sz w:val="24"/>
          <w:szCs w:val="24"/>
          <w:shd w:val="clear" w:color="auto" w:fill="FFFFFF"/>
          <w:vertAlign w:val="subscript"/>
        </w:rPr>
        <w:t>7</w:t>
      </w:r>
      <w:r>
        <w:rPr>
          <w:rFonts w:ascii="Times New Roman" w:hAnsi="Times New Roman" w:cs="Times New Roman"/>
          <w:color w:val="000000"/>
          <w:sz w:val="24"/>
          <w:szCs w:val="24"/>
          <w:shd w:val="clear" w:color="auto" w:fill="FFFFFF"/>
          <w:vertAlign w:val="subscript"/>
        </w:rPr>
        <w:t xml:space="preserve"> </w:t>
      </w:r>
      <w:r>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vertAlign w:val="subscript"/>
        </w:rPr>
        <w:t xml:space="preserve"> </w:t>
      </w:r>
      <w:r w:rsidRPr="00F76A67">
        <w:rPr>
          <w:rFonts w:ascii="Times New Roman" w:hAnsi="Times New Roman" w:cs="Times New Roman"/>
          <w:sz w:val="24"/>
          <w:szCs w:val="24"/>
        </w:rPr>
        <w:t>(Eysenck, Pearson, Easting &amp; Allsopp, 1985)</w:t>
      </w:r>
      <w:r>
        <w:rPr>
          <w:rFonts w:ascii="Times New Roman" w:hAnsi="Times New Roman" w:cs="Times New Roman"/>
          <w:sz w:val="24"/>
          <w:szCs w:val="24"/>
        </w:rPr>
        <w:t>, and the Multidimensional Personality Questionnaire (Tellegen &amp; Waller, 2008).</w:t>
      </w:r>
    </w:p>
    <w:p w14:paraId="2A45F854" w14:textId="77777777" w:rsidR="009B6C01"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one issue that is current within impulsivity research is the definitions and terminology provided by different researchers. For example, researchers have also defined motor impulsivity as motor initiatio</w:t>
      </w:r>
      <w:r w:rsidRPr="00342C43">
        <w:rPr>
          <w:rFonts w:ascii="Times New Roman" w:hAnsi="Times New Roman" w:cs="Times New Roman"/>
          <w:sz w:val="24"/>
          <w:szCs w:val="24"/>
        </w:rPr>
        <w:t>n (Mathias, Marsh-Richard &amp; Dougherty, 2008).</w:t>
      </w:r>
      <w:r>
        <w:rPr>
          <w:rFonts w:ascii="Times New Roman" w:hAnsi="Times New Roman" w:cs="Times New Roman"/>
          <w:sz w:val="24"/>
          <w:szCs w:val="24"/>
        </w:rPr>
        <w:t xml:space="preserve"> This can provide difficulties in developing future research if the terminology is split between </w:t>
      </w:r>
      <w:r>
        <w:rPr>
          <w:rFonts w:ascii="Times New Roman" w:hAnsi="Times New Roman" w:cs="Times New Roman"/>
          <w:sz w:val="24"/>
          <w:szCs w:val="24"/>
        </w:rPr>
        <w:lastRenderedPageBreak/>
        <w:t>different names. Further research should aim to consolidate knowledge and define a global definition for impulsivity research.</w:t>
      </w:r>
    </w:p>
    <w:p w14:paraId="59547745" w14:textId="77777777" w:rsidR="009B6C01" w:rsidRDefault="009B6C01" w:rsidP="009B6C01">
      <w:pPr>
        <w:spacing w:line="480" w:lineRule="auto"/>
        <w:ind w:firstLine="720"/>
        <w:rPr>
          <w:rFonts w:ascii="Times New Roman" w:hAnsi="Times New Roman" w:cs="Times New Roman"/>
          <w:sz w:val="24"/>
          <w:szCs w:val="24"/>
        </w:rPr>
      </w:pPr>
      <w:r w:rsidRPr="00404DDC">
        <w:rPr>
          <w:rFonts w:ascii="Times New Roman" w:hAnsi="Times New Roman" w:cs="Times New Roman"/>
          <w:color w:val="000000"/>
          <w:sz w:val="24"/>
          <w:szCs w:val="24"/>
          <w:shd w:val="clear" w:color="auto" w:fill="FFFFFF"/>
        </w:rPr>
        <w:t xml:space="preserve">Research has identified a non-significant result in the GDT being able to accurately identify gambling severity and frequency in adolescents diagnosed with problem gambling using the SOGS-RA </w:t>
      </w:r>
      <w:r w:rsidRPr="00404DDC">
        <w:rPr>
          <w:rFonts w:ascii="Times New Roman" w:hAnsi="Times New Roman" w:cs="Times New Roman"/>
          <w:sz w:val="24"/>
          <w:szCs w:val="24"/>
        </w:rPr>
        <w:t>(Donati, Frosini, Izzo &amp; Primi, 2018).</w:t>
      </w:r>
      <w:r>
        <w:rPr>
          <w:rFonts w:ascii="Times New Roman" w:hAnsi="Times New Roman" w:cs="Times New Roman"/>
          <w:sz w:val="24"/>
          <w:szCs w:val="24"/>
        </w:rPr>
        <w:t xml:space="preserve"> This could indicate that the GDT is not a sufficient risk-taking behaviour task as it was unable to distinguish between varying levels of gambling severity and frequency. However, research has suggested that the GDT is more capable of predicting the tendencies of higher risk-taking behaviour when controlling for impulsivity in contrast to the Iowa Gambling Task</w:t>
      </w:r>
      <w:r w:rsidRPr="009A7D39">
        <w:rPr>
          <w:rFonts w:ascii="Times New Roman" w:hAnsi="Times New Roman" w:cs="Times New Roman"/>
          <w:sz w:val="24"/>
          <w:szCs w:val="24"/>
        </w:rPr>
        <w:t>. (Bayard, Raffard &amp; Gely-Nargeot, 2011)</w:t>
      </w:r>
      <w:r>
        <w:rPr>
          <w:rFonts w:ascii="Times New Roman" w:hAnsi="Times New Roman" w:cs="Times New Roman"/>
          <w:sz w:val="24"/>
          <w:szCs w:val="24"/>
        </w:rPr>
        <w:t xml:space="preserve">. Further research has also suggested there was no correlation between the performances of both the Iowa Gambling Task and the GDT when used with schizophrenic patients (Fond et al., 2012). Therefore, the current appears to contrast in the most effective form of measuring risky decision-making behaviour. As both tasks aim to assess risky decision-making behaviour from either an Implicit (IGT) or Explicit (GDT) perspective, future research should aim to assessing the difference between using these different measures with different patients. </w:t>
      </w:r>
    </w:p>
    <w:p w14:paraId="18707A38" w14:textId="77777777" w:rsidR="009B6C01" w:rsidRDefault="009B6C01" w:rsidP="009B6C01">
      <w:pPr>
        <w:spacing w:line="480" w:lineRule="auto"/>
        <w:ind w:firstLine="720"/>
        <w:rPr>
          <w:rFonts w:ascii="Times New Roman" w:hAnsi="Times New Roman" w:cs="Times New Roman"/>
          <w:sz w:val="24"/>
          <w:szCs w:val="24"/>
        </w:rPr>
      </w:pPr>
      <w:r w:rsidRPr="00D1141E">
        <w:rPr>
          <w:rFonts w:ascii="Times New Roman" w:hAnsi="Times New Roman" w:cs="Times New Roman"/>
          <w:sz w:val="24"/>
          <w:szCs w:val="24"/>
        </w:rPr>
        <w:t xml:space="preserve">However, one criticism of the GDT is that by using Explicit rules, participants are aware of the risk available, which could be suggested to be a unrealistic form of gambling in contrast to the Iowa Gambling Task, which </w:t>
      </w:r>
      <w:r>
        <w:rPr>
          <w:rFonts w:ascii="Times New Roman" w:hAnsi="Times New Roman" w:cs="Times New Roman"/>
          <w:sz w:val="24"/>
          <w:szCs w:val="24"/>
        </w:rPr>
        <w:t xml:space="preserve">was designed </w:t>
      </w:r>
      <w:r w:rsidRPr="00D1141E">
        <w:rPr>
          <w:rFonts w:ascii="Times New Roman" w:hAnsi="Times New Roman" w:cs="Times New Roman"/>
          <w:sz w:val="24"/>
          <w:szCs w:val="24"/>
        </w:rPr>
        <w:t xml:space="preserve">to have uncertain rewards (Burdick, Roy &amp; Raver, 2013). As a result, participants engaging with the GDT may not have considered the task to be a true form of gambling as they were entirely aware of the risk involved with each decision. The use of this task could be considered a unrealistic representation of gambling as it also does not take into other factors of the gambling experience such as propitiatory rites, immediate betting of the winnings of gambling and </w:t>
      </w:r>
      <w:r w:rsidRPr="00D1141E">
        <w:rPr>
          <w:rFonts w:ascii="Times New Roman" w:hAnsi="Times New Roman" w:cs="Times New Roman"/>
          <w:sz w:val="24"/>
          <w:szCs w:val="24"/>
        </w:rPr>
        <w:lastRenderedPageBreak/>
        <w:t>factors such as continuous gambling in a gambling environment (Donati, Frosini, Izzo &amp; Primi, 2018)</w:t>
      </w:r>
      <w:r>
        <w:rPr>
          <w:rFonts w:ascii="Times New Roman" w:hAnsi="Times New Roman" w:cs="Times New Roman"/>
          <w:sz w:val="24"/>
          <w:szCs w:val="24"/>
        </w:rPr>
        <w:t>.</w:t>
      </w:r>
    </w:p>
    <w:p w14:paraId="2E0D7C41" w14:textId="77777777" w:rsidR="009B6C01" w:rsidRDefault="009B6C01" w:rsidP="009B6C0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One criticism of the SOGS variant used within the study is the scale not taking into account gambling versatility within the scoring of the gambling frequency. </w:t>
      </w:r>
      <w:r w:rsidRPr="00404DDC">
        <w:rPr>
          <w:rFonts w:ascii="Times New Roman" w:hAnsi="Times New Roman" w:cs="Times New Roman"/>
          <w:sz w:val="24"/>
          <w:szCs w:val="24"/>
        </w:rPr>
        <w:t xml:space="preserve">Welte, Barnes, Wieczorek, Tidwell &amp; Parker, </w:t>
      </w:r>
      <w:r>
        <w:rPr>
          <w:rFonts w:ascii="Times New Roman" w:hAnsi="Times New Roman" w:cs="Times New Roman"/>
          <w:sz w:val="24"/>
          <w:szCs w:val="24"/>
        </w:rPr>
        <w:t>(</w:t>
      </w:r>
      <w:r w:rsidRPr="00404DDC">
        <w:rPr>
          <w:rFonts w:ascii="Times New Roman" w:hAnsi="Times New Roman" w:cs="Times New Roman"/>
          <w:sz w:val="24"/>
          <w:szCs w:val="24"/>
        </w:rPr>
        <w:t>2004</w:t>
      </w:r>
      <w:r>
        <w:rPr>
          <w:rFonts w:ascii="Times New Roman" w:hAnsi="Times New Roman" w:cs="Times New Roman"/>
          <w:sz w:val="24"/>
          <w:szCs w:val="24"/>
        </w:rPr>
        <w:t>)</w:t>
      </w:r>
      <w:r w:rsidRPr="00404DDC">
        <w:rPr>
          <w:rFonts w:ascii="Times New Roman" w:hAnsi="Times New Roman" w:cs="Times New Roman"/>
          <w:sz w:val="24"/>
          <w:szCs w:val="24"/>
        </w:rPr>
        <w:t>,</w:t>
      </w:r>
      <w:r>
        <w:rPr>
          <w:rFonts w:ascii="Times New Roman" w:hAnsi="Times New Roman" w:cs="Times New Roman"/>
          <w:sz w:val="24"/>
          <w:szCs w:val="24"/>
        </w:rPr>
        <w:t xml:space="preserve"> identified that one risk factor in gambling pathology was gambling versatility, even when respondents have equal levels of gambling frequency and average turnover winnings (the average amount a person wins or loses during a bet). Gambling versatility can be defined by Welte and colleagues as the number of different types of gambling a person engages with. As the SOGS variant only measured gambling frequency through increments of increasing amounts of engagement with gambling; to further develop the use of the tool within assessing gambling frequency, researchers should seek to develop a standardised scaling of gambling versatility in addition to gambling frequency. This would allow for greater variance in scoring, as it would be expected that high gambling frequency and high gambling versatility would develop into greater gambling disorder, which could be interpreted to greater risk-taking behaviour.</w:t>
      </w:r>
    </w:p>
    <w:p w14:paraId="56648F25" w14:textId="77777777" w:rsidR="009B6C01" w:rsidRPr="00F106B0" w:rsidRDefault="009B6C01" w:rsidP="009B6C01">
      <w:pPr>
        <w:spacing w:line="480" w:lineRule="auto"/>
        <w:ind w:firstLine="720"/>
        <w:rPr>
          <w:rFonts w:ascii="Times New Roman" w:hAnsi="Times New Roman" w:cs="Times New Roman"/>
          <w:sz w:val="24"/>
          <w:szCs w:val="24"/>
        </w:rPr>
      </w:pPr>
      <w:r w:rsidRPr="00F106B0">
        <w:rPr>
          <w:rFonts w:ascii="Times New Roman" w:hAnsi="Times New Roman" w:cs="Times New Roman"/>
          <w:sz w:val="24"/>
          <w:szCs w:val="24"/>
        </w:rPr>
        <w:t xml:space="preserve">Inconsistent with previous research, risk-taking behaviour in the current study has been shown to be more prevalent in adolescents in contrast to adults (Defoe, Dubas, Figner &amp; van Aken, 2015). The current study contrasts </w:t>
      </w:r>
      <w:r>
        <w:rPr>
          <w:rFonts w:ascii="Times New Roman" w:hAnsi="Times New Roman" w:cs="Times New Roman"/>
          <w:sz w:val="24"/>
          <w:szCs w:val="24"/>
        </w:rPr>
        <w:t xml:space="preserve">Defoe’s research, however as the current sample used participants that would have been considered late adolescence in Defoe’s analysis (11-19 years), the current study may not accurately represent a similar sample, which may have skewed the results. In addition, as the current study used a group of participants that defined young age as the intersection between late adolescence and adulthood, and the older age group as mid-adulthood to later adulthood, the current non-significant results recorded within the study could be influenced and skewed by the older age sample. The </w:t>
      </w:r>
      <w:r>
        <w:rPr>
          <w:rFonts w:ascii="Times New Roman" w:hAnsi="Times New Roman" w:cs="Times New Roman"/>
          <w:sz w:val="24"/>
          <w:szCs w:val="24"/>
        </w:rPr>
        <w:lastRenderedPageBreak/>
        <w:t>difference in defining age groups could explain why the current study contradicts past research.</w:t>
      </w:r>
    </w:p>
    <w:p w14:paraId="6AD46DDC" w14:textId="77777777" w:rsidR="009B6C01" w:rsidRDefault="009B6C01" w:rsidP="009B6C01">
      <w:pPr>
        <w:spacing w:line="480" w:lineRule="auto"/>
        <w:ind w:firstLine="720"/>
        <w:rPr>
          <w:rFonts w:ascii="Times New Roman" w:hAnsi="Times New Roman" w:cs="Times New Roman"/>
          <w:sz w:val="24"/>
          <w:szCs w:val="24"/>
        </w:rPr>
      </w:pPr>
      <w:r w:rsidRPr="00404DDC">
        <w:rPr>
          <w:rFonts w:ascii="Times New Roman" w:hAnsi="Times New Roman" w:cs="Times New Roman"/>
          <w:sz w:val="24"/>
          <w:szCs w:val="24"/>
        </w:rPr>
        <w:t xml:space="preserve">There were </w:t>
      </w:r>
      <w:r>
        <w:rPr>
          <w:rFonts w:ascii="Times New Roman" w:hAnsi="Times New Roman" w:cs="Times New Roman"/>
          <w:sz w:val="24"/>
          <w:szCs w:val="24"/>
        </w:rPr>
        <w:t xml:space="preserve">limitations to the current study, one of the criticisms included the limited sample size used to conduct the analysis could have impacted the robustness of the current findings. Future research should seek to expand the sample size for more consistent findings. Furthermore, the current sample consisted of undergraduate students with no predisposed gambling disorders or difficulties in restraining themselves from gambling. By investigating a wider sample of participants that engage more frequently in gambling behaviour, such as those diagnosed with a gambling disorder, or participants with ADHD (who are suggested to be more impulsive than a control group, Seitz et al., 2013), a greater extension of more severe sample groups could be identified to assess the role of impulsivity and gambling frequency more sufficiently. </w:t>
      </w:r>
    </w:p>
    <w:p w14:paraId="72876E94" w14:textId="77777777" w:rsidR="009B6C01"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limitation was the lack of measures used to assess mood behaviour during the procedure of the study to regulate mood influencing factors such as motor impulsivity, (Bolte, Gosche &amp; Kuhl, 2003). Implications for future replication of the study would include a mood-regulation task to standardise participants mood before engagement with the study (Erber &amp; Tesser, 1992), which would allow for motor impulsivity to be measured more explicitly.</w:t>
      </w:r>
    </w:p>
    <w:p w14:paraId="50AA2611" w14:textId="77777777" w:rsidR="009B6C01" w:rsidRDefault="009B6C01" w:rsidP="009B6C01">
      <w:pPr>
        <w:spacing w:line="480" w:lineRule="auto"/>
        <w:ind w:firstLine="720"/>
        <w:rPr>
          <w:rFonts w:ascii="Times New Roman" w:hAnsi="Times New Roman" w:cs="Times New Roman"/>
          <w:sz w:val="24"/>
          <w:szCs w:val="24"/>
        </w:rPr>
      </w:pPr>
      <w:r w:rsidRPr="00404DDC">
        <w:rPr>
          <w:rFonts w:ascii="Times New Roman" w:hAnsi="Times New Roman" w:cs="Times New Roman"/>
          <w:sz w:val="24"/>
          <w:szCs w:val="24"/>
        </w:rPr>
        <w:t>Implications of this research could indicate</w:t>
      </w:r>
      <w:r>
        <w:rPr>
          <w:rFonts w:ascii="Times New Roman" w:hAnsi="Times New Roman" w:cs="Times New Roman"/>
          <w:sz w:val="24"/>
          <w:szCs w:val="24"/>
        </w:rPr>
        <w:t xml:space="preserve"> a re-evaluation of the SOGS variant that was used within the study to incorporate a more internally reliable questionnaire to assess gambling frequency. Assessment of the Chronbach’s alpha indicated that the reliability could be improved to allow for a more robust questionnaire to be applied in clinical circumstances. Furthermore, an implementation of gambling versatility to further scale gambling frequency </w:t>
      </w:r>
      <w:r>
        <w:rPr>
          <w:rFonts w:ascii="Times New Roman" w:hAnsi="Times New Roman" w:cs="Times New Roman"/>
          <w:sz w:val="24"/>
          <w:szCs w:val="24"/>
        </w:rPr>
        <w:lastRenderedPageBreak/>
        <w:t xml:space="preserve">and behaviour should be introduced for a more accurate representation of an individuals gambling behaviour </w:t>
      </w:r>
      <w:r w:rsidRPr="0098561A">
        <w:rPr>
          <w:rFonts w:ascii="Times New Roman" w:hAnsi="Times New Roman" w:cs="Times New Roman"/>
          <w:sz w:val="24"/>
          <w:szCs w:val="24"/>
        </w:rPr>
        <w:t>(Welte, Barnes, Wieczorek, Tidwell &amp; Parker, 2004).</w:t>
      </w:r>
    </w:p>
    <w:p w14:paraId="2A832F39" w14:textId="77777777" w:rsidR="009B6C01"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implication would include a replication of the current study using the Iowa Gambling Task </w:t>
      </w:r>
      <w:r w:rsidRPr="00802467">
        <w:rPr>
          <w:rFonts w:ascii="Times New Roman" w:hAnsi="Times New Roman" w:cs="Times New Roman"/>
          <w:sz w:val="24"/>
          <w:szCs w:val="24"/>
        </w:rPr>
        <w:t>(Busemeyer &amp; Stout, 2002)</w:t>
      </w:r>
      <w:r>
        <w:rPr>
          <w:rFonts w:ascii="Times New Roman" w:hAnsi="Times New Roman" w:cs="Times New Roman"/>
          <w:sz w:val="24"/>
          <w:szCs w:val="24"/>
        </w:rPr>
        <w:t xml:space="preserve">  instead of the Game of Dice task to assess risk-taking behaviour with implicit rules to compare </w:t>
      </w:r>
      <w:r w:rsidRPr="00802467">
        <w:rPr>
          <w:rFonts w:ascii="Times New Roman" w:hAnsi="Times New Roman" w:cs="Times New Roman"/>
          <w:sz w:val="24"/>
          <w:szCs w:val="24"/>
        </w:rPr>
        <w:t>results</w:t>
      </w:r>
      <w:r>
        <w:rPr>
          <w:rFonts w:ascii="Times New Roman" w:hAnsi="Times New Roman" w:cs="Times New Roman"/>
          <w:sz w:val="24"/>
          <w:szCs w:val="24"/>
        </w:rPr>
        <w:t xml:space="preserve"> to investigate whether the predetermined risk (explicit rules of the GDT have a set predetermined risk based on the probability of a dice) influenced the risk severity in participants gambling behaviour.</w:t>
      </w:r>
    </w:p>
    <w:p w14:paraId="05B75768" w14:textId="77777777" w:rsidR="009B6C01" w:rsidRPr="00404DDC" w:rsidRDefault="009B6C01" w:rsidP="009B6C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addition, the current research further supports the implications of sanctions to gambling with low-stakes machines in environments with access to alcohol (Lutri et al., 2018), as people with gambling disorder will be more susceptible to engaging with gambling behaviour while under the effects of alcohol </w:t>
      </w:r>
      <w:r w:rsidRPr="0098561A">
        <w:rPr>
          <w:rFonts w:ascii="Times New Roman" w:hAnsi="Times New Roman" w:cs="Times New Roman"/>
          <w:sz w:val="24"/>
          <w:szCs w:val="24"/>
        </w:rPr>
        <w:t>(Welte, Barnes, Wieczorek, Tidwell &amp; Parker, 2004).</w:t>
      </w:r>
      <w:r>
        <w:rPr>
          <w:rFonts w:ascii="Times New Roman" w:hAnsi="Times New Roman" w:cs="Times New Roman"/>
          <w:sz w:val="24"/>
          <w:szCs w:val="24"/>
        </w:rPr>
        <w:t xml:space="preserve"> By introducing restrictions to alcohol or gambling machines that are readily available in social environments, it could be expected that risky-decision making would decrease which would help people refrain from gambling behaviours.</w:t>
      </w:r>
    </w:p>
    <w:p w14:paraId="65A0DF03" w14:textId="77777777" w:rsidR="009B6C01" w:rsidRDefault="009B6C01" w:rsidP="009B6C01">
      <w:pPr>
        <w:spacing w:line="480" w:lineRule="auto"/>
        <w:ind w:firstLine="720"/>
        <w:rPr>
          <w:rFonts w:ascii="Times New Roman" w:hAnsi="Times New Roman" w:cs="Times New Roman"/>
          <w:sz w:val="24"/>
          <w:szCs w:val="24"/>
        </w:rPr>
      </w:pPr>
      <w:r w:rsidRPr="00404DDC">
        <w:rPr>
          <w:rFonts w:ascii="Times New Roman" w:hAnsi="Times New Roman" w:cs="Times New Roman"/>
          <w:sz w:val="24"/>
          <w:szCs w:val="24"/>
        </w:rPr>
        <w:t>In conclusion</w:t>
      </w:r>
      <w:r>
        <w:rPr>
          <w:rFonts w:ascii="Times New Roman" w:hAnsi="Times New Roman" w:cs="Times New Roman"/>
          <w:sz w:val="24"/>
          <w:szCs w:val="24"/>
        </w:rPr>
        <w:t>, the present study aimed to find that greater scores of impulsivity and greater gambling frequency directly increased risk-taking behaviour in a sample of undergraduate students. There was no significance between these factors which could indicate a rift within the research due to contrasting statements. However, motor impulsivity was shown to be significant in predicting greater levels of risk-taking. Implications for future research include a re-assessment of the current study using implicit rules in the risk-taking task, production of a gambling measure that incorporates gambling frequency and versatility, and further research into examining and defining motor impulsivity.</w:t>
      </w:r>
    </w:p>
    <w:p w14:paraId="3CE7252F" w14:textId="77777777" w:rsidR="00775548" w:rsidRDefault="00775548">
      <w:bookmarkStart w:id="0" w:name="_GoBack"/>
      <w:bookmarkEnd w:id="0"/>
    </w:p>
    <w:sectPr w:rsidR="007755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C01"/>
    <w:rsid w:val="00775548"/>
    <w:rsid w:val="009B6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D2D6F"/>
  <w15:chartTrackingRefBased/>
  <w15:docId w15:val="{752380E3-ECAA-422B-B9FA-8BA06E63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B6C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2013</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1</cp:revision>
  <dcterms:created xsi:type="dcterms:W3CDTF">2020-03-11T12:13:00Z</dcterms:created>
  <dcterms:modified xsi:type="dcterms:W3CDTF">2020-03-11T12:13:00Z</dcterms:modified>
</cp:coreProperties>
</file>