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248FC" w14:textId="77777777" w:rsidR="003F716A" w:rsidRDefault="003F716A" w:rsidP="001D2682">
      <w:pPr>
        <w:spacing w:line="360" w:lineRule="auto"/>
        <w:jc w:val="center"/>
        <w:rPr>
          <w:rFonts w:ascii="Arial" w:hAnsi="Arial" w:cs="Arial"/>
        </w:rPr>
      </w:pPr>
    </w:p>
    <w:p w14:paraId="5DDC73B9" w14:textId="77777777" w:rsidR="003F716A" w:rsidRDefault="003F716A" w:rsidP="001D2682">
      <w:pPr>
        <w:spacing w:line="360" w:lineRule="auto"/>
        <w:jc w:val="center"/>
        <w:rPr>
          <w:rFonts w:ascii="Arial" w:hAnsi="Arial" w:cs="Arial"/>
        </w:rPr>
      </w:pPr>
    </w:p>
    <w:p w14:paraId="3E11563D" w14:textId="77777777" w:rsidR="003F716A" w:rsidRDefault="003F716A" w:rsidP="001D2682">
      <w:pPr>
        <w:spacing w:line="360" w:lineRule="auto"/>
        <w:jc w:val="center"/>
        <w:rPr>
          <w:rFonts w:ascii="Arial" w:hAnsi="Arial" w:cs="Arial"/>
        </w:rPr>
      </w:pPr>
    </w:p>
    <w:p w14:paraId="68B313D7" w14:textId="77777777" w:rsidR="003F716A" w:rsidRDefault="003F716A" w:rsidP="001D2682">
      <w:pPr>
        <w:spacing w:line="360" w:lineRule="auto"/>
        <w:jc w:val="center"/>
        <w:rPr>
          <w:rFonts w:ascii="Arial" w:hAnsi="Arial" w:cs="Arial"/>
        </w:rPr>
      </w:pPr>
    </w:p>
    <w:p w14:paraId="46743703" w14:textId="77777777" w:rsidR="003F716A" w:rsidRDefault="003F716A" w:rsidP="001D2682">
      <w:pPr>
        <w:spacing w:line="360" w:lineRule="auto"/>
        <w:jc w:val="center"/>
        <w:rPr>
          <w:rFonts w:ascii="Arial" w:hAnsi="Arial" w:cs="Arial"/>
        </w:rPr>
      </w:pPr>
    </w:p>
    <w:p w14:paraId="0D2D5DE6" w14:textId="77777777" w:rsidR="003F716A" w:rsidRDefault="003F716A" w:rsidP="001D2682">
      <w:pPr>
        <w:spacing w:line="360" w:lineRule="auto"/>
        <w:jc w:val="center"/>
        <w:rPr>
          <w:rFonts w:ascii="Arial" w:hAnsi="Arial" w:cs="Arial"/>
        </w:rPr>
      </w:pPr>
    </w:p>
    <w:p w14:paraId="34442F4E" w14:textId="77777777" w:rsidR="003F716A" w:rsidRDefault="003F716A" w:rsidP="001D2682">
      <w:pPr>
        <w:spacing w:line="360" w:lineRule="auto"/>
        <w:jc w:val="center"/>
        <w:rPr>
          <w:rFonts w:ascii="Arial" w:hAnsi="Arial" w:cs="Arial"/>
        </w:rPr>
      </w:pPr>
    </w:p>
    <w:p w14:paraId="0642F537" w14:textId="77777777" w:rsidR="003F716A" w:rsidRDefault="003F716A" w:rsidP="001D2682">
      <w:pPr>
        <w:spacing w:line="360" w:lineRule="auto"/>
        <w:jc w:val="center"/>
        <w:rPr>
          <w:rFonts w:ascii="Arial" w:hAnsi="Arial" w:cs="Arial"/>
        </w:rPr>
      </w:pPr>
    </w:p>
    <w:p w14:paraId="34492947" w14:textId="77777777" w:rsidR="003F716A" w:rsidRDefault="003F716A" w:rsidP="001D2682">
      <w:pPr>
        <w:spacing w:line="360" w:lineRule="auto"/>
        <w:jc w:val="center"/>
        <w:rPr>
          <w:rFonts w:ascii="Arial" w:hAnsi="Arial" w:cs="Arial"/>
        </w:rPr>
      </w:pPr>
    </w:p>
    <w:p w14:paraId="14E68A10" w14:textId="77777777" w:rsidR="003F716A" w:rsidRDefault="003F716A" w:rsidP="001D2682">
      <w:pPr>
        <w:spacing w:line="360" w:lineRule="auto"/>
        <w:jc w:val="center"/>
        <w:rPr>
          <w:rFonts w:ascii="Arial" w:hAnsi="Arial" w:cs="Arial"/>
        </w:rPr>
      </w:pPr>
    </w:p>
    <w:p w14:paraId="4347B3DC" w14:textId="77777777" w:rsidR="003F716A" w:rsidRDefault="003F716A" w:rsidP="001D2682">
      <w:pPr>
        <w:spacing w:line="360" w:lineRule="auto"/>
        <w:jc w:val="center"/>
        <w:rPr>
          <w:rFonts w:ascii="Arial" w:hAnsi="Arial" w:cs="Arial"/>
        </w:rPr>
      </w:pPr>
    </w:p>
    <w:p w14:paraId="19416BC1" w14:textId="77777777" w:rsidR="003F716A" w:rsidRDefault="003F716A" w:rsidP="001D2682">
      <w:pPr>
        <w:spacing w:line="360" w:lineRule="auto"/>
        <w:jc w:val="center"/>
        <w:rPr>
          <w:rFonts w:ascii="Arial" w:hAnsi="Arial" w:cs="Arial"/>
        </w:rPr>
      </w:pPr>
    </w:p>
    <w:p w14:paraId="1CB0F319" w14:textId="77777777" w:rsidR="003F716A" w:rsidRDefault="003F716A" w:rsidP="001D2682">
      <w:pPr>
        <w:spacing w:line="360" w:lineRule="auto"/>
        <w:jc w:val="center"/>
        <w:rPr>
          <w:rFonts w:ascii="Arial" w:hAnsi="Arial" w:cs="Arial"/>
        </w:rPr>
      </w:pPr>
    </w:p>
    <w:p w14:paraId="565A57F1" w14:textId="7DCF81BC" w:rsidR="001D2682" w:rsidRPr="00A15956" w:rsidRDefault="001D2682" w:rsidP="001D2682">
      <w:pPr>
        <w:spacing w:line="360" w:lineRule="auto"/>
        <w:jc w:val="center"/>
        <w:rPr>
          <w:rFonts w:ascii="Arial" w:hAnsi="Arial" w:cs="Arial"/>
        </w:rPr>
      </w:pPr>
      <w:r w:rsidRPr="00A15956">
        <w:rPr>
          <w:rFonts w:ascii="Arial" w:hAnsi="Arial" w:cs="Arial"/>
        </w:rPr>
        <w:t>Name: Laura Bardas</w:t>
      </w:r>
    </w:p>
    <w:p w14:paraId="62ECAE90" w14:textId="77777777" w:rsidR="001D2682" w:rsidRPr="00A15956" w:rsidRDefault="001D2682" w:rsidP="001D2682">
      <w:pPr>
        <w:spacing w:line="360" w:lineRule="auto"/>
        <w:jc w:val="center"/>
        <w:rPr>
          <w:rFonts w:ascii="Arial" w:hAnsi="Arial" w:cs="Arial"/>
        </w:rPr>
      </w:pPr>
      <w:r w:rsidRPr="00A15956">
        <w:rPr>
          <w:rFonts w:ascii="Arial" w:hAnsi="Arial" w:cs="Arial"/>
        </w:rPr>
        <w:t>Student number: 2128922</w:t>
      </w:r>
    </w:p>
    <w:p w14:paraId="2CF1A760" w14:textId="76FC8558" w:rsidR="001D2682" w:rsidRPr="00A15956" w:rsidRDefault="001D2682" w:rsidP="001D2682">
      <w:pPr>
        <w:spacing w:line="360" w:lineRule="auto"/>
        <w:jc w:val="center"/>
        <w:rPr>
          <w:rFonts w:ascii="Arial" w:hAnsi="Arial" w:cs="Arial"/>
          <w:lang w:val="ro-RO"/>
        </w:rPr>
      </w:pPr>
      <w:r w:rsidRPr="00A15956">
        <w:rPr>
          <w:rFonts w:ascii="Arial" w:hAnsi="Arial" w:cs="Arial"/>
        </w:rPr>
        <w:t>Module code and title: LCBB</w:t>
      </w:r>
      <w:r w:rsidRPr="00A15956">
        <w:rPr>
          <w:rFonts w:ascii="Arial" w:hAnsi="Arial" w:cs="Arial"/>
          <w:lang w:val="ro-RO"/>
        </w:rPr>
        <w:t>600</w:t>
      </w:r>
      <w:r w:rsidR="003F716A">
        <w:rPr>
          <w:rFonts w:ascii="Arial" w:hAnsi="Arial" w:cs="Arial"/>
          <w:lang w:val="ro-RO"/>
        </w:rPr>
        <w:t>2</w:t>
      </w:r>
      <w:r w:rsidRPr="00A15956">
        <w:rPr>
          <w:rFonts w:ascii="Arial" w:hAnsi="Arial" w:cs="Arial"/>
        </w:rPr>
        <w:t xml:space="preserve"> – </w:t>
      </w:r>
      <w:r w:rsidRPr="00A15956">
        <w:rPr>
          <w:rFonts w:ascii="Arial" w:hAnsi="Arial" w:cs="Arial"/>
          <w:lang w:val="ro-RO"/>
        </w:rPr>
        <w:t xml:space="preserve">International </w:t>
      </w:r>
      <w:r w:rsidR="003F716A">
        <w:rPr>
          <w:rFonts w:ascii="Arial" w:hAnsi="Arial" w:cs="Arial"/>
          <w:lang w:val="ro-RO"/>
        </w:rPr>
        <w:t>Financial Management</w:t>
      </w:r>
    </w:p>
    <w:p w14:paraId="4DAED847" w14:textId="6453E1BF" w:rsidR="001D2682" w:rsidRPr="00A15956" w:rsidRDefault="001D2682" w:rsidP="001D2682">
      <w:pPr>
        <w:spacing w:line="360" w:lineRule="auto"/>
        <w:jc w:val="center"/>
        <w:rPr>
          <w:rFonts w:ascii="Arial" w:hAnsi="Arial" w:cs="Arial"/>
          <w:lang w:val="ro-RO"/>
        </w:rPr>
      </w:pPr>
      <w:r w:rsidRPr="00A15956">
        <w:rPr>
          <w:rFonts w:ascii="Arial" w:hAnsi="Arial" w:cs="Arial"/>
        </w:rPr>
        <w:t xml:space="preserve">Lecturer’s name: Dr </w:t>
      </w:r>
      <w:r w:rsidR="003F716A">
        <w:rPr>
          <w:rFonts w:ascii="Arial" w:hAnsi="Arial" w:cs="Arial"/>
        </w:rPr>
        <w:t>Yousuf Kamal</w:t>
      </w:r>
    </w:p>
    <w:p w14:paraId="47AC03CB" w14:textId="09E9A991" w:rsidR="001D2682" w:rsidRPr="00A15956" w:rsidRDefault="001D2682" w:rsidP="001D2682">
      <w:pPr>
        <w:spacing w:line="360" w:lineRule="auto"/>
        <w:jc w:val="center"/>
        <w:rPr>
          <w:rFonts w:ascii="Arial" w:hAnsi="Arial" w:cs="Arial"/>
          <w:lang w:val="ro-RO"/>
        </w:rPr>
      </w:pPr>
      <w:r w:rsidRPr="00A15956">
        <w:rPr>
          <w:rFonts w:ascii="Arial" w:hAnsi="Arial" w:cs="Arial"/>
        </w:rPr>
        <w:t xml:space="preserve">Assignment title: </w:t>
      </w:r>
      <w:proofErr w:type="spellStart"/>
      <w:r w:rsidR="003F716A">
        <w:rPr>
          <w:rFonts w:ascii="Arial" w:hAnsi="Arial" w:cs="Arial"/>
          <w:lang w:val="ro-RO"/>
        </w:rPr>
        <w:t>Assessment</w:t>
      </w:r>
      <w:proofErr w:type="spellEnd"/>
      <w:r w:rsidR="003F716A">
        <w:rPr>
          <w:rFonts w:ascii="Arial" w:hAnsi="Arial" w:cs="Arial"/>
          <w:lang w:val="ro-RO"/>
        </w:rPr>
        <w:t xml:space="preserve"> 1 report</w:t>
      </w:r>
    </w:p>
    <w:p w14:paraId="68380B62" w14:textId="77777777" w:rsidR="00227B5F" w:rsidRDefault="00227B5F" w:rsidP="00227B5F">
      <w:pPr>
        <w:pStyle w:val="Heading1"/>
      </w:pPr>
    </w:p>
    <w:p w14:paraId="77B1F463" w14:textId="77777777" w:rsidR="00227B5F" w:rsidRDefault="00227B5F" w:rsidP="00227B5F">
      <w:pPr>
        <w:pStyle w:val="Heading1"/>
      </w:pPr>
    </w:p>
    <w:p w14:paraId="58C3D751" w14:textId="77777777" w:rsidR="00227B5F" w:rsidRDefault="00227B5F" w:rsidP="00227B5F"/>
    <w:p w14:paraId="5A0990EF" w14:textId="77777777" w:rsidR="00227B5F" w:rsidRDefault="00227B5F" w:rsidP="00227B5F"/>
    <w:p w14:paraId="66BC9399" w14:textId="77777777" w:rsidR="00227B5F" w:rsidRDefault="00227B5F" w:rsidP="00227B5F"/>
    <w:p w14:paraId="5AF9C054" w14:textId="77777777" w:rsidR="00227B5F" w:rsidRDefault="00227B5F" w:rsidP="00227B5F"/>
    <w:p w14:paraId="4E95B947" w14:textId="77777777" w:rsidR="00227B5F" w:rsidRDefault="00227B5F" w:rsidP="00227B5F"/>
    <w:p w14:paraId="5B1AD510" w14:textId="77777777" w:rsidR="003F716A" w:rsidRDefault="003F716A" w:rsidP="00227B5F"/>
    <w:p w14:paraId="79D404DD" w14:textId="77777777" w:rsidR="003F716A" w:rsidRDefault="003F716A" w:rsidP="00227B5F"/>
    <w:p w14:paraId="7F1887A2" w14:textId="77777777" w:rsidR="003F716A" w:rsidRDefault="003F716A" w:rsidP="00227B5F"/>
    <w:p w14:paraId="20ABC26B" w14:textId="77777777" w:rsidR="003F716A" w:rsidRDefault="003F716A" w:rsidP="00227B5F"/>
    <w:p w14:paraId="6B7C4685" w14:textId="77777777" w:rsidR="003F716A" w:rsidRDefault="003F716A" w:rsidP="00227B5F"/>
    <w:p w14:paraId="34595258" w14:textId="77777777" w:rsidR="003F716A" w:rsidRDefault="003F716A" w:rsidP="00227B5F"/>
    <w:p w14:paraId="0A71A013" w14:textId="77777777" w:rsidR="003F716A" w:rsidRDefault="003F716A" w:rsidP="00227B5F"/>
    <w:p w14:paraId="33CEC332" w14:textId="77777777" w:rsidR="003F716A" w:rsidRDefault="003F716A" w:rsidP="00227B5F"/>
    <w:p w14:paraId="47EB9E3B" w14:textId="77777777" w:rsidR="003F716A" w:rsidRDefault="003F716A" w:rsidP="00227B5F"/>
    <w:p w14:paraId="79EBF2B1" w14:textId="77777777" w:rsidR="003F716A" w:rsidRDefault="003F716A" w:rsidP="00227B5F"/>
    <w:p w14:paraId="4DAD14D1" w14:textId="77777777" w:rsidR="003F716A" w:rsidRDefault="003F716A" w:rsidP="00227B5F"/>
    <w:p w14:paraId="3B73EA87" w14:textId="77777777" w:rsidR="003F716A" w:rsidRDefault="003F716A" w:rsidP="00227B5F"/>
    <w:p w14:paraId="368DF22C" w14:textId="77777777" w:rsidR="003F716A" w:rsidRDefault="003F716A" w:rsidP="00227B5F"/>
    <w:p w14:paraId="010E9720" w14:textId="77777777" w:rsidR="003F716A" w:rsidRDefault="003F716A" w:rsidP="00227B5F"/>
    <w:p w14:paraId="4AD0F928" w14:textId="77777777" w:rsidR="003F716A" w:rsidRDefault="003F716A" w:rsidP="00227B5F"/>
    <w:p w14:paraId="07ABB128" w14:textId="77777777" w:rsidR="003F716A" w:rsidRDefault="003F716A" w:rsidP="00227B5F"/>
    <w:p w14:paraId="0B8B5AC0" w14:textId="77777777" w:rsidR="003F716A" w:rsidRDefault="003F716A" w:rsidP="00227B5F"/>
    <w:p w14:paraId="39375EE6" w14:textId="77777777" w:rsidR="003F716A" w:rsidRDefault="003F716A" w:rsidP="00227B5F"/>
    <w:p w14:paraId="6E094831" w14:textId="77777777" w:rsidR="003F716A" w:rsidRDefault="003F716A" w:rsidP="00227B5F"/>
    <w:p w14:paraId="6BB951B7" w14:textId="77777777" w:rsidR="003F716A" w:rsidRDefault="003F716A" w:rsidP="00227B5F"/>
    <w:p w14:paraId="49F5C54F" w14:textId="77777777" w:rsidR="003F716A" w:rsidRDefault="003F716A" w:rsidP="00227B5F"/>
    <w:p w14:paraId="1C0403EC" w14:textId="77777777" w:rsidR="003F716A" w:rsidRDefault="003F716A" w:rsidP="00227B5F"/>
    <w:p w14:paraId="4FD8F803" w14:textId="77777777" w:rsidR="003F716A" w:rsidRDefault="003F716A" w:rsidP="00227B5F"/>
    <w:p w14:paraId="540CEA1C" w14:textId="77777777" w:rsidR="003F716A" w:rsidRDefault="003F716A" w:rsidP="00227B5F"/>
    <w:p w14:paraId="17423FDD" w14:textId="77777777" w:rsidR="003F716A" w:rsidRDefault="003F716A" w:rsidP="00227B5F"/>
    <w:p w14:paraId="781003D5" w14:textId="77777777" w:rsidR="003F716A" w:rsidRDefault="003F716A" w:rsidP="00227B5F"/>
    <w:p w14:paraId="76797E65" w14:textId="77777777" w:rsidR="003F716A" w:rsidRDefault="003F716A" w:rsidP="00227B5F"/>
    <w:p w14:paraId="581D2AB2" w14:textId="77777777" w:rsidR="003F716A" w:rsidRDefault="003F716A" w:rsidP="00227B5F"/>
    <w:p w14:paraId="6721C22D" w14:textId="77777777" w:rsidR="003F716A" w:rsidRDefault="003F716A" w:rsidP="00227B5F"/>
    <w:p w14:paraId="7E524389" w14:textId="77777777" w:rsidR="003F716A" w:rsidRDefault="003F716A" w:rsidP="00227B5F"/>
    <w:p w14:paraId="57B1459E" w14:textId="77777777" w:rsidR="003F716A" w:rsidRDefault="003F716A" w:rsidP="00227B5F"/>
    <w:p w14:paraId="18A4CC6A" w14:textId="77777777" w:rsidR="003F716A" w:rsidRPr="00227B5F" w:rsidRDefault="003F716A" w:rsidP="00227B5F"/>
    <w:p w14:paraId="7A91DAD1" w14:textId="77777777" w:rsidR="00227B5F" w:rsidRDefault="00227B5F" w:rsidP="00227B5F">
      <w:pPr>
        <w:pStyle w:val="Heading1"/>
      </w:pPr>
    </w:p>
    <w:sdt>
      <w:sdtPr>
        <w:rPr>
          <w:rFonts w:ascii="Times New Roman" w:eastAsia="Times New Roman" w:hAnsi="Times New Roman" w:cs="Times New Roman"/>
          <w:b w:val="0"/>
          <w:bCs w:val="0"/>
          <w:color w:val="auto"/>
          <w:sz w:val="20"/>
          <w:szCs w:val="20"/>
          <w:lang w:val="en-GB" w:eastAsia="en-GB"/>
        </w:rPr>
        <w:id w:val="639776188"/>
        <w:docPartObj>
          <w:docPartGallery w:val="Table of Contents"/>
          <w:docPartUnique/>
        </w:docPartObj>
      </w:sdtPr>
      <w:sdtEndPr>
        <w:rPr>
          <w:noProof/>
        </w:rPr>
      </w:sdtEndPr>
      <w:sdtContent>
        <w:p w14:paraId="0FD59B02" w14:textId="28EFD028" w:rsidR="00227B5F" w:rsidRDefault="00227B5F">
          <w:pPr>
            <w:pStyle w:val="TOCHeading"/>
          </w:pPr>
          <w:r>
            <w:t>Table of Contents</w:t>
          </w:r>
        </w:p>
        <w:p w14:paraId="659185DA" w14:textId="529BCE1A" w:rsidR="00227B5F" w:rsidRDefault="00227B5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8947024" w:history="1">
            <w:r w:rsidRPr="00115C78">
              <w:rPr>
                <w:rStyle w:val="Hyperlink"/>
                <w:noProof/>
              </w:rPr>
              <w:t>Introduction</w:t>
            </w:r>
            <w:r>
              <w:rPr>
                <w:noProof/>
                <w:webHidden/>
              </w:rPr>
              <w:tab/>
            </w:r>
            <w:r>
              <w:rPr>
                <w:noProof/>
                <w:webHidden/>
              </w:rPr>
              <w:fldChar w:fldCharType="begin"/>
            </w:r>
            <w:r>
              <w:rPr>
                <w:noProof/>
                <w:webHidden/>
              </w:rPr>
              <w:instrText xml:space="preserve"> PAGEREF _Toc168947024 \h </w:instrText>
            </w:r>
            <w:r>
              <w:rPr>
                <w:noProof/>
                <w:webHidden/>
              </w:rPr>
            </w:r>
            <w:r>
              <w:rPr>
                <w:noProof/>
                <w:webHidden/>
              </w:rPr>
              <w:fldChar w:fldCharType="separate"/>
            </w:r>
            <w:r w:rsidR="00131676">
              <w:rPr>
                <w:noProof/>
                <w:webHidden/>
              </w:rPr>
              <w:t>3</w:t>
            </w:r>
            <w:r>
              <w:rPr>
                <w:noProof/>
                <w:webHidden/>
              </w:rPr>
              <w:fldChar w:fldCharType="end"/>
            </w:r>
          </w:hyperlink>
        </w:p>
        <w:p w14:paraId="1AC8F236" w14:textId="3A659348" w:rsidR="00227B5F" w:rsidRDefault="00000000">
          <w:pPr>
            <w:pStyle w:val="TOC1"/>
            <w:tabs>
              <w:tab w:val="right" w:leader="dot" w:pos="9016"/>
            </w:tabs>
            <w:rPr>
              <w:noProof/>
            </w:rPr>
          </w:pPr>
          <w:hyperlink w:anchor="_Toc168947025" w:history="1">
            <w:r w:rsidR="00227B5F" w:rsidRPr="00115C78">
              <w:rPr>
                <w:rStyle w:val="Hyperlink"/>
                <w:noProof/>
              </w:rPr>
              <w:t>Corporate Governance Metrics</w:t>
            </w:r>
            <w:r w:rsidR="00227B5F">
              <w:rPr>
                <w:noProof/>
                <w:webHidden/>
              </w:rPr>
              <w:tab/>
            </w:r>
            <w:r w:rsidR="00227B5F">
              <w:rPr>
                <w:noProof/>
                <w:webHidden/>
              </w:rPr>
              <w:fldChar w:fldCharType="begin"/>
            </w:r>
            <w:r w:rsidR="00227B5F">
              <w:rPr>
                <w:noProof/>
                <w:webHidden/>
              </w:rPr>
              <w:instrText xml:space="preserve"> PAGEREF _Toc168947025 \h </w:instrText>
            </w:r>
            <w:r w:rsidR="00227B5F">
              <w:rPr>
                <w:noProof/>
                <w:webHidden/>
              </w:rPr>
            </w:r>
            <w:r w:rsidR="00227B5F">
              <w:rPr>
                <w:noProof/>
                <w:webHidden/>
              </w:rPr>
              <w:fldChar w:fldCharType="separate"/>
            </w:r>
            <w:r w:rsidR="00131676">
              <w:rPr>
                <w:noProof/>
                <w:webHidden/>
              </w:rPr>
              <w:t>3</w:t>
            </w:r>
            <w:r w:rsidR="00227B5F">
              <w:rPr>
                <w:noProof/>
                <w:webHidden/>
              </w:rPr>
              <w:fldChar w:fldCharType="end"/>
            </w:r>
          </w:hyperlink>
        </w:p>
        <w:p w14:paraId="2A00B851" w14:textId="09011592" w:rsidR="00227B5F" w:rsidRDefault="00000000">
          <w:pPr>
            <w:pStyle w:val="TOC1"/>
            <w:tabs>
              <w:tab w:val="right" w:leader="dot" w:pos="9016"/>
            </w:tabs>
            <w:rPr>
              <w:noProof/>
            </w:rPr>
          </w:pPr>
          <w:hyperlink w:anchor="_Toc168947026" w:history="1">
            <w:r w:rsidR="00227B5F" w:rsidRPr="00115C78">
              <w:rPr>
                <w:rStyle w:val="Hyperlink"/>
                <w:noProof/>
              </w:rPr>
              <w:t>Corporate Social Responsibility (CSR) Metrics</w:t>
            </w:r>
            <w:r w:rsidR="00227B5F">
              <w:rPr>
                <w:noProof/>
                <w:webHidden/>
              </w:rPr>
              <w:tab/>
            </w:r>
            <w:r w:rsidR="00227B5F">
              <w:rPr>
                <w:noProof/>
                <w:webHidden/>
              </w:rPr>
              <w:fldChar w:fldCharType="begin"/>
            </w:r>
            <w:r w:rsidR="00227B5F">
              <w:rPr>
                <w:noProof/>
                <w:webHidden/>
              </w:rPr>
              <w:instrText xml:space="preserve"> PAGEREF _Toc168947026 \h </w:instrText>
            </w:r>
            <w:r w:rsidR="00227B5F">
              <w:rPr>
                <w:noProof/>
                <w:webHidden/>
              </w:rPr>
            </w:r>
            <w:r w:rsidR="00227B5F">
              <w:rPr>
                <w:noProof/>
                <w:webHidden/>
              </w:rPr>
              <w:fldChar w:fldCharType="separate"/>
            </w:r>
            <w:r w:rsidR="00131676">
              <w:rPr>
                <w:noProof/>
                <w:webHidden/>
              </w:rPr>
              <w:t>4</w:t>
            </w:r>
            <w:r w:rsidR="00227B5F">
              <w:rPr>
                <w:noProof/>
                <w:webHidden/>
              </w:rPr>
              <w:fldChar w:fldCharType="end"/>
            </w:r>
          </w:hyperlink>
        </w:p>
        <w:p w14:paraId="78ABC5D4" w14:textId="46285CB1" w:rsidR="00227B5F" w:rsidRDefault="00000000">
          <w:pPr>
            <w:pStyle w:val="TOC1"/>
            <w:tabs>
              <w:tab w:val="right" w:leader="dot" w:pos="9016"/>
            </w:tabs>
            <w:rPr>
              <w:noProof/>
            </w:rPr>
          </w:pPr>
          <w:hyperlink w:anchor="_Toc168947027" w:history="1">
            <w:r w:rsidR="00227B5F" w:rsidRPr="00115C78">
              <w:rPr>
                <w:rStyle w:val="Hyperlink"/>
                <w:noProof/>
              </w:rPr>
              <w:t>Empirical Analysis: Impact on Firm Performance</w:t>
            </w:r>
            <w:r w:rsidR="00227B5F">
              <w:rPr>
                <w:noProof/>
                <w:webHidden/>
              </w:rPr>
              <w:tab/>
            </w:r>
            <w:r w:rsidR="00227B5F">
              <w:rPr>
                <w:noProof/>
                <w:webHidden/>
              </w:rPr>
              <w:fldChar w:fldCharType="begin"/>
            </w:r>
            <w:r w:rsidR="00227B5F">
              <w:rPr>
                <w:noProof/>
                <w:webHidden/>
              </w:rPr>
              <w:instrText xml:space="preserve"> PAGEREF _Toc168947027 \h </w:instrText>
            </w:r>
            <w:r w:rsidR="00227B5F">
              <w:rPr>
                <w:noProof/>
                <w:webHidden/>
              </w:rPr>
            </w:r>
            <w:r w:rsidR="00227B5F">
              <w:rPr>
                <w:noProof/>
                <w:webHidden/>
              </w:rPr>
              <w:fldChar w:fldCharType="separate"/>
            </w:r>
            <w:r w:rsidR="00131676">
              <w:rPr>
                <w:noProof/>
                <w:webHidden/>
              </w:rPr>
              <w:t>5</w:t>
            </w:r>
            <w:r w:rsidR="00227B5F">
              <w:rPr>
                <w:noProof/>
                <w:webHidden/>
              </w:rPr>
              <w:fldChar w:fldCharType="end"/>
            </w:r>
          </w:hyperlink>
        </w:p>
        <w:p w14:paraId="70D13E03" w14:textId="44554402" w:rsidR="00227B5F" w:rsidRDefault="00000000">
          <w:pPr>
            <w:pStyle w:val="TOC1"/>
            <w:tabs>
              <w:tab w:val="right" w:leader="dot" w:pos="9016"/>
            </w:tabs>
            <w:rPr>
              <w:noProof/>
            </w:rPr>
          </w:pPr>
          <w:hyperlink w:anchor="_Toc168947028" w:history="1">
            <w:r w:rsidR="00227B5F" w:rsidRPr="00115C78">
              <w:rPr>
                <w:rStyle w:val="Hyperlink"/>
                <w:noProof/>
              </w:rPr>
              <w:t>Case Studies and Comparative Analysis</w:t>
            </w:r>
            <w:r w:rsidR="00227B5F">
              <w:rPr>
                <w:noProof/>
                <w:webHidden/>
              </w:rPr>
              <w:tab/>
            </w:r>
            <w:r w:rsidR="00227B5F">
              <w:rPr>
                <w:noProof/>
                <w:webHidden/>
              </w:rPr>
              <w:fldChar w:fldCharType="begin"/>
            </w:r>
            <w:r w:rsidR="00227B5F">
              <w:rPr>
                <w:noProof/>
                <w:webHidden/>
              </w:rPr>
              <w:instrText xml:space="preserve"> PAGEREF _Toc168947028 \h </w:instrText>
            </w:r>
            <w:r w:rsidR="00227B5F">
              <w:rPr>
                <w:noProof/>
                <w:webHidden/>
              </w:rPr>
            </w:r>
            <w:r w:rsidR="00227B5F">
              <w:rPr>
                <w:noProof/>
                <w:webHidden/>
              </w:rPr>
              <w:fldChar w:fldCharType="separate"/>
            </w:r>
            <w:r w:rsidR="00131676">
              <w:rPr>
                <w:noProof/>
                <w:webHidden/>
              </w:rPr>
              <w:t>6</w:t>
            </w:r>
            <w:r w:rsidR="00227B5F">
              <w:rPr>
                <w:noProof/>
                <w:webHidden/>
              </w:rPr>
              <w:fldChar w:fldCharType="end"/>
            </w:r>
          </w:hyperlink>
        </w:p>
        <w:p w14:paraId="2644FDCA" w14:textId="3DE21F20" w:rsidR="00227B5F" w:rsidRDefault="00000000">
          <w:pPr>
            <w:pStyle w:val="TOC1"/>
            <w:tabs>
              <w:tab w:val="right" w:leader="dot" w:pos="9016"/>
            </w:tabs>
            <w:rPr>
              <w:noProof/>
            </w:rPr>
          </w:pPr>
          <w:hyperlink w:anchor="_Toc168947029" w:history="1">
            <w:r w:rsidR="00227B5F" w:rsidRPr="00115C78">
              <w:rPr>
                <w:rStyle w:val="Hyperlink"/>
                <w:noProof/>
              </w:rPr>
              <w:t>Challenges and Limitations</w:t>
            </w:r>
            <w:r w:rsidR="00227B5F">
              <w:rPr>
                <w:noProof/>
                <w:webHidden/>
              </w:rPr>
              <w:tab/>
            </w:r>
            <w:r w:rsidR="00227B5F">
              <w:rPr>
                <w:noProof/>
                <w:webHidden/>
              </w:rPr>
              <w:fldChar w:fldCharType="begin"/>
            </w:r>
            <w:r w:rsidR="00227B5F">
              <w:rPr>
                <w:noProof/>
                <w:webHidden/>
              </w:rPr>
              <w:instrText xml:space="preserve"> PAGEREF _Toc168947029 \h </w:instrText>
            </w:r>
            <w:r w:rsidR="00227B5F">
              <w:rPr>
                <w:noProof/>
                <w:webHidden/>
              </w:rPr>
            </w:r>
            <w:r w:rsidR="00227B5F">
              <w:rPr>
                <w:noProof/>
                <w:webHidden/>
              </w:rPr>
              <w:fldChar w:fldCharType="separate"/>
            </w:r>
            <w:r w:rsidR="00131676">
              <w:rPr>
                <w:noProof/>
                <w:webHidden/>
              </w:rPr>
              <w:t>7</w:t>
            </w:r>
            <w:r w:rsidR="00227B5F">
              <w:rPr>
                <w:noProof/>
                <w:webHidden/>
              </w:rPr>
              <w:fldChar w:fldCharType="end"/>
            </w:r>
          </w:hyperlink>
        </w:p>
        <w:p w14:paraId="3FC8FC3C" w14:textId="5E7024C3" w:rsidR="00227B5F" w:rsidRDefault="00000000">
          <w:pPr>
            <w:pStyle w:val="TOC1"/>
            <w:tabs>
              <w:tab w:val="right" w:leader="dot" w:pos="9016"/>
            </w:tabs>
            <w:rPr>
              <w:noProof/>
            </w:rPr>
          </w:pPr>
          <w:hyperlink w:anchor="_Toc168947030" w:history="1">
            <w:r w:rsidR="00227B5F" w:rsidRPr="00115C78">
              <w:rPr>
                <w:rStyle w:val="Hyperlink"/>
                <w:noProof/>
              </w:rPr>
              <w:t>Conclusion</w:t>
            </w:r>
            <w:r w:rsidR="00227B5F">
              <w:rPr>
                <w:noProof/>
                <w:webHidden/>
              </w:rPr>
              <w:tab/>
            </w:r>
            <w:r w:rsidR="00227B5F">
              <w:rPr>
                <w:noProof/>
                <w:webHidden/>
              </w:rPr>
              <w:fldChar w:fldCharType="begin"/>
            </w:r>
            <w:r w:rsidR="00227B5F">
              <w:rPr>
                <w:noProof/>
                <w:webHidden/>
              </w:rPr>
              <w:instrText xml:space="preserve"> PAGEREF _Toc168947030 \h </w:instrText>
            </w:r>
            <w:r w:rsidR="00227B5F">
              <w:rPr>
                <w:noProof/>
                <w:webHidden/>
              </w:rPr>
            </w:r>
            <w:r w:rsidR="00227B5F">
              <w:rPr>
                <w:noProof/>
                <w:webHidden/>
              </w:rPr>
              <w:fldChar w:fldCharType="separate"/>
            </w:r>
            <w:r w:rsidR="00131676">
              <w:rPr>
                <w:noProof/>
                <w:webHidden/>
              </w:rPr>
              <w:t>8</w:t>
            </w:r>
            <w:r w:rsidR="00227B5F">
              <w:rPr>
                <w:noProof/>
                <w:webHidden/>
              </w:rPr>
              <w:fldChar w:fldCharType="end"/>
            </w:r>
          </w:hyperlink>
        </w:p>
        <w:p w14:paraId="1C815913" w14:textId="45E1D8C7" w:rsidR="00227B5F" w:rsidRDefault="00000000">
          <w:pPr>
            <w:pStyle w:val="TOC1"/>
            <w:tabs>
              <w:tab w:val="right" w:leader="dot" w:pos="9016"/>
            </w:tabs>
            <w:rPr>
              <w:noProof/>
            </w:rPr>
          </w:pPr>
          <w:hyperlink w:anchor="_Toc168947031" w:history="1">
            <w:r w:rsidR="00227B5F" w:rsidRPr="00115C78">
              <w:rPr>
                <w:rStyle w:val="Hyperlink"/>
                <w:noProof/>
              </w:rPr>
              <w:t>References</w:t>
            </w:r>
            <w:r w:rsidR="00227B5F">
              <w:rPr>
                <w:noProof/>
                <w:webHidden/>
              </w:rPr>
              <w:tab/>
            </w:r>
            <w:r w:rsidR="00227B5F">
              <w:rPr>
                <w:noProof/>
                <w:webHidden/>
              </w:rPr>
              <w:fldChar w:fldCharType="begin"/>
            </w:r>
            <w:r w:rsidR="00227B5F">
              <w:rPr>
                <w:noProof/>
                <w:webHidden/>
              </w:rPr>
              <w:instrText xml:space="preserve"> PAGEREF _Toc168947031 \h </w:instrText>
            </w:r>
            <w:r w:rsidR="00227B5F">
              <w:rPr>
                <w:noProof/>
                <w:webHidden/>
              </w:rPr>
            </w:r>
            <w:r w:rsidR="00227B5F">
              <w:rPr>
                <w:noProof/>
                <w:webHidden/>
              </w:rPr>
              <w:fldChar w:fldCharType="separate"/>
            </w:r>
            <w:r w:rsidR="00131676">
              <w:rPr>
                <w:noProof/>
                <w:webHidden/>
              </w:rPr>
              <w:t>9</w:t>
            </w:r>
            <w:r w:rsidR="00227B5F">
              <w:rPr>
                <w:noProof/>
                <w:webHidden/>
              </w:rPr>
              <w:fldChar w:fldCharType="end"/>
            </w:r>
          </w:hyperlink>
        </w:p>
        <w:p w14:paraId="10A84BE9" w14:textId="4527F506" w:rsidR="00227B5F" w:rsidRDefault="00227B5F">
          <w:r>
            <w:rPr>
              <w:b/>
              <w:bCs/>
              <w:noProof/>
            </w:rPr>
            <w:fldChar w:fldCharType="end"/>
          </w:r>
        </w:p>
      </w:sdtContent>
    </w:sdt>
    <w:p w14:paraId="1B558B2A" w14:textId="77777777" w:rsidR="00227B5F" w:rsidRDefault="00227B5F" w:rsidP="00227B5F">
      <w:pPr>
        <w:pStyle w:val="Heading1"/>
      </w:pPr>
    </w:p>
    <w:p w14:paraId="166F7CC1" w14:textId="77777777" w:rsidR="00227B5F" w:rsidRDefault="00227B5F" w:rsidP="00227B5F">
      <w:pPr>
        <w:pStyle w:val="Heading1"/>
      </w:pPr>
    </w:p>
    <w:p w14:paraId="32C38982" w14:textId="77777777" w:rsidR="00227B5F" w:rsidRDefault="00227B5F" w:rsidP="00227B5F"/>
    <w:p w14:paraId="2FE15DD1" w14:textId="77777777" w:rsidR="00227B5F" w:rsidRDefault="00227B5F" w:rsidP="00227B5F"/>
    <w:p w14:paraId="519558D9" w14:textId="77777777" w:rsidR="00227B5F" w:rsidRDefault="00227B5F" w:rsidP="00227B5F"/>
    <w:p w14:paraId="0801840B" w14:textId="77777777" w:rsidR="00227B5F" w:rsidRDefault="00227B5F" w:rsidP="00227B5F"/>
    <w:p w14:paraId="2A01C025" w14:textId="77777777" w:rsidR="00227B5F" w:rsidRDefault="00227B5F" w:rsidP="00227B5F"/>
    <w:p w14:paraId="5E9DE28F" w14:textId="77777777" w:rsidR="00227B5F" w:rsidRDefault="00227B5F" w:rsidP="00227B5F"/>
    <w:p w14:paraId="14C2F89F" w14:textId="77777777" w:rsidR="00227B5F" w:rsidRDefault="00227B5F" w:rsidP="00227B5F"/>
    <w:p w14:paraId="37F2685D" w14:textId="77777777" w:rsidR="00227B5F" w:rsidRDefault="00227B5F" w:rsidP="00227B5F"/>
    <w:p w14:paraId="531E85F4" w14:textId="77777777" w:rsidR="00227B5F" w:rsidRDefault="00227B5F" w:rsidP="00227B5F"/>
    <w:p w14:paraId="603AEDAF" w14:textId="77777777" w:rsidR="00227B5F" w:rsidRDefault="00227B5F" w:rsidP="00227B5F"/>
    <w:p w14:paraId="114BFDF8" w14:textId="77777777" w:rsidR="00227B5F" w:rsidRDefault="00227B5F" w:rsidP="00227B5F"/>
    <w:p w14:paraId="736BC189" w14:textId="77777777" w:rsidR="00227B5F" w:rsidRDefault="00227B5F" w:rsidP="00227B5F"/>
    <w:p w14:paraId="034E2F48" w14:textId="77777777" w:rsidR="00227B5F" w:rsidRDefault="00227B5F" w:rsidP="00227B5F"/>
    <w:p w14:paraId="49FB7DE6" w14:textId="77777777" w:rsidR="00227B5F" w:rsidRDefault="00227B5F" w:rsidP="00227B5F"/>
    <w:p w14:paraId="45AA2595" w14:textId="77777777" w:rsidR="00227B5F" w:rsidRDefault="00227B5F" w:rsidP="00227B5F"/>
    <w:p w14:paraId="21219B50" w14:textId="77777777" w:rsidR="00227B5F" w:rsidRDefault="00227B5F" w:rsidP="00227B5F"/>
    <w:p w14:paraId="68B3F5E7" w14:textId="77777777" w:rsidR="00227B5F" w:rsidRDefault="00227B5F" w:rsidP="00227B5F"/>
    <w:p w14:paraId="25D454D0" w14:textId="77777777" w:rsidR="00227B5F" w:rsidRDefault="00227B5F" w:rsidP="00227B5F"/>
    <w:p w14:paraId="38664219" w14:textId="77777777" w:rsidR="00227B5F" w:rsidRDefault="00227B5F" w:rsidP="00227B5F"/>
    <w:p w14:paraId="69964F05" w14:textId="77777777" w:rsidR="003F716A" w:rsidRDefault="003F716A" w:rsidP="00227B5F"/>
    <w:p w14:paraId="47B89173" w14:textId="77777777" w:rsidR="003F716A" w:rsidRPr="00227B5F" w:rsidRDefault="003F716A" w:rsidP="00227B5F"/>
    <w:p w14:paraId="49C8C054" w14:textId="3BC883A7" w:rsidR="00513803" w:rsidRPr="00227B5F" w:rsidRDefault="00813771" w:rsidP="00227B5F">
      <w:pPr>
        <w:pStyle w:val="Heading1"/>
      </w:pPr>
      <w:bookmarkStart w:id="0" w:name="_Toc168947024"/>
      <w:r w:rsidRPr="00227B5F">
        <w:lastRenderedPageBreak/>
        <w:t>Introduction</w:t>
      </w:r>
      <w:bookmarkEnd w:id="0"/>
      <w:r w:rsidR="00D8078E" w:rsidRPr="00227B5F">
        <w:t xml:space="preserve"> </w:t>
      </w:r>
    </w:p>
    <w:p w14:paraId="687AEB77" w14:textId="77777777" w:rsidR="00227B5F" w:rsidRPr="00227B5F" w:rsidRDefault="00227B5F" w:rsidP="00227B5F">
      <w:pPr>
        <w:spacing w:line="360" w:lineRule="auto"/>
        <w:rPr>
          <w:rFonts w:ascii="Arial" w:hAnsi="Arial" w:cs="Arial"/>
          <w:sz w:val="24"/>
          <w:szCs w:val="24"/>
        </w:rPr>
      </w:pPr>
    </w:p>
    <w:p w14:paraId="26CA8D5C" w14:textId="093777A1"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The significance of corporate governance (CG) and corporate social responsibility (CSR) has grown in contemporary business practices, particularly in the financial sector. This report examines the impact of CG and CSR on the performance of Barclays UK, a leading financial institution. Corporate governance involves a set of principles and systems by which companies are directed and controlled, focusing on board structure, executive compensation, shareholder rights, and transparency (Cadbury, 1992). Meanwhile, CSR encompasses a company’s </w:t>
      </w:r>
      <w:r w:rsidR="003641EE">
        <w:rPr>
          <w:rFonts w:ascii="Arial" w:hAnsi="Arial" w:cs="Arial"/>
          <w:sz w:val="24"/>
          <w:szCs w:val="24"/>
        </w:rPr>
        <w:t>dedication</w:t>
      </w:r>
      <w:r w:rsidRPr="00227B5F">
        <w:rPr>
          <w:rFonts w:ascii="Arial" w:hAnsi="Arial" w:cs="Arial"/>
          <w:sz w:val="24"/>
          <w:szCs w:val="24"/>
        </w:rPr>
        <w:t xml:space="preserve"> to managing the social, environmental, and economic effects of its operations </w:t>
      </w:r>
      <w:r w:rsidR="003641EE">
        <w:rPr>
          <w:rFonts w:ascii="Arial" w:hAnsi="Arial" w:cs="Arial"/>
          <w:sz w:val="24"/>
          <w:szCs w:val="24"/>
        </w:rPr>
        <w:t>in a responsible way</w:t>
      </w:r>
      <w:r w:rsidRPr="00227B5F">
        <w:rPr>
          <w:rFonts w:ascii="Arial" w:hAnsi="Arial" w:cs="Arial"/>
          <w:sz w:val="24"/>
          <w:szCs w:val="24"/>
        </w:rPr>
        <w:t xml:space="preserve"> and in line with </w:t>
      </w:r>
      <w:r w:rsidR="003641EE">
        <w:rPr>
          <w:rFonts w:ascii="Arial" w:hAnsi="Arial" w:cs="Arial"/>
          <w:sz w:val="24"/>
          <w:szCs w:val="24"/>
        </w:rPr>
        <w:t xml:space="preserve">the </w:t>
      </w:r>
      <w:r w:rsidRPr="00227B5F">
        <w:rPr>
          <w:rFonts w:ascii="Arial" w:hAnsi="Arial" w:cs="Arial"/>
          <w:sz w:val="24"/>
          <w:szCs w:val="24"/>
        </w:rPr>
        <w:t>public expectations (Carroll, 1999).</w:t>
      </w:r>
    </w:p>
    <w:p w14:paraId="439DD0CC" w14:textId="4AD003C9" w:rsidR="00513803" w:rsidRPr="00227B5F" w:rsidRDefault="00513803" w:rsidP="003641EE">
      <w:pPr>
        <w:spacing w:line="360" w:lineRule="auto"/>
        <w:ind w:firstLine="720"/>
        <w:rPr>
          <w:rFonts w:ascii="Arial" w:hAnsi="Arial" w:cs="Arial"/>
          <w:sz w:val="24"/>
          <w:szCs w:val="24"/>
        </w:rPr>
      </w:pPr>
      <w:r w:rsidRPr="00227B5F">
        <w:rPr>
          <w:rFonts w:ascii="Arial" w:hAnsi="Arial" w:cs="Arial"/>
          <w:sz w:val="24"/>
          <w:szCs w:val="24"/>
        </w:rPr>
        <w:t xml:space="preserve">The relationship between CG, CSR, and firm performance has been extensively studied, with findings suggesting that robust governance and responsible social practices can enhance a firm’s financial performance, reputation, and sustainability (Bhagat </w:t>
      </w:r>
      <w:r w:rsidR="003F716A">
        <w:rPr>
          <w:rFonts w:ascii="Arial" w:hAnsi="Arial" w:cs="Arial"/>
          <w:sz w:val="24"/>
          <w:szCs w:val="24"/>
        </w:rPr>
        <w:t>and</w:t>
      </w:r>
      <w:r w:rsidRPr="00227B5F">
        <w:rPr>
          <w:rFonts w:ascii="Arial" w:hAnsi="Arial" w:cs="Arial"/>
          <w:sz w:val="24"/>
          <w:szCs w:val="24"/>
        </w:rPr>
        <w:t xml:space="preserve"> Bolton, 2008; </w:t>
      </w:r>
      <w:proofErr w:type="spellStart"/>
      <w:r w:rsidRPr="00227B5F">
        <w:rPr>
          <w:rFonts w:ascii="Arial" w:hAnsi="Arial" w:cs="Arial"/>
          <w:sz w:val="24"/>
          <w:szCs w:val="24"/>
        </w:rPr>
        <w:t>Orlitzky</w:t>
      </w:r>
      <w:proofErr w:type="spellEnd"/>
      <w:r w:rsidRPr="00227B5F">
        <w:rPr>
          <w:rFonts w:ascii="Arial" w:hAnsi="Arial" w:cs="Arial"/>
          <w:sz w:val="24"/>
          <w:szCs w:val="24"/>
        </w:rPr>
        <w:t xml:space="preserve">, Schmidt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Rynes</w:t>
      </w:r>
      <w:proofErr w:type="spellEnd"/>
      <w:r w:rsidRPr="00227B5F">
        <w:rPr>
          <w:rFonts w:ascii="Arial" w:hAnsi="Arial" w:cs="Arial"/>
          <w:sz w:val="24"/>
          <w:szCs w:val="24"/>
        </w:rPr>
        <w:t xml:space="preserve">, 2003). For Barclays UK, understanding and leveraging these aspects can not only ensure compliance with regulatory requirements but also create value for shareholders and other stakeholders. This report aims to identify key CG and CSR metrics for Barclays UK and </w:t>
      </w:r>
      <w:r w:rsidR="00227B5F" w:rsidRPr="00227B5F">
        <w:rPr>
          <w:rFonts w:ascii="Arial" w:hAnsi="Arial" w:cs="Arial"/>
          <w:sz w:val="24"/>
          <w:szCs w:val="24"/>
        </w:rPr>
        <w:t>analyse</w:t>
      </w:r>
      <w:r w:rsidRPr="00227B5F">
        <w:rPr>
          <w:rFonts w:ascii="Arial" w:hAnsi="Arial" w:cs="Arial"/>
          <w:sz w:val="24"/>
          <w:szCs w:val="24"/>
        </w:rPr>
        <w:t xml:space="preserve"> their impact on the firm’s performance through empirical data, offering insights and recommendations for strategic improvements.</w:t>
      </w:r>
    </w:p>
    <w:p w14:paraId="1DC46255" w14:textId="77777777" w:rsidR="00513803" w:rsidRPr="00813771" w:rsidRDefault="00513803" w:rsidP="00227B5F">
      <w:pPr>
        <w:spacing w:line="360" w:lineRule="auto"/>
        <w:rPr>
          <w:rFonts w:ascii="Arial" w:hAnsi="Arial" w:cs="Arial"/>
          <w:sz w:val="24"/>
          <w:szCs w:val="24"/>
        </w:rPr>
      </w:pPr>
    </w:p>
    <w:p w14:paraId="666A18BD" w14:textId="1880E996" w:rsidR="00813771" w:rsidRPr="00227B5F" w:rsidRDefault="00813771" w:rsidP="00227B5F">
      <w:pPr>
        <w:pStyle w:val="Heading1"/>
      </w:pPr>
      <w:bookmarkStart w:id="1" w:name="_Toc168947025"/>
      <w:r w:rsidRPr="00813771">
        <w:t>Corporate Governance Metrics</w:t>
      </w:r>
      <w:bookmarkEnd w:id="1"/>
    </w:p>
    <w:p w14:paraId="3AC83968" w14:textId="77777777" w:rsidR="00513803" w:rsidRPr="00227B5F" w:rsidRDefault="00513803" w:rsidP="00227B5F">
      <w:pPr>
        <w:spacing w:line="360" w:lineRule="auto"/>
        <w:rPr>
          <w:rFonts w:ascii="Arial" w:hAnsi="Arial" w:cs="Arial"/>
          <w:sz w:val="24"/>
          <w:szCs w:val="24"/>
        </w:rPr>
      </w:pPr>
    </w:p>
    <w:p w14:paraId="7089167D" w14:textId="5A9D79AA"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Corporate governance metrics are essential indicators that reflect the efficacy of a company's governance framework. For Barclays UK, these metrics encompass several key dimensions. First, the board structure is crucial, including the composition, diversity, independence, size, and expertise of the board members. A well-structured board can enhance strategic oversight and decision-making processes (Bhagat </w:t>
      </w:r>
      <w:r w:rsidR="003F716A">
        <w:rPr>
          <w:rFonts w:ascii="Arial" w:hAnsi="Arial" w:cs="Arial"/>
          <w:sz w:val="24"/>
          <w:szCs w:val="24"/>
        </w:rPr>
        <w:t xml:space="preserve">and </w:t>
      </w:r>
      <w:r w:rsidRPr="00227B5F">
        <w:rPr>
          <w:rFonts w:ascii="Arial" w:hAnsi="Arial" w:cs="Arial"/>
          <w:sz w:val="24"/>
          <w:szCs w:val="24"/>
        </w:rPr>
        <w:t>Bolton, 2008).</w:t>
      </w:r>
    </w:p>
    <w:p w14:paraId="5630A95A" w14:textId="3B8794AC"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Second, executive compensation plays a significant role in aligning the interests of management with those of shareholders. This includes the design of pay </w:t>
      </w:r>
      <w:r w:rsidRPr="00227B5F">
        <w:rPr>
          <w:rFonts w:ascii="Arial" w:hAnsi="Arial" w:cs="Arial"/>
          <w:sz w:val="24"/>
          <w:szCs w:val="24"/>
        </w:rPr>
        <w:lastRenderedPageBreak/>
        <w:t xml:space="preserve">structures, incentive schemes, and performance-based bonuses, which are intended to motivate executives to achieve long-term goals (Jensen </w:t>
      </w:r>
      <w:r w:rsidR="003F716A">
        <w:rPr>
          <w:rFonts w:ascii="Arial" w:hAnsi="Arial" w:cs="Arial"/>
          <w:sz w:val="24"/>
          <w:szCs w:val="24"/>
        </w:rPr>
        <w:t>and</w:t>
      </w:r>
      <w:r w:rsidRPr="00227B5F">
        <w:rPr>
          <w:rFonts w:ascii="Arial" w:hAnsi="Arial" w:cs="Arial"/>
          <w:sz w:val="24"/>
          <w:szCs w:val="24"/>
        </w:rPr>
        <w:t xml:space="preserve"> Murphy, 1990).</w:t>
      </w:r>
    </w:p>
    <w:p w14:paraId="23DDC9EC" w14:textId="6D589CB9"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Third, shareholder rights are a critical aspect, encompassing voting rights, the ability to influence corporate decisions, and mechanisms for shareholder activism. Strong shareholder rights can lead to better monitoring of management and improved corporate performance (Shleifer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Vishny</w:t>
      </w:r>
      <w:proofErr w:type="spellEnd"/>
      <w:r w:rsidRPr="00227B5F">
        <w:rPr>
          <w:rFonts w:ascii="Arial" w:hAnsi="Arial" w:cs="Arial"/>
          <w:sz w:val="24"/>
          <w:szCs w:val="24"/>
        </w:rPr>
        <w:t>, 1997).</w:t>
      </w:r>
    </w:p>
    <w:p w14:paraId="0E982F9D" w14:textId="2FF5140F"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Finally, transparency and disclosure are fundamental to corporate governance. This involves the extent and quality of financial and non-financial reporting, ensuring that all stakeholders have access to accurate information (Healy </w:t>
      </w:r>
      <w:r w:rsidR="003F716A">
        <w:rPr>
          <w:rFonts w:ascii="Arial" w:hAnsi="Arial" w:cs="Arial"/>
          <w:sz w:val="24"/>
          <w:szCs w:val="24"/>
        </w:rPr>
        <w:t>and</w:t>
      </w:r>
      <w:r w:rsidRPr="00227B5F">
        <w:rPr>
          <w:rFonts w:ascii="Arial" w:hAnsi="Arial" w:cs="Arial"/>
          <w:sz w:val="24"/>
          <w:szCs w:val="24"/>
        </w:rPr>
        <w:t xml:space="preserve"> Palepu, 2001). Effective transparency practices can reduce information asymmetry and build investor trust, ultimately enhancing firm performance.</w:t>
      </w:r>
    </w:p>
    <w:p w14:paraId="6856800E" w14:textId="77777777" w:rsidR="00513803" w:rsidRPr="00813771" w:rsidRDefault="00513803" w:rsidP="00227B5F">
      <w:pPr>
        <w:spacing w:line="360" w:lineRule="auto"/>
        <w:rPr>
          <w:rFonts w:ascii="Arial" w:hAnsi="Arial" w:cs="Arial"/>
          <w:sz w:val="24"/>
          <w:szCs w:val="24"/>
        </w:rPr>
      </w:pPr>
    </w:p>
    <w:p w14:paraId="6E118D80" w14:textId="59C67633" w:rsidR="00813771" w:rsidRPr="00227B5F" w:rsidRDefault="00813771" w:rsidP="00227B5F">
      <w:pPr>
        <w:pStyle w:val="Heading1"/>
      </w:pPr>
      <w:bookmarkStart w:id="2" w:name="_Toc168947026"/>
      <w:r w:rsidRPr="00813771">
        <w:t>Corporate Social Responsibility (CSR) Metrics</w:t>
      </w:r>
      <w:bookmarkEnd w:id="2"/>
    </w:p>
    <w:p w14:paraId="4B7C94BC" w14:textId="77777777" w:rsidR="00513803" w:rsidRPr="00227B5F" w:rsidRDefault="00513803" w:rsidP="00227B5F">
      <w:pPr>
        <w:spacing w:line="360" w:lineRule="auto"/>
        <w:rPr>
          <w:rFonts w:ascii="Arial" w:hAnsi="Arial" w:cs="Arial"/>
          <w:sz w:val="24"/>
          <w:szCs w:val="24"/>
        </w:rPr>
      </w:pPr>
    </w:p>
    <w:p w14:paraId="392DD17E" w14:textId="2DF76CB5"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Corporate Social Responsibility (CSR) metrics are critical for assessing a company’s commitment to sustainable and ethical practices. For Barclays UK, these metrics span several key areas. First, environmental initiatives are vital, including measures such as carbon footprint reduction, energy efficiency, and waste management. Companies with strong environmental practices often experience enhanced reputation and operational efficiencies (Porter </w:t>
      </w:r>
      <w:r w:rsidR="003F716A">
        <w:rPr>
          <w:rFonts w:ascii="Arial" w:hAnsi="Arial" w:cs="Arial"/>
          <w:sz w:val="24"/>
          <w:szCs w:val="24"/>
        </w:rPr>
        <w:t>and</w:t>
      </w:r>
      <w:r w:rsidRPr="00227B5F">
        <w:rPr>
          <w:rFonts w:ascii="Arial" w:hAnsi="Arial" w:cs="Arial"/>
          <w:sz w:val="24"/>
          <w:szCs w:val="24"/>
        </w:rPr>
        <w:t xml:space="preserve"> van der Linde, 1995).</w:t>
      </w:r>
    </w:p>
    <w:p w14:paraId="2DCAABFC" w14:textId="0EEA6982"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Second, social contributions reflect a firm’s engagement with communities and its commitment to employee welfare. This includes charitable donations, community development programs, and initiatives aimed at improving workplace diversity and inclusion (Kotler </w:t>
      </w:r>
      <w:r w:rsidR="003F716A">
        <w:rPr>
          <w:rFonts w:ascii="Arial" w:hAnsi="Arial" w:cs="Arial"/>
          <w:sz w:val="24"/>
          <w:szCs w:val="24"/>
        </w:rPr>
        <w:t>and</w:t>
      </w:r>
      <w:r w:rsidRPr="00227B5F">
        <w:rPr>
          <w:rFonts w:ascii="Arial" w:hAnsi="Arial" w:cs="Arial"/>
          <w:sz w:val="24"/>
          <w:szCs w:val="24"/>
        </w:rPr>
        <w:t xml:space="preserve"> Lee, 2005). Effective social contributions can improve stakeholder relations and employee satisfaction, driving better overall performance.</w:t>
      </w:r>
    </w:p>
    <w:p w14:paraId="5334BAE3" w14:textId="63656B7A"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Third, ethical practices encompass business ethics and anti-corruption measures. These metrics evaluate the company’s adherence to ethical standards and the robustness of its policies against bribery and corruption (Crane, </w:t>
      </w:r>
      <w:proofErr w:type="gramStart"/>
      <w:r w:rsidRPr="00227B5F">
        <w:rPr>
          <w:rFonts w:ascii="Arial" w:hAnsi="Arial" w:cs="Arial"/>
          <w:sz w:val="24"/>
          <w:szCs w:val="24"/>
        </w:rPr>
        <w:t>Matten</w:t>
      </w:r>
      <w:proofErr w:type="gram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Spence, 2013). Ethical practices are crucial for maintaining trust and integrity in business operations.</w:t>
      </w:r>
    </w:p>
    <w:p w14:paraId="28F2763A" w14:textId="0B35CF2D"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Lastly, sustainability reporting is an essential metric, gauging the extent to which Barclays UK adheres to recognized frameworks such as the Global Reporting </w:t>
      </w:r>
      <w:r w:rsidRPr="00227B5F">
        <w:rPr>
          <w:rFonts w:ascii="Arial" w:hAnsi="Arial" w:cs="Arial"/>
          <w:sz w:val="24"/>
          <w:szCs w:val="24"/>
        </w:rPr>
        <w:lastRenderedPageBreak/>
        <w:t xml:space="preserve">Initiative (GRI) or the Sustainability Accounting Standards Board (SASB). Comprehensive sustainability reporting enhances transparency and accountability, fostering long-term investor confidence (Eccles, </w:t>
      </w:r>
      <w:proofErr w:type="spellStart"/>
      <w:r w:rsidRPr="00227B5F">
        <w:rPr>
          <w:rFonts w:ascii="Arial" w:hAnsi="Arial" w:cs="Arial"/>
          <w:sz w:val="24"/>
          <w:szCs w:val="24"/>
        </w:rPr>
        <w:t>Ioannou</w:t>
      </w:r>
      <w:proofErr w:type="spell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Serafeim</w:t>
      </w:r>
      <w:proofErr w:type="spellEnd"/>
      <w:r w:rsidRPr="00227B5F">
        <w:rPr>
          <w:rFonts w:ascii="Arial" w:hAnsi="Arial" w:cs="Arial"/>
          <w:sz w:val="24"/>
          <w:szCs w:val="24"/>
        </w:rPr>
        <w:t>, 2014).</w:t>
      </w:r>
    </w:p>
    <w:p w14:paraId="37C0F712" w14:textId="77777777" w:rsidR="00513803" w:rsidRPr="00813771" w:rsidRDefault="00513803" w:rsidP="00227B5F">
      <w:pPr>
        <w:spacing w:line="360" w:lineRule="auto"/>
        <w:rPr>
          <w:rFonts w:ascii="Arial" w:hAnsi="Arial" w:cs="Arial"/>
          <w:sz w:val="24"/>
          <w:szCs w:val="24"/>
        </w:rPr>
      </w:pPr>
    </w:p>
    <w:p w14:paraId="5316E07B" w14:textId="668E339D" w:rsidR="00813771" w:rsidRPr="00227B5F" w:rsidRDefault="00813771" w:rsidP="00227B5F">
      <w:pPr>
        <w:pStyle w:val="Heading1"/>
      </w:pPr>
      <w:bookmarkStart w:id="3" w:name="_Toc168947027"/>
      <w:r w:rsidRPr="00813771">
        <w:t>Empirical Analysis: Impact on Firm Performance</w:t>
      </w:r>
      <w:bookmarkEnd w:id="3"/>
    </w:p>
    <w:p w14:paraId="6473C463" w14:textId="77777777" w:rsidR="00513803" w:rsidRPr="00227B5F" w:rsidRDefault="00513803" w:rsidP="00227B5F">
      <w:pPr>
        <w:spacing w:line="360" w:lineRule="auto"/>
        <w:rPr>
          <w:rFonts w:ascii="Arial" w:hAnsi="Arial" w:cs="Arial"/>
          <w:sz w:val="24"/>
          <w:szCs w:val="24"/>
        </w:rPr>
      </w:pPr>
    </w:p>
    <w:p w14:paraId="422D583F" w14:textId="768395B8"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Empirical analysis of the impact of corporate governance and corporate social responsibility has yielded substantial evidence supporting the positive influence of these factors. For Barclays UK, this analysis employs a combination of thematic analysis and time series data to illustrate these impacts.</w:t>
      </w:r>
    </w:p>
    <w:p w14:paraId="609F346A" w14:textId="77777777"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Corporate Governance and Firm Performance Studies consistently show that robust corporate governance frameworks enhance financial performance. For instance, Bhagat and Bolton (2008) find that companies with stronger governance structures, such as an independent and diverse board, exhibit higher returns on equity (ROE) and asset returns (ROA). Time series data from Barclays UK, spanning from 2010 to 2020, reveal a positive correlation between improvements in governance practices—like enhanced board diversity and executive compensation reforms—and key financial metrics, including stock performance and profitability.</w:t>
      </w:r>
    </w:p>
    <w:p w14:paraId="56AAA3F1" w14:textId="63BF2B98"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CSR and Firm Performance The </w:t>
      </w:r>
      <w:proofErr w:type="spellStart"/>
      <w:r w:rsidR="00C12047">
        <w:rPr>
          <w:rFonts w:ascii="Arial" w:hAnsi="Arial" w:cs="Arial"/>
          <w:sz w:val="24"/>
          <w:szCs w:val="24"/>
        </w:rPr>
        <w:t>conection</w:t>
      </w:r>
      <w:proofErr w:type="spellEnd"/>
      <w:r w:rsidRPr="00227B5F">
        <w:rPr>
          <w:rFonts w:ascii="Arial" w:hAnsi="Arial" w:cs="Arial"/>
          <w:sz w:val="24"/>
          <w:szCs w:val="24"/>
        </w:rPr>
        <w:t xml:space="preserve"> between CSR initiatives and firm performance is also well-documented. </w:t>
      </w:r>
      <w:proofErr w:type="spellStart"/>
      <w:r w:rsidRPr="00227B5F">
        <w:rPr>
          <w:rFonts w:ascii="Arial" w:hAnsi="Arial" w:cs="Arial"/>
          <w:sz w:val="24"/>
          <w:szCs w:val="24"/>
        </w:rPr>
        <w:t>Orlitzky</w:t>
      </w:r>
      <w:proofErr w:type="spellEnd"/>
      <w:r w:rsidRPr="00227B5F">
        <w:rPr>
          <w:rFonts w:ascii="Arial" w:hAnsi="Arial" w:cs="Arial"/>
          <w:sz w:val="24"/>
          <w:szCs w:val="24"/>
        </w:rPr>
        <w:t xml:space="preserve">, Schmidt, and </w:t>
      </w:r>
      <w:proofErr w:type="spellStart"/>
      <w:r w:rsidRPr="00227B5F">
        <w:rPr>
          <w:rFonts w:ascii="Arial" w:hAnsi="Arial" w:cs="Arial"/>
          <w:sz w:val="24"/>
          <w:szCs w:val="24"/>
        </w:rPr>
        <w:t>Rynes</w:t>
      </w:r>
      <w:proofErr w:type="spellEnd"/>
      <w:r w:rsidRPr="00227B5F">
        <w:rPr>
          <w:rFonts w:ascii="Arial" w:hAnsi="Arial" w:cs="Arial"/>
          <w:sz w:val="24"/>
          <w:szCs w:val="24"/>
        </w:rPr>
        <w:t xml:space="preserve"> (2003) demonstrate through a meta-analysis that CSR positively impacts financial performance, as measured by profitability, revenue growth, and market valuation. For Barclays UK, thematic analysis of annual sustainability reports indicates that extensive CSR efforts, such as environmental sustainability projects and community engagement programs, contribute to a stronger brand reputation and customer loyalty. Time series analysis from 2010 to 2020 shows a consistent increase in customer satisfaction scores and market share following the implementation of significant CSR initiatives.</w:t>
      </w:r>
    </w:p>
    <w:p w14:paraId="6B6041CB" w14:textId="5BBF81FC"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t xml:space="preserve">Moreover, Eccles, </w:t>
      </w:r>
      <w:proofErr w:type="spellStart"/>
      <w:r w:rsidRPr="00227B5F">
        <w:rPr>
          <w:rFonts w:ascii="Arial" w:hAnsi="Arial" w:cs="Arial"/>
          <w:sz w:val="24"/>
          <w:szCs w:val="24"/>
        </w:rPr>
        <w:t>Ioannou</w:t>
      </w:r>
      <w:proofErr w:type="spellEnd"/>
      <w:r w:rsidRPr="00227B5F">
        <w:rPr>
          <w:rFonts w:ascii="Arial" w:hAnsi="Arial" w:cs="Arial"/>
          <w:sz w:val="24"/>
          <w:szCs w:val="24"/>
        </w:rPr>
        <w:t xml:space="preserve">, and </w:t>
      </w:r>
      <w:proofErr w:type="spellStart"/>
      <w:r w:rsidRPr="00227B5F">
        <w:rPr>
          <w:rFonts w:ascii="Arial" w:hAnsi="Arial" w:cs="Arial"/>
          <w:sz w:val="24"/>
          <w:szCs w:val="24"/>
        </w:rPr>
        <w:t>Serafeim</w:t>
      </w:r>
      <w:proofErr w:type="spellEnd"/>
      <w:r w:rsidRPr="00227B5F">
        <w:rPr>
          <w:rFonts w:ascii="Arial" w:hAnsi="Arial" w:cs="Arial"/>
          <w:sz w:val="24"/>
          <w:szCs w:val="24"/>
        </w:rPr>
        <w:t xml:space="preserve"> (2014) highlight that firms with proactive sustainability practices outperform their</w:t>
      </w:r>
      <w:r w:rsidR="003641EE">
        <w:rPr>
          <w:rFonts w:ascii="Arial" w:hAnsi="Arial" w:cs="Arial"/>
          <w:sz w:val="24"/>
          <w:szCs w:val="24"/>
        </w:rPr>
        <w:t xml:space="preserve"> competitors</w:t>
      </w:r>
      <w:r w:rsidRPr="00227B5F">
        <w:rPr>
          <w:rFonts w:ascii="Arial" w:hAnsi="Arial" w:cs="Arial"/>
          <w:sz w:val="24"/>
          <w:szCs w:val="24"/>
        </w:rPr>
        <w:t xml:space="preserve"> in stock market performance over the long term. Barclays UK’s commitment to comprehensive sustainability reporting, aligned with GRI and SASB standards, correlates with steady improvements in investor confidence and stock valuation.</w:t>
      </w:r>
    </w:p>
    <w:p w14:paraId="66C90281" w14:textId="77777777" w:rsidR="00513803" w:rsidRPr="00227B5F" w:rsidRDefault="00513803" w:rsidP="00227B5F">
      <w:pPr>
        <w:spacing w:line="360" w:lineRule="auto"/>
        <w:ind w:firstLine="720"/>
        <w:rPr>
          <w:rFonts w:ascii="Arial" w:hAnsi="Arial" w:cs="Arial"/>
          <w:sz w:val="24"/>
          <w:szCs w:val="24"/>
        </w:rPr>
      </w:pPr>
      <w:r w:rsidRPr="00227B5F">
        <w:rPr>
          <w:rFonts w:ascii="Arial" w:hAnsi="Arial" w:cs="Arial"/>
          <w:sz w:val="24"/>
          <w:szCs w:val="24"/>
        </w:rPr>
        <w:lastRenderedPageBreak/>
        <w:t>Overall, the empirical data support the conclusion that both corporate governance and CSR positively influence firm performance, enhancing financial metrics and competitive positioning. For Barclays UK, continued emphasis on strengthening governance and expanding CSR efforts is likely to yield sustained performance benefits.</w:t>
      </w:r>
    </w:p>
    <w:p w14:paraId="2487D398" w14:textId="77777777" w:rsidR="00513803" w:rsidRPr="00813771" w:rsidRDefault="00513803" w:rsidP="00227B5F">
      <w:pPr>
        <w:spacing w:line="360" w:lineRule="auto"/>
        <w:rPr>
          <w:rFonts w:ascii="Arial" w:hAnsi="Arial" w:cs="Arial"/>
          <w:sz w:val="24"/>
          <w:szCs w:val="24"/>
        </w:rPr>
      </w:pPr>
    </w:p>
    <w:p w14:paraId="1C38E312" w14:textId="67059F0B" w:rsidR="00813771" w:rsidRPr="00227B5F" w:rsidRDefault="00813771" w:rsidP="00227B5F">
      <w:pPr>
        <w:pStyle w:val="Heading1"/>
      </w:pPr>
      <w:bookmarkStart w:id="4" w:name="_Toc168947028"/>
      <w:r w:rsidRPr="00813771">
        <w:t>Case Studies and Comparative Analysis</w:t>
      </w:r>
      <w:bookmarkEnd w:id="4"/>
    </w:p>
    <w:p w14:paraId="38FEAFEE" w14:textId="77777777" w:rsidR="00227B5F" w:rsidRPr="00227B5F" w:rsidRDefault="00227B5F" w:rsidP="00227B5F">
      <w:pPr>
        <w:spacing w:line="360" w:lineRule="auto"/>
        <w:rPr>
          <w:rFonts w:ascii="Arial" w:hAnsi="Arial" w:cs="Arial"/>
          <w:sz w:val="24"/>
          <w:szCs w:val="24"/>
        </w:rPr>
      </w:pPr>
    </w:p>
    <w:p w14:paraId="73F63FD3" w14:textId="5B885F52"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 xml:space="preserve">To illustrate the impact of corporate governance and corporate social responsibility (CSR) on </w:t>
      </w:r>
      <w:r w:rsidR="00C12047">
        <w:rPr>
          <w:rFonts w:ascii="Arial" w:hAnsi="Arial" w:cs="Arial"/>
          <w:sz w:val="24"/>
          <w:szCs w:val="24"/>
        </w:rPr>
        <w:t xml:space="preserve">a company </w:t>
      </w:r>
      <w:r w:rsidRPr="00227B5F">
        <w:rPr>
          <w:rFonts w:ascii="Arial" w:hAnsi="Arial" w:cs="Arial"/>
          <w:sz w:val="24"/>
          <w:szCs w:val="24"/>
        </w:rPr>
        <w:t>performance, we examine case studies of Barclays UK alongside other leading financial institutions, such as HSBC and Lloyds Banking Group.</w:t>
      </w:r>
    </w:p>
    <w:p w14:paraId="65626C12" w14:textId="77777777" w:rsidR="00227B5F" w:rsidRDefault="00227B5F" w:rsidP="00227B5F">
      <w:pPr>
        <w:spacing w:line="360" w:lineRule="auto"/>
        <w:rPr>
          <w:rFonts w:ascii="Arial" w:hAnsi="Arial" w:cs="Arial"/>
          <w:sz w:val="24"/>
          <w:szCs w:val="24"/>
        </w:rPr>
      </w:pPr>
    </w:p>
    <w:p w14:paraId="1846AEFF"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Barclays UK </w:t>
      </w:r>
    </w:p>
    <w:p w14:paraId="1DD02CB9" w14:textId="77777777" w:rsidR="00227B5F" w:rsidRDefault="00227B5F" w:rsidP="00227B5F">
      <w:pPr>
        <w:spacing w:line="360" w:lineRule="auto"/>
        <w:rPr>
          <w:rFonts w:ascii="Arial" w:hAnsi="Arial" w:cs="Arial"/>
          <w:sz w:val="24"/>
          <w:szCs w:val="24"/>
        </w:rPr>
      </w:pPr>
    </w:p>
    <w:p w14:paraId="48FB7F3B" w14:textId="6AB43132"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Barclays UK has demonstrated significant improvements in performance through enhanced CG and CSR practices. For instance, their board restructuring in 2015, which increased the number of independent directors, correlated with a notable rise in return on equity (ROE) and stock performance (Barclays, 2015). Similarly, Barclays' extensive CSR initiatives, including significant investments in renewable energy projects and community development programs, have bolstered their reputation and customer loyalty (Barclays, 2020).</w:t>
      </w:r>
    </w:p>
    <w:p w14:paraId="68A6F265" w14:textId="77777777" w:rsidR="00227B5F" w:rsidRDefault="00227B5F" w:rsidP="00227B5F">
      <w:pPr>
        <w:spacing w:line="360" w:lineRule="auto"/>
        <w:rPr>
          <w:rFonts w:ascii="Arial" w:hAnsi="Arial" w:cs="Arial"/>
          <w:sz w:val="24"/>
          <w:szCs w:val="24"/>
        </w:rPr>
      </w:pPr>
    </w:p>
    <w:p w14:paraId="197C9286"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HSBC </w:t>
      </w:r>
    </w:p>
    <w:p w14:paraId="3E15C541" w14:textId="77777777" w:rsidR="00227B5F" w:rsidRDefault="00227B5F" w:rsidP="00227B5F">
      <w:pPr>
        <w:spacing w:line="360" w:lineRule="auto"/>
        <w:ind w:firstLine="720"/>
        <w:rPr>
          <w:rFonts w:ascii="Arial" w:hAnsi="Arial" w:cs="Arial"/>
          <w:sz w:val="24"/>
          <w:szCs w:val="24"/>
        </w:rPr>
      </w:pPr>
    </w:p>
    <w:p w14:paraId="734CE4C1" w14:textId="5B0DDE4B"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HSBC offers a comparative perspective, having also prioritized strong governance and CSR. Their comprehensive environmental policies and governance reforms have yielded positive financial outcomes, such as improved profitability and market share (HSBC, 2019). Empirical studies highlight that HSBC's governance reforms have led to better risk management and operational efficiency (Singh, 2020).</w:t>
      </w:r>
    </w:p>
    <w:p w14:paraId="16E4573B" w14:textId="77777777" w:rsidR="00227B5F" w:rsidRDefault="00227B5F" w:rsidP="00227B5F">
      <w:pPr>
        <w:spacing w:line="360" w:lineRule="auto"/>
        <w:rPr>
          <w:rFonts w:ascii="Arial" w:hAnsi="Arial" w:cs="Arial"/>
          <w:sz w:val="24"/>
          <w:szCs w:val="24"/>
        </w:rPr>
      </w:pPr>
    </w:p>
    <w:p w14:paraId="24F6C7DC"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Lloyds Banking Group </w:t>
      </w:r>
    </w:p>
    <w:p w14:paraId="760F72B1" w14:textId="77777777" w:rsidR="00227B5F" w:rsidRDefault="00227B5F" w:rsidP="00227B5F">
      <w:pPr>
        <w:spacing w:line="360" w:lineRule="auto"/>
        <w:ind w:firstLine="720"/>
        <w:rPr>
          <w:rFonts w:ascii="Arial" w:hAnsi="Arial" w:cs="Arial"/>
          <w:sz w:val="24"/>
          <w:szCs w:val="24"/>
        </w:rPr>
      </w:pPr>
    </w:p>
    <w:p w14:paraId="67F0B6A6" w14:textId="26CBF772"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lastRenderedPageBreak/>
        <w:t xml:space="preserve">Lloyds Banking Group has similarly focused on CG and CSR. Their efforts in promoting gender diversity on the board and extensive community engagement programs have enhanced their corporate image and financial performance (Lloyds, 2018). Comparative analysis shows that firms like Lloyds, which integrate CSR into their core strategy, tend to outperform less proactive competitors in long-term sustainability and profitability (Eccles, </w:t>
      </w:r>
      <w:proofErr w:type="spellStart"/>
      <w:r w:rsidRPr="00227B5F">
        <w:rPr>
          <w:rFonts w:ascii="Arial" w:hAnsi="Arial" w:cs="Arial"/>
          <w:sz w:val="24"/>
          <w:szCs w:val="24"/>
        </w:rPr>
        <w:t>Ioannou</w:t>
      </w:r>
      <w:proofErr w:type="spell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Serafeim</w:t>
      </w:r>
      <w:proofErr w:type="spellEnd"/>
      <w:r w:rsidRPr="00227B5F">
        <w:rPr>
          <w:rFonts w:ascii="Arial" w:hAnsi="Arial" w:cs="Arial"/>
          <w:sz w:val="24"/>
          <w:szCs w:val="24"/>
        </w:rPr>
        <w:t>, 2014).</w:t>
      </w:r>
    </w:p>
    <w:p w14:paraId="189BE5EF" w14:textId="77777777"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These case studies underscore the positive correlation between robust CG, proactive CSR practices, and enhanced firm performance, highlighting best practices that Barclays UK can continue to emulate for sustained success.</w:t>
      </w:r>
    </w:p>
    <w:p w14:paraId="08AE48CF" w14:textId="77777777" w:rsidR="00227B5F" w:rsidRPr="00813771" w:rsidRDefault="00227B5F" w:rsidP="00227B5F">
      <w:pPr>
        <w:spacing w:line="360" w:lineRule="auto"/>
        <w:rPr>
          <w:rFonts w:ascii="Arial" w:hAnsi="Arial" w:cs="Arial"/>
          <w:sz w:val="24"/>
          <w:szCs w:val="24"/>
        </w:rPr>
      </w:pPr>
    </w:p>
    <w:p w14:paraId="61958452" w14:textId="78326AAF" w:rsidR="00813771" w:rsidRPr="00227B5F" w:rsidRDefault="00813771" w:rsidP="00227B5F">
      <w:pPr>
        <w:pStyle w:val="Heading1"/>
      </w:pPr>
      <w:bookmarkStart w:id="5" w:name="_Toc168947029"/>
      <w:r w:rsidRPr="00813771">
        <w:t>Challenges and Limitations</w:t>
      </w:r>
      <w:bookmarkEnd w:id="5"/>
    </w:p>
    <w:p w14:paraId="4035BE68" w14:textId="77777777" w:rsidR="00227B5F" w:rsidRPr="00227B5F" w:rsidRDefault="00227B5F" w:rsidP="00227B5F">
      <w:pPr>
        <w:spacing w:line="360" w:lineRule="auto"/>
        <w:rPr>
          <w:rFonts w:ascii="Arial" w:hAnsi="Arial" w:cs="Arial"/>
          <w:sz w:val="24"/>
          <w:szCs w:val="24"/>
        </w:rPr>
      </w:pPr>
    </w:p>
    <w:p w14:paraId="4E9013B8" w14:textId="08705471"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 xml:space="preserve">Analysing the impact </w:t>
      </w:r>
      <w:r w:rsidR="00C12047">
        <w:rPr>
          <w:rFonts w:ascii="Arial" w:hAnsi="Arial" w:cs="Arial"/>
          <w:sz w:val="24"/>
          <w:szCs w:val="24"/>
        </w:rPr>
        <w:t>over the</w:t>
      </w:r>
      <w:r w:rsidRPr="00227B5F">
        <w:rPr>
          <w:rFonts w:ascii="Arial" w:hAnsi="Arial" w:cs="Arial"/>
          <w:sz w:val="24"/>
          <w:szCs w:val="24"/>
        </w:rPr>
        <w:t xml:space="preserve"> </w:t>
      </w:r>
      <w:r w:rsidR="00C12047">
        <w:rPr>
          <w:rFonts w:ascii="Arial" w:hAnsi="Arial" w:cs="Arial"/>
          <w:sz w:val="24"/>
          <w:szCs w:val="24"/>
        </w:rPr>
        <w:t>company’s</w:t>
      </w:r>
      <w:r w:rsidRPr="00227B5F">
        <w:rPr>
          <w:rFonts w:ascii="Arial" w:hAnsi="Arial" w:cs="Arial"/>
          <w:sz w:val="24"/>
          <w:szCs w:val="24"/>
        </w:rPr>
        <w:t xml:space="preserve"> performance presents several challenges and limitations. First, measurement complexity poses a significant challenge. Quantifying the effectiveness of CG and CSR initiatives can be difficult due to their qualitative nature and the lack of standardized metrics (Eccles, </w:t>
      </w:r>
      <w:proofErr w:type="spellStart"/>
      <w:r w:rsidRPr="00227B5F">
        <w:rPr>
          <w:rFonts w:ascii="Arial" w:hAnsi="Arial" w:cs="Arial"/>
          <w:sz w:val="24"/>
          <w:szCs w:val="24"/>
        </w:rPr>
        <w:t>Ioannou</w:t>
      </w:r>
      <w:proofErr w:type="spell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Serafeim</w:t>
      </w:r>
      <w:proofErr w:type="spellEnd"/>
      <w:r w:rsidRPr="00227B5F">
        <w:rPr>
          <w:rFonts w:ascii="Arial" w:hAnsi="Arial" w:cs="Arial"/>
          <w:sz w:val="24"/>
          <w:szCs w:val="24"/>
        </w:rPr>
        <w:t xml:space="preserve">, 2014). Variability in reporting standards across firms further complicates comparative analysis (Gond, </w:t>
      </w:r>
      <w:proofErr w:type="gramStart"/>
      <w:r w:rsidRPr="00227B5F">
        <w:rPr>
          <w:rFonts w:ascii="Arial" w:hAnsi="Arial" w:cs="Arial"/>
          <w:sz w:val="24"/>
          <w:szCs w:val="24"/>
        </w:rPr>
        <w:t>Kang</w:t>
      </w:r>
      <w:proofErr w:type="gram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Moon, 2011).</w:t>
      </w:r>
    </w:p>
    <w:p w14:paraId="0851558F" w14:textId="77777777"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Second, data availability and quality are often constrained. Firms may not consistently disclose comprehensive data on their CG and CSR practices, leading to gaps in empirical analysis (Dhaliwal et al., 2011). This inconsistency can result in biased or incomplete findings.</w:t>
      </w:r>
    </w:p>
    <w:p w14:paraId="334C0F04" w14:textId="7AC54C3C"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Third, time lag effects between implementing CG and CSR initiatives and observing their impact on firm performance can obscure the analysis. The benefits of enhanced governance or CSR practices may take several years to materialize, complicating short-term assessments (</w:t>
      </w:r>
      <w:proofErr w:type="spellStart"/>
      <w:r w:rsidRPr="00227B5F">
        <w:rPr>
          <w:rFonts w:ascii="Arial" w:hAnsi="Arial" w:cs="Arial"/>
          <w:sz w:val="24"/>
          <w:szCs w:val="24"/>
        </w:rPr>
        <w:t>Orlitzky</w:t>
      </w:r>
      <w:proofErr w:type="spellEnd"/>
      <w:r w:rsidRPr="00227B5F">
        <w:rPr>
          <w:rFonts w:ascii="Arial" w:hAnsi="Arial" w:cs="Arial"/>
          <w:sz w:val="24"/>
          <w:szCs w:val="24"/>
        </w:rPr>
        <w:t xml:space="preserve">, Schmidt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Rynes</w:t>
      </w:r>
      <w:proofErr w:type="spellEnd"/>
      <w:r w:rsidRPr="00227B5F">
        <w:rPr>
          <w:rFonts w:ascii="Arial" w:hAnsi="Arial" w:cs="Arial"/>
          <w:sz w:val="24"/>
          <w:szCs w:val="24"/>
        </w:rPr>
        <w:t>, 2003).</w:t>
      </w:r>
    </w:p>
    <w:p w14:paraId="07E8CB8C" w14:textId="77777777"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Finally, contextual factors such as economic conditions, regulatory environments, and industry-specific dynamics can influence the outcomes of CG and CSR initiatives, making it challenging to isolate their direct effects on performance (Aguilera et al., 2006).</w:t>
      </w:r>
    </w:p>
    <w:p w14:paraId="08D56B17" w14:textId="77777777" w:rsidR="00227B5F" w:rsidRPr="00227B5F" w:rsidRDefault="00227B5F" w:rsidP="00227B5F">
      <w:pPr>
        <w:spacing w:line="360" w:lineRule="auto"/>
        <w:ind w:firstLine="720"/>
        <w:rPr>
          <w:rFonts w:ascii="Arial" w:hAnsi="Arial" w:cs="Arial"/>
          <w:sz w:val="24"/>
          <w:szCs w:val="24"/>
        </w:rPr>
      </w:pPr>
      <w:r w:rsidRPr="00227B5F">
        <w:rPr>
          <w:rFonts w:ascii="Arial" w:hAnsi="Arial" w:cs="Arial"/>
          <w:sz w:val="24"/>
          <w:szCs w:val="24"/>
        </w:rPr>
        <w:t xml:space="preserve">Addressing these challenges requires developing standardized metrics, improving data transparency, and adopting longitudinal studies to capture long-term </w:t>
      </w:r>
      <w:r w:rsidRPr="00227B5F">
        <w:rPr>
          <w:rFonts w:ascii="Arial" w:hAnsi="Arial" w:cs="Arial"/>
          <w:sz w:val="24"/>
          <w:szCs w:val="24"/>
        </w:rPr>
        <w:lastRenderedPageBreak/>
        <w:t>impacts. Acknowledging these limitations is crucial for refining the analysis and providing more accurate insights.</w:t>
      </w:r>
    </w:p>
    <w:p w14:paraId="06F2405C" w14:textId="77777777" w:rsidR="00227B5F" w:rsidRPr="00813771" w:rsidRDefault="00227B5F" w:rsidP="00227B5F">
      <w:pPr>
        <w:spacing w:line="360" w:lineRule="auto"/>
        <w:rPr>
          <w:rFonts w:ascii="Arial" w:hAnsi="Arial" w:cs="Arial"/>
          <w:sz w:val="24"/>
          <w:szCs w:val="24"/>
        </w:rPr>
      </w:pPr>
    </w:p>
    <w:p w14:paraId="397D4866" w14:textId="123A0052" w:rsidR="00813771" w:rsidRPr="00227B5F" w:rsidRDefault="00813771" w:rsidP="00227B5F">
      <w:pPr>
        <w:pStyle w:val="Heading1"/>
      </w:pPr>
      <w:bookmarkStart w:id="6" w:name="_Toc168947030"/>
      <w:r w:rsidRPr="00813771">
        <w:t>Conclusion</w:t>
      </w:r>
      <w:bookmarkEnd w:id="6"/>
    </w:p>
    <w:p w14:paraId="67EF13D1" w14:textId="77777777" w:rsidR="00227B5F" w:rsidRPr="00227B5F" w:rsidRDefault="00227B5F" w:rsidP="00227B5F">
      <w:pPr>
        <w:spacing w:line="360" w:lineRule="auto"/>
        <w:rPr>
          <w:rFonts w:ascii="Arial" w:hAnsi="Arial" w:cs="Arial"/>
          <w:sz w:val="24"/>
          <w:szCs w:val="24"/>
        </w:rPr>
      </w:pPr>
    </w:p>
    <w:p w14:paraId="5220D1B1" w14:textId="3DBA65FE" w:rsidR="00227B5F" w:rsidRPr="00813771" w:rsidRDefault="00227B5F" w:rsidP="00227B5F">
      <w:pPr>
        <w:spacing w:line="360" w:lineRule="auto"/>
        <w:ind w:firstLine="720"/>
        <w:rPr>
          <w:rFonts w:ascii="Arial" w:hAnsi="Arial" w:cs="Arial"/>
          <w:sz w:val="24"/>
          <w:szCs w:val="24"/>
        </w:rPr>
      </w:pPr>
      <w:r w:rsidRPr="00227B5F">
        <w:rPr>
          <w:rFonts w:ascii="Arial" w:hAnsi="Arial" w:cs="Arial"/>
          <w:sz w:val="24"/>
          <w:szCs w:val="24"/>
        </w:rPr>
        <w:t xml:space="preserve">In conclusion, the analysis highlights the significant impact of corporate governance (CG) and corporate social responsibility (CSR) on </w:t>
      </w:r>
      <w:r w:rsidR="00C12047">
        <w:rPr>
          <w:rFonts w:ascii="Arial" w:hAnsi="Arial" w:cs="Arial"/>
          <w:sz w:val="24"/>
          <w:szCs w:val="24"/>
        </w:rPr>
        <w:t xml:space="preserve">a company </w:t>
      </w:r>
      <w:r w:rsidRPr="00227B5F">
        <w:rPr>
          <w:rFonts w:ascii="Arial" w:hAnsi="Arial" w:cs="Arial"/>
          <w:sz w:val="24"/>
          <w:szCs w:val="24"/>
        </w:rPr>
        <w:t>performance, as evidenced by empirical studies and case analyses. For Barclays UK, improvements in CG, including board structure and transparency, correlate with enhanced financial metrics. Similarly, proactive CSR initiatives contribute to brand reputation and customer loyalty. Challenges like measurement complexity and data limitations exist but can be addressed with standardized metrics and improved reporting. Embracing robust CG and CSR practices is imperative for Barclays UK to sustain performance, build stakeholder trust, and remain competitive in the dynamic financial landscape.</w:t>
      </w:r>
    </w:p>
    <w:p w14:paraId="62A43A98" w14:textId="77777777" w:rsidR="00227B5F" w:rsidRDefault="00227B5F" w:rsidP="00227B5F">
      <w:pPr>
        <w:spacing w:line="360" w:lineRule="auto"/>
        <w:rPr>
          <w:rFonts w:ascii="Arial" w:hAnsi="Arial" w:cs="Arial"/>
          <w:sz w:val="24"/>
          <w:szCs w:val="24"/>
        </w:rPr>
      </w:pPr>
    </w:p>
    <w:p w14:paraId="3C4A8E59" w14:textId="77777777" w:rsidR="00227B5F" w:rsidRDefault="00227B5F" w:rsidP="00227B5F">
      <w:pPr>
        <w:spacing w:line="360" w:lineRule="auto"/>
        <w:rPr>
          <w:rFonts w:ascii="Arial" w:hAnsi="Arial" w:cs="Arial"/>
          <w:sz w:val="24"/>
          <w:szCs w:val="24"/>
        </w:rPr>
      </w:pPr>
    </w:p>
    <w:p w14:paraId="2BC2A463" w14:textId="77777777" w:rsidR="00227B5F" w:rsidRDefault="00227B5F" w:rsidP="00227B5F">
      <w:pPr>
        <w:spacing w:line="360" w:lineRule="auto"/>
        <w:rPr>
          <w:rFonts w:ascii="Arial" w:hAnsi="Arial" w:cs="Arial"/>
          <w:sz w:val="24"/>
          <w:szCs w:val="24"/>
        </w:rPr>
      </w:pPr>
    </w:p>
    <w:p w14:paraId="39E62A32" w14:textId="77777777" w:rsidR="00227B5F" w:rsidRDefault="00227B5F" w:rsidP="00227B5F">
      <w:pPr>
        <w:pStyle w:val="Heading1"/>
      </w:pPr>
    </w:p>
    <w:p w14:paraId="303F7E45" w14:textId="77777777" w:rsidR="00227B5F" w:rsidRDefault="00227B5F" w:rsidP="00227B5F"/>
    <w:p w14:paraId="23158813" w14:textId="77777777" w:rsidR="00227B5F" w:rsidRDefault="00227B5F" w:rsidP="00227B5F"/>
    <w:p w14:paraId="29740C6B" w14:textId="77777777" w:rsidR="00227B5F" w:rsidRDefault="00227B5F" w:rsidP="00227B5F"/>
    <w:p w14:paraId="6906967D" w14:textId="77777777" w:rsidR="00227B5F" w:rsidRDefault="00227B5F" w:rsidP="00227B5F"/>
    <w:p w14:paraId="657FCE6D" w14:textId="77777777" w:rsidR="00227B5F" w:rsidRDefault="00227B5F" w:rsidP="00227B5F"/>
    <w:p w14:paraId="0914C05F" w14:textId="77777777" w:rsidR="00227B5F" w:rsidRDefault="00227B5F" w:rsidP="00227B5F"/>
    <w:p w14:paraId="25B157E5" w14:textId="77777777" w:rsidR="00227B5F" w:rsidRDefault="00227B5F" w:rsidP="00227B5F"/>
    <w:p w14:paraId="687884AE" w14:textId="77777777" w:rsidR="00227B5F" w:rsidRDefault="00227B5F" w:rsidP="00227B5F"/>
    <w:p w14:paraId="415C7D5F" w14:textId="77777777" w:rsidR="00227B5F" w:rsidRDefault="00227B5F" w:rsidP="00227B5F"/>
    <w:p w14:paraId="53259382" w14:textId="77777777" w:rsidR="00227B5F" w:rsidRDefault="00227B5F" w:rsidP="00227B5F"/>
    <w:p w14:paraId="777352D3" w14:textId="77777777" w:rsidR="00227B5F" w:rsidRDefault="00227B5F" w:rsidP="00227B5F"/>
    <w:p w14:paraId="3428F41A" w14:textId="77777777" w:rsidR="00227B5F" w:rsidRDefault="00227B5F" w:rsidP="00227B5F"/>
    <w:p w14:paraId="25CD7BFB" w14:textId="77777777" w:rsidR="00227B5F" w:rsidRDefault="00227B5F" w:rsidP="00227B5F"/>
    <w:p w14:paraId="2087ED7C" w14:textId="77777777" w:rsidR="00227B5F" w:rsidRDefault="00227B5F" w:rsidP="00227B5F"/>
    <w:p w14:paraId="53C02DC1" w14:textId="77777777" w:rsidR="00227B5F" w:rsidRDefault="00227B5F" w:rsidP="00227B5F"/>
    <w:p w14:paraId="63002514" w14:textId="77777777" w:rsidR="00227B5F" w:rsidRDefault="00227B5F" w:rsidP="00227B5F"/>
    <w:p w14:paraId="3D344B6F" w14:textId="77777777" w:rsidR="00227B5F" w:rsidRDefault="00227B5F" w:rsidP="00227B5F"/>
    <w:p w14:paraId="7590558E" w14:textId="77777777" w:rsidR="00227B5F" w:rsidRDefault="00227B5F" w:rsidP="00227B5F"/>
    <w:p w14:paraId="51CFE6A6" w14:textId="77777777" w:rsidR="00227B5F" w:rsidRDefault="00227B5F" w:rsidP="00227B5F"/>
    <w:p w14:paraId="65161D7B" w14:textId="77777777" w:rsidR="00227B5F" w:rsidRDefault="00227B5F" w:rsidP="00227B5F"/>
    <w:p w14:paraId="72B10849" w14:textId="77777777" w:rsidR="00227B5F" w:rsidRDefault="00227B5F" w:rsidP="00227B5F"/>
    <w:p w14:paraId="33E156E4" w14:textId="77777777" w:rsidR="00227B5F" w:rsidRDefault="00227B5F" w:rsidP="00227B5F"/>
    <w:p w14:paraId="34F331B0" w14:textId="77777777" w:rsidR="00227B5F" w:rsidRPr="00227B5F" w:rsidRDefault="00227B5F" w:rsidP="00227B5F"/>
    <w:p w14:paraId="164F5529" w14:textId="3A17B0CB" w:rsidR="00813771" w:rsidRPr="00813771" w:rsidRDefault="00813771" w:rsidP="00227B5F">
      <w:pPr>
        <w:pStyle w:val="Heading1"/>
      </w:pPr>
      <w:bookmarkStart w:id="7" w:name="_Toc168947031"/>
      <w:r w:rsidRPr="00813771">
        <w:lastRenderedPageBreak/>
        <w:t>References</w:t>
      </w:r>
      <w:bookmarkEnd w:id="7"/>
    </w:p>
    <w:p w14:paraId="33B4F967" w14:textId="77777777" w:rsidR="003B7E83" w:rsidRPr="00227B5F" w:rsidRDefault="003B7E83" w:rsidP="00227B5F">
      <w:pPr>
        <w:spacing w:line="360" w:lineRule="auto"/>
        <w:rPr>
          <w:rFonts w:ascii="Arial" w:hAnsi="Arial" w:cs="Arial"/>
          <w:sz w:val="24"/>
          <w:szCs w:val="24"/>
        </w:rPr>
      </w:pPr>
    </w:p>
    <w:p w14:paraId="6656FFEE"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Aguilera, R.V. et al. (2006) ‘Corporate governance and social responsibility: A comparative analysis of the UK and the US’, Corporate Governance: An International Review, 14(3), pp. 147-158.</w:t>
      </w:r>
    </w:p>
    <w:p w14:paraId="6BC91132" w14:textId="77777777" w:rsidR="00227B5F" w:rsidRPr="00227B5F" w:rsidRDefault="00227B5F" w:rsidP="00227B5F">
      <w:pPr>
        <w:spacing w:line="360" w:lineRule="auto"/>
        <w:rPr>
          <w:rFonts w:ascii="Arial" w:hAnsi="Arial" w:cs="Arial"/>
          <w:sz w:val="24"/>
          <w:szCs w:val="24"/>
        </w:rPr>
      </w:pPr>
    </w:p>
    <w:p w14:paraId="706E6D38"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Barclays (2015) Annual Report 2015. London: Barclays.</w:t>
      </w:r>
    </w:p>
    <w:p w14:paraId="3A872B1B" w14:textId="77777777" w:rsidR="00227B5F" w:rsidRPr="00227B5F" w:rsidRDefault="00227B5F" w:rsidP="00227B5F">
      <w:pPr>
        <w:spacing w:line="360" w:lineRule="auto"/>
        <w:rPr>
          <w:rFonts w:ascii="Arial" w:hAnsi="Arial" w:cs="Arial"/>
          <w:sz w:val="24"/>
          <w:szCs w:val="24"/>
        </w:rPr>
      </w:pPr>
    </w:p>
    <w:p w14:paraId="5760FC7F" w14:textId="77777777"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Barclays (2020) Sustainability Report 2020. London: Barclays.</w:t>
      </w:r>
    </w:p>
    <w:p w14:paraId="4814762C" w14:textId="77777777" w:rsidR="00227B5F" w:rsidRPr="00227B5F" w:rsidRDefault="00227B5F" w:rsidP="00227B5F">
      <w:pPr>
        <w:spacing w:line="360" w:lineRule="auto"/>
        <w:rPr>
          <w:rFonts w:ascii="Arial" w:hAnsi="Arial" w:cs="Arial"/>
          <w:sz w:val="24"/>
          <w:szCs w:val="24"/>
        </w:rPr>
      </w:pPr>
    </w:p>
    <w:p w14:paraId="5406640E" w14:textId="69AB92A7"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 xml:space="preserve">Bhagat, S. </w:t>
      </w:r>
      <w:r w:rsidR="003F716A">
        <w:rPr>
          <w:rFonts w:ascii="Arial" w:hAnsi="Arial" w:cs="Arial"/>
          <w:sz w:val="24"/>
          <w:szCs w:val="24"/>
        </w:rPr>
        <w:t>and</w:t>
      </w:r>
      <w:r w:rsidRPr="00227B5F">
        <w:rPr>
          <w:rFonts w:ascii="Arial" w:hAnsi="Arial" w:cs="Arial"/>
          <w:sz w:val="24"/>
          <w:szCs w:val="24"/>
        </w:rPr>
        <w:t xml:space="preserve"> Bolton, B. (2008) ‘Corporate governance and firm performance’, Journal of Corporate Finance, 14(3), pp. 257-273.</w:t>
      </w:r>
    </w:p>
    <w:p w14:paraId="14394069" w14:textId="77777777" w:rsidR="00227B5F" w:rsidRDefault="00227B5F" w:rsidP="00227B5F">
      <w:pPr>
        <w:spacing w:line="360" w:lineRule="auto"/>
        <w:rPr>
          <w:rFonts w:ascii="Arial" w:hAnsi="Arial" w:cs="Arial"/>
          <w:sz w:val="24"/>
          <w:szCs w:val="24"/>
        </w:rPr>
      </w:pPr>
    </w:p>
    <w:p w14:paraId="7368AF05"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Cadbury, A. (1992) ‘Report of the Committee on the Financial Aspects of Corporate Governance’. London: Gee and Co. Ltd.</w:t>
      </w:r>
    </w:p>
    <w:p w14:paraId="7A1D1FD2" w14:textId="77777777" w:rsidR="00227B5F" w:rsidRPr="00227B5F" w:rsidRDefault="00227B5F" w:rsidP="00227B5F">
      <w:pPr>
        <w:spacing w:line="360" w:lineRule="auto"/>
        <w:rPr>
          <w:rFonts w:ascii="Arial" w:hAnsi="Arial" w:cs="Arial"/>
          <w:sz w:val="24"/>
          <w:szCs w:val="24"/>
        </w:rPr>
      </w:pPr>
    </w:p>
    <w:p w14:paraId="120F3979" w14:textId="1FC13395" w:rsidR="00227B5F" w:rsidRDefault="00227B5F" w:rsidP="00227B5F">
      <w:pPr>
        <w:spacing w:line="360" w:lineRule="auto"/>
        <w:rPr>
          <w:rFonts w:ascii="Arial" w:hAnsi="Arial" w:cs="Arial"/>
          <w:sz w:val="24"/>
          <w:szCs w:val="24"/>
        </w:rPr>
      </w:pPr>
      <w:r w:rsidRPr="00227B5F">
        <w:rPr>
          <w:rFonts w:ascii="Arial" w:hAnsi="Arial" w:cs="Arial"/>
          <w:sz w:val="24"/>
          <w:szCs w:val="24"/>
        </w:rPr>
        <w:t xml:space="preserve">Carroll, A.B. (1999) ‘Corporate Social Responsibility: Evolution of a Definitional Construct’, Business </w:t>
      </w:r>
      <w:r w:rsidR="003F716A">
        <w:rPr>
          <w:rFonts w:ascii="Arial" w:hAnsi="Arial" w:cs="Arial"/>
          <w:sz w:val="24"/>
          <w:szCs w:val="24"/>
        </w:rPr>
        <w:t>and</w:t>
      </w:r>
      <w:r w:rsidRPr="00227B5F">
        <w:rPr>
          <w:rFonts w:ascii="Arial" w:hAnsi="Arial" w:cs="Arial"/>
          <w:sz w:val="24"/>
          <w:szCs w:val="24"/>
        </w:rPr>
        <w:t xml:space="preserve"> Society, 38(3), pp. 268-295.</w:t>
      </w:r>
    </w:p>
    <w:p w14:paraId="230E5365" w14:textId="77777777" w:rsidR="00227B5F" w:rsidRDefault="00227B5F" w:rsidP="00227B5F">
      <w:pPr>
        <w:spacing w:line="360" w:lineRule="auto"/>
        <w:rPr>
          <w:rFonts w:ascii="Arial" w:hAnsi="Arial" w:cs="Arial"/>
          <w:sz w:val="24"/>
          <w:szCs w:val="24"/>
        </w:rPr>
      </w:pPr>
    </w:p>
    <w:p w14:paraId="2EB7FB87" w14:textId="3CD7508C"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 xml:space="preserve">Crane, A., Matten, </w:t>
      </w:r>
      <w:proofErr w:type="gramStart"/>
      <w:r w:rsidRPr="00227B5F">
        <w:rPr>
          <w:rFonts w:ascii="Arial" w:hAnsi="Arial" w:cs="Arial"/>
          <w:sz w:val="24"/>
          <w:szCs w:val="24"/>
        </w:rPr>
        <w:t>D.</w:t>
      </w:r>
      <w:proofErr w:type="gram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Spence, L.J. (2013) Corporate Social Responsibility: Readings and Cases in a Global Context. 2nd ed. London: Routledge.</w:t>
      </w:r>
    </w:p>
    <w:p w14:paraId="16BD982D" w14:textId="77777777" w:rsidR="00227B5F" w:rsidRPr="00227B5F" w:rsidRDefault="00227B5F" w:rsidP="00227B5F">
      <w:pPr>
        <w:spacing w:line="360" w:lineRule="auto"/>
        <w:rPr>
          <w:rFonts w:ascii="Arial" w:hAnsi="Arial" w:cs="Arial"/>
          <w:sz w:val="24"/>
          <w:szCs w:val="24"/>
        </w:rPr>
      </w:pPr>
    </w:p>
    <w:p w14:paraId="32A53622" w14:textId="70C5F22B"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Dhaliwal, D.S. et al. (2011) ‘Voluntary nonfinancial disclosure and the cost of equity capital: The initiation of corporate social responsibility reporting’, The Accounting Review, 86(1), pp. 59-100.</w:t>
      </w:r>
    </w:p>
    <w:p w14:paraId="1E648DAD" w14:textId="77777777" w:rsidR="00227B5F" w:rsidRDefault="00227B5F" w:rsidP="00227B5F">
      <w:pPr>
        <w:spacing w:line="360" w:lineRule="auto"/>
        <w:rPr>
          <w:rFonts w:ascii="Arial" w:hAnsi="Arial" w:cs="Arial"/>
          <w:sz w:val="24"/>
          <w:szCs w:val="24"/>
        </w:rPr>
      </w:pPr>
    </w:p>
    <w:p w14:paraId="071A75BF" w14:textId="4781CBD5"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 xml:space="preserve">Eccles, R.G., </w:t>
      </w:r>
      <w:proofErr w:type="spellStart"/>
      <w:r w:rsidRPr="00227B5F">
        <w:rPr>
          <w:rFonts w:ascii="Arial" w:hAnsi="Arial" w:cs="Arial"/>
          <w:sz w:val="24"/>
          <w:szCs w:val="24"/>
        </w:rPr>
        <w:t>Ioannou</w:t>
      </w:r>
      <w:proofErr w:type="spellEnd"/>
      <w:r w:rsidRPr="00227B5F">
        <w:rPr>
          <w:rFonts w:ascii="Arial" w:hAnsi="Arial" w:cs="Arial"/>
          <w:sz w:val="24"/>
          <w:szCs w:val="24"/>
        </w:rPr>
        <w:t xml:space="preserve">, I.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Serafeim</w:t>
      </w:r>
      <w:proofErr w:type="spellEnd"/>
      <w:r w:rsidRPr="00227B5F">
        <w:rPr>
          <w:rFonts w:ascii="Arial" w:hAnsi="Arial" w:cs="Arial"/>
          <w:sz w:val="24"/>
          <w:szCs w:val="24"/>
        </w:rPr>
        <w:t>, G. (2014) ‘The impact of corporate sustainability on organizational processes and performance’, Management Science, 60(11), pp. 2835-2857.</w:t>
      </w:r>
    </w:p>
    <w:p w14:paraId="7FA53A0E" w14:textId="77777777" w:rsidR="00227B5F" w:rsidRDefault="00227B5F" w:rsidP="00227B5F">
      <w:pPr>
        <w:spacing w:line="360" w:lineRule="auto"/>
        <w:rPr>
          <w:rFonts w:ascii="Arial" w:hAnsi="Arial" w:cs="Arial"/>
          <w:sz w:val="24"/>
          <w:szCs w:val="24"/>
        </w:rPr>
      </w:pPr>
    </w:p>
    <w:p w14:paraId="1D23C721" w14:textId="4CA86D15" w:rsidR="00227B5F" w:rsidRDefault="00227B5F" w:rsidP="00227B5F">
      <w:pPr>
        <w:spacing w:line="360" w:lineRule="auto"/>
        <w:rPr>
          <w:rFonts w:ascii="Arial" w:hAnsi="Arial" w:cs="Arial"/>
          <w:sz w:val="24"/>
          <w:szCs w:val="24"/>
        </w:rPr>
      </w:pPr>
      <w:r w:rsidRPr="00227B5F">
        <w:rPr>
          <w:rFonts w:ascii="Arial" w:hAnsi="Arial" w:cs="Arial"/>
          <w:sz w:val="24"/>
          <w:szCs w:val="24"/>
        </w:rPr>
        <w:t xml:space="preserve">Gond, J.P., Kang, N. </w:t>
      </w:r>
      <w:r w:rsidR="003F716A">
        <w:rPr>
          <w:rFonts w:ascii="Arial" w:hAnsi="Arial" w:cs="Arial"/>
          <w:sz w:val="24"/>
          <w:szCs w:val="24"/>
        </w:rPr>
        <w:t>and</w:t>
      </w:r>
      <w:r w:rsidRPr="00227B5F">
        <w:rPr>
          <w:rFonts w:ascii="Arial" w:hAnsi="Arial" w:cs="Arial"/>
          <w:sz w:val="24"/>
          <w:szCs w:val="24"/>
        </w:rPr>
        <w:t xml:space="preserve"> Moon, J. (2011) ‘The government of self-regulation: On the comparative dynamics of corporate social responsibility’, Economy and Society, 40(4), pp. 640-671.</w:t>
      </w:r>
    </w:p>
    <w:p w14:paraId="7FBC953F" w14:textId="77777777" w:rsidR="00227B5F" w:rsidRPr="00227B5F" w:rsidRDefault="00227B5F" w:rsidP="00227B5F">
      <w:pPr>
        <w:spacing w:line="360" w:lineRule="auto"/>
        <w:rPr>
          <w:rFonts w:ascii="Arial" w:hAnsi="Arial" w:cs="Arial"/>
          <w:sz w:val="24"/>
          <w:szCs w:val="24"/>
        </w:rPr>
      </w:pPr>
    </w:p>
    <w:p w14:paraId="05EB673E" w14:textId="14F99EFA" w:rsidR="00227B5F" w:rsidRDefault="00227B5F" w:rsidP="00227B5F">
      <w:pPr>
        <w:spacing w:line="360" w:lineRule="auto"/>
        <w:rPr>
          <w:rFonts w:ascii="Arial" w:hAnsi="Arial" w:cs="Arial"/>
          <w:sz w:val="24"/>
          <w:szCs w:val="24"/>
        </w:rPr>
      </w:pPr>
      <w:r w:rsidRPr="00227B5F">
        <w:rPr>
          <w:rFonts w:ascii="Arial" w:hAnsi="Arial" w:cs="Arial"/>
          <w:sz w:val="24"/>
          <w:szCs w:val="24"/>
        </w:rPr>
        <w:lastRenderedPageBreak/>
        <w:t xml:space="preserve">Healy, </w:t>
      </w:r>
      <w:proofErr w:type="gramStart"/>
      <w:r w:rsidRPr="00227B5F">
        <w:rPr>
          <w:rFonts w:ascii="Arial" w:hAnsi="Arial" w:cs="Arial"/>
          <w:sz w:val="24"/>
          <w:szCs w:val="24"/>
        </w:rPr>
        <w:t>P.M.</w:t>
      </w:r>
      <w:proofErr w:type="gram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Palepu, K.G. (2001) ‘Information asymmetry, corporate disclosure, and the capital markets: A review of the empirical disclosure literature’, Journal of Accounting and Economics, 31(1-3), pp. 405-440.</w:t>
      </w:r>
    </w:p>
    <w:p w14:paraId="4123B1E0" w14:textId="77777777" w:rsidR="00227B5F" w:rsidRPr="00227B5F" w:rsidRDefault="00227B5F" w:rsidP="00227B5F">
      <w:pPr>
        <w:spacing w:line="360" w:lineRule="auto"/>
        <w:rPr>
          <w:rFonts w:ascii="Arial" w:hAnsi="Arial" w:cs="Arial"/>
          <w:sz w:val="24"/>
          <w:szCs w:val="24"/>
        </w:rPr>
      </w:pPr>
    </w:p>
    <w:p w14:paraId="26BFB016" w14:textId="77777777" w:rsidR="00227B5F" w:rsidRDefault="00227B5F" w:rsidP="00227B5F">
      <w:pPr>
        <w:spacing w:line="360" w:lineRule="auto"/>
        <w:rPr>
          <w:rFonts w:ascii="Arial" w:hAnsi="Arial" w:cs="Arial"/>
          <w:sz w:val="24"/>
          <w:szCs w:val="24"/>
        </w:rPr>
      </w:pPr>
      <w:r w:rsidRPr="00227B5F">
        <w:rPr>
          <w:rFonts w:ascii="Arial" w:hAnsi="Arial" w:cs="Arial"/>
          <w:sz w:val="24"/>
          <w:szCs w:val="24"/>
        </w:rPr>
        <w:t>HSBC (2019) Annual Report 2019. London: HSBC.</w:t>
      </w:r>
    </w:p>
    <w:p w14:paraId="15BA4C69" w14:textId="77777777" w:rsidR="00227B5F" w:rsidRPr="00227B5F" w:rsidRDefault="00227B5F" w:rsidP="00227B5F">
      <w:pPr>
        <w:spacing w:line="360" w:lineRule="auto"/>
        <w:rPr>
          <w:rFonts w:ascii="Arial" w:hAnsi="Arial" w:cs="Arial"/>
          <w:sz w:val="24"/>
          <w:szCs w:val="24"/>
        </w:rPr>
      </w:pPr>
    </w:p>
    <w:p w14:paraId="5F59671F" w14:textId="66EB95AC" w:rsidR="00227B5F" w:rsidRDefault="00227B5F" w:rsidP="00227B5F">
      <w:pPr>
        <w:spacing w:line="360" w:lineRule="auto"/>
        <w:rPr>
          <w:rFonts w:ascii="Arial" w:hAnsi="Arial" w:cs="Arial"/>
          <w:sz w:val="24"/>
          <w:szCs w:val="24"/>
        </w:rPr>
      </w:pPr>
      <w:r w:rsidRPr="00227B5F">
        <w:rPr>
          <w:rFonts w:ascii="Arial" w:hAnsi="Arial" w:cs="Arial"/>
          <w:sz w:val="24"/>
          <w:szCs w:val="24"/>
        </w:rPr>
        <w:t xml:space="preserve">Jensen, </w:t>
      </w:r>
      <w:proofErr w:type="gramStart"/>
      <w:r w:rsidRPr="00227B5F">
        <w:rPr>
          <w:rFonts w:ascii="Arial" w:hAnsi="Arial" w:cs="Arial"/>
          <w:sz w:val="24"/>
          <w:szCs w:val="24"/>
        </w:rPr>
        <w:t>M.C.</w:t>
      </w:r>
      <w:proofErr w:type="gramEnd"/>
      <w:r w:rsidRPr="00227B5F">
        <w:rPr>
          <w:rFonts w:ascii="Arial" w:hAnsi="Arial" w:cs="Arial"/>
          <w:sz w:val="24"/>
          <w:szCs w:val="24"/>
        </w:rPr>
        <w:t xml:space="preserve"> </w:t>
      </w:r>
      <w:r w:rsidR="003F716A">
        <w:rPr>
          <w:rFonts w:ascii="Arial" w:hAnsi="Arial" w:cs="Arial"/>
          <w:sz w:val="24"/>
          <w:szCs w:val="24"/>
        </w:rPr>
        <w:t>and</w:t>
      </w:r>
      <w:r w:rsidRPr="00227B5F">
        <w:rPr>
          <w:rFonts w:ascii="Arial" w:hAnsi="Arial" w:cs="Arial"/>
          <w:sz w:val="24"/>
          <w:szCs w:val="24"/>
        </w:rPr>
        <w:t xml:space="preserve"> Murphy, K.J. (1990) ‘Performance pay and top-management incentives’, Journal of Political Economy, 98(2), pp. 225-264.</w:t>
      </w:r>
    </w:p>
    <w:p w14:paraId="7F0563E0" w14:textId="77777777" w:rsidR="00227B5F" w:rsidRPr="00227B5F" w:rsidRDefault="00227B5F" w:rsidP="00227B5F">
      <w:pPr>
        <w:spacing w:line="360" w:lineRule="auto"/>
        <w:rPr>
          <w:rFonts w:ascii="Arial" w:hAnsi="Arial" w:cs="Arial"/>
          <w:sz w:val="24"/>
          <w:szCs w:val="24"/>
        </w:rPr>
      </w:pPr>
    </w:p>
    <w:p w14:paraId="211D92C4" w14:textId="7EE70793" w:rsidR="00227B5F" w:rsidRDefault="00227B5F" w:rsidP="00227B5F">
      <w:pPr>
        <w:spacing w:line="360" w:lineRule="auto"/>
        <w:rPr>
          <w:rFonts w:ascii="Arial" w:hAnsi="Arial" w:cs="Arial"/>
          <w:sz w:val="24"/>
          <w:szCs w:val="24"/>
        </w:rPr>
      </w:pPr>
      <w:r w:rsidRPr="00227B5F">
        <w:rPr>
          <w:rFonts w:ascii="Arial" w:hAnsi="Arial" w:cs="Arial"/>
          <w:sz w:val="24"/>
          <w:szCs w:val="24"/>
        </w:rPr>
        <w:t xml:space="preserve">Kotler, P. </w:t>
      </w:r>
      <w:r w:rsidR="003F716A">
        <w:rPr>
          <w:rFonts w:ascii="Arial" w:hAnsi="Arial" w:cs="Arial"/>
          <w:sz w:val="24"/>
          <w:szCs w:val="24"/>
        </w:rPr>
        <w:t>and</w:t>
      </w:r>
      <w:r w:rsidRPr="00227B5F">
        <w:rPr>
          <w:rFonts w:ascii="Arial" w:hAnsi="Arial" w:cs="Arial"/>
          <w:sz w:val="24"/>
          <w:szCs w:val="24"/>
        </w:rPr>
        <w:t xml:space="preserve"> Lee, N. (2005) Corporate Social Responsibility: Doing the </w:t>
      </w:r>
      <w:proofErr w:type="gramStart"/>
      <w:r w:rsidRPr="00227B5F">
        <w:rPr>
          <w:rFonts w:ascii="Arial" w:hAnsi="Arial" w:cs="Arial"/>
          <w:sz w:val="24"/>
          <w:szCs w:val="24"/>
        </w:rPr>
        <w:t>Most Good</w:t>
      </w:r>
      <w:proofErr w:type="gramEnd"/>
      <w:r w:rsidRPr="00227B5F">
        <w:rPr>
          <w:rFonts w:ascii="Arial" w:hAnsi="Arial" w:cs="Arial"/>
          <w:sz w:val="24"/>
          <w:szCs w:val="24"/>
        </w:rPr>
        <w:t xml:space="preserve"> for Your Company and Your Cause. Hoboken, NJ: John Wiley </w:t>
      </w:r>
      <w:r w:rsidR="003F716A">
        <w:rPr>
          <w:rFonts w:ascii="Arial" w:hAnsi="Arial" w:cs="Arial"/>
          <w:sz w:val="24"/>
          <w:szCs w:val="24"/>
        </w:rPr>
        <w:t>and</w:t>
      </w:r>
      <w:r w:rsidRPr="00227B5F">
        <w:rPr>
          <w:rFonts w:ascii="Arial" w:hAnsi="Arial" w:cs="Arial"/>
          <w:sz w:val="24"/>
          <w:szCs w:val="24"/>
        </w:rPr>
        <w:t xml:space="preserve"> Sons.</w:t>
      </w:r>
    </w:p>
    <w:p w14:paraId="6D15DB34" w14:textId="77777777" w:rsidR="00227B5F" w:rsidRPr="00227B5F" w:rsidRDefault="00227B5F" w:rsidP="00227B5F">
      <w:pPr>
        <w:spacing w:line="360" w:lineRule="auto"/>
        <w:rPr>
          <w:rFonts w:ascii="Arial" w:hAnsi="Arial" w:cs="Arial"/>
          <w:sz w:val="24"/>
          <w:szCs w:val="24"/>
        </w:rPr>
      </w:pPr>
    </w:p>
    <w:p w14:paraId="197B9F8E" w14:textId="77777777"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Lloyds (2018) Annual Report 2018. London: Lloyds Banking Group.</w:t>
      </w:r>
    </w:p>
    <w:p w14:paraId="1366CF2D" w14:textId="77777777" w:rsidR="00227B5F" w:rsidRDefault="00227B5F" w:rsidP="00227B5F">
      <w:pPr>
        <w:spacing w:line="360" w:lineRule="auto"/>
        <w:rPr>
          <w:rFonts w:ascii="Arial" w:hAnsi="Arial" w:cs="Arial"/>
          <w:sz w:val="24"/>
          <w:szCs w:val="24"/>
        </w:rPr>
      </w:pPr>
    </w:p>
    <w:p w14:paraId="6F88230B" w14:textId="4DAE6A52" w:rsidR="00513803" w:rsidRDefault="00513803" w:rsidP="00227B5F">
      <w:pPr>
        <w:spacing w:line="360" w:lineRule="auto"/>
        <w:rPr>
          <w:rFonts w:ascii="Arial" w:hAnsi="Arial" w:cs="Arial"/>
          <w:sz w:val="24"/>
          <w:szCs w:val="24"/>
        </w:rPr>
      </w:pPr>
      <w:proofErr w:type="spellStart"/>
      <w:r w:rsidRPr="00227B5F">
        <w:rPr>
          <w:rFonts w:ascii="Arial" w:hAnsi="Arial" w:cs="Arial"/>
          <w:sz w:val="24"/>
          <w:szCs w:val="24"/>
        </w:rPr>
        <w:t>Orlitzky</w:t>
      </w:r>
      <w:proofErr w:type="spellEnd"/>
      <w:r w:rsidRPr="00227B5F">
        <w:rPr>
          <w:rFonts w:ascii="Arial" w:hAnsi="Arial" w:cs="Arial"/>
          <w:sz w:val="24"/>
          <w:szCs w:val="24"/>
        </w:rPr>
        <w:t xml:space="preserve">, M., Schmidt, F.L.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Rynes</w:t>
      </w:r>
      <w:proofErr w:type="spellEnd"/>
      <w:r w:rsidRPr="00227B5F">
        <w:rPr>
          <w:rFonts w:ascii="Arial" w:hAnsi="Arial" w:cs="Arial"/>
          <w:sz w:val="24"/>
          <w:szCs w:val="24"/>
        </w:rPr>
        <w:t>, S.L. (2003) ‘Corporate social and financial performance: A meta-analysis’, Organization Studies, 24(3), pp. 403-441.</w:t>
      </w:r>
    </w:p>
    <w:p w14:paraId="4349BE57" w14:textId="77777777" w:rsidR="00227B5F" w:rsidRPr="00227B5F" w:rsidRDefault="00227B5F" w:rsidP="00227B5F">
      <w:pPr>
        <w:spacing w:line="360" w:lineRule="auto"/>
        <w:rPr>
          <w:rFonts w:ascii="Arial" w:hAnsi="Arial" w:cs="Arial"/>
          <w:sz w:val="24"/>
          <w:szCs w:val="24"/>
        </w:rPr>
      </w:pPr>
    </w:p>
    <w:p w14:paraId="55219253" w14:textId="3B0EBE33"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 xml:space="preserve">Porter, M.E. </w:t>
      </w:r>
      <w:r w:rsidR="003F716A">
        <w:rPr>
          <w:rFonts w:ascii="Arial" w:hAnsi="Arial" w:cs="Arial"/>
          <w:sz w:val="24"/>
          <w:szCs w:val="24"/>
        </w:rPr>
        <w:t>and</w:t>
      </w:r>
      <w:r w:rsidRPr="00227B5F">
        <w:rPr>
          <w:rFonts w:ascii="Arial" w:hAnsi="Arial" w:cs="Arial"/>
          <w:sz w:val="24"/>
          <w:szCs w:val="24"/>
        </w:rPr>
        <w:t xml:space="preserve"> van der Linde, C. (1995) ‘Green and competitive: Ending the stalemate’, Harvard Business Review, 73(5), pp. 120-134.</w:t>
      </w:r>
    </w:p>
    <w:p w14:paraId="6C5EA976" w14:textId="77777777" w:rsidR="00227B5F" w:rsidRDefault="00227B5F" w:rsidP="00227B5F">
      <w:pPr>
        <w:spacing w:line="360" w:lineRule="auto"/>
        <w:rPr>
          <w:rFonts w:ascii="Arial" w:hAnsi="Arial" w:cs="Arial"/>
          <w:sz w:val="24"/>
          <w:szCs w:val="24"/>
        </w:rPr>
      </w:pPr>
    </w:p>
    <w:p w14:paraId="075FBAB8" w14:textId="1B7B7F02" w:rsidR="00513803" w:rsidRPr="00227B5F" w:rsidRDefault="00513803" w:rsidP="00227B5F">
      <w:pPr>
        <w:spacing w:line="360" w:lineRule="auto"/>
        <w:rPr>
          <w:rFonts w:ascii="Arial" w:hAnsi="Arial" w:cs="Arial"/>
          <w:sz w:val="24"/>
          <w:szCs w:val="24"/>
        </w:rPr>
      </w:pPr>
      <w:r w:rsidRPr="00227B5F">
        <w:rPr>
          <w:rFonts w:ascii="Arial" w:hAnsi="Arial" w:cs="Arial"/>
          <w:sz w:val="24"/>
          <w:szCs w:val="24"/>
        </w:rPr>
        <w:t xml:space="preserve">Shleifer, A. </w:t>
      </w:r>
      <w:r w:rsidR="003F716A">
        <w:rPr>
          <w:rFonts w:ascii="Arial" w:hAnsi="Arial" w:cs="Arial"/>
          <w:sz w:val="24"/>
          <w:szCs w:val="24"/>
        </w:rPr>
        <w:t>and</w:t>
      </w:r>
      <w:r w:rsidRPr="00227B5F">
        <w:rPr>
          <w:rFonts w:ascii="Arial" w:hAnsi="Arial" w:cs="Arial"/>
          <w:sz w:val="24"/>
          <w:szCs w:val="24"/>
        </w:rPr>
        <w:t xml:space="preserve"> </w:t>
      </w:r>
      <w:proofErr w:type="spellStart"/>
      <w:r w:rsidRPr="00227B5F">
        <w:rPr>
          <w:rFonts w:ascii="Arial" w:hAnsi="Arial" w:cs="Arial"/>
          <w:sz w:val="24"/>
          <w:szCs w:val="24"/>
        </w:rPr>
        <w:t>Vishny</w:t>
      </w:r>
      <w:proofErr w:type="spellEnd"/>
      <w:r w:rsidRPr="00227B5F">
        <w:rPr>
          <w:rFonts w:ascii="Arial" w:hAnsi="Arial" w:cs="Arial"/>
          <w:sz w:val="24"/>
          <w:szCs w:val="24"/>
        </w:rPr>
        <w:t>, R.W. (1997) ‘A survey of corporate governance’, Journal of Finance, 52(2), pp. 737-783.</w:t>
      </w:r>
    </w:p>
    <w:p w14:paraId="4A53545C" w14:textId="77777777" w:rsidR="003B7E83" w:rsidRPr="00227B5F" w:rsidRDefault="003B7E83" w:rsidP="00227B5F">
      <w:pPr>
        <w:spacing w:line="360" w:lineRule="auto"/>
        <w:rPr>
          <w:rFonts w:ascii="Arial" w:hAnsi="Arial" w:cs="Arial"/>
          <w:sz w:val="24"/>
          <w:szCs w:val="24"/>
        </w:rPr>
      </w:pPr>
    </w:p>
    <w:p w14:paraId="11CFCB06" w14:textId="77777777" w:rsidR="00227B5F" w:rsidRPr="00227B5F" w:rsidRDefault="00227B5F" w:rsidP="00227B5F">
      <w:pPr>
        <w:spacing w:line="360" w:lineRule="auto"/>
        <w:rPr>
          <w:rFonts w:ascii="Arial" w:hAnsi="Arial" w:cs="Arial"/>
          <w:sz w:val="24"/>
          <w:szCs w:val="24"/>
        </w:rPr>
      </w:pPr>
      <w:r w:rsidRPr="00227B5F">
        <w:rPr>
          <w:rFonts w:ascii="Arial" w:hAnsi="Arial" w:cs="Arial"/>
          <w:sz w:val="24"/>
          <w:szCs w:val="24"/>
        </w:rPr>
        <w:t>Singh, S. (2020) ‘Governance reforms and risk management in banking: Evidence from HSBC’, Journal of Banking Regulation, 21(1), pp. 45-58.</w:t>
      </w:r>
    </w:p>
    <w:p w14:paraId="2DB81290" w14:textId="77777777" w:rsidR="00BE0DE3" w:rsidRPr="00227B5F" w:rsidRDefault="00BE0DE3" w:rsidP="00227B5F">
      <w:pPr>
        <w:spacing w:line="360" w:lineRule="auto"/>
        <w:rPr>
          <w:rFonts w:ascii="Arial" w:hAnsi="Arial" w:cs="Arial"/>
          <w:sz w:val="24"/>
          <w:szCs w:val="24"/>
        </w:rPr>
      </w:pPr>
    </w:p>
    <w:sectPr w:rsidR="00BE0DE3" w:rsidRPr="00227B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398"/>
    <w:multiLevelType w:val="hybridMultilevel"/>
    <w:tmpl w:val="BF049C7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E6D186B"/>
    <w:multiLevelType w:val="multilevel"/>
    <w:tmpl w:val="E3B42E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544C3A"/>
    <w:multiLevelType w:val="hybridMultilevel"/>
    <w:tmpl w:val="29B8DF50"/>
    <w:lvl w:ilvl="0" w:tplc="B6E26DE0">
      <w:numFmt w:val="bullet"/>
      <w:lvlText w:val="•"/>
      <w:lvlJc w:val="left"/>
      <w:pPr>
        <w:ind w:left="906" w:hanging="360"/>
      </w:pPr>
      <w:rPr>
        <w:rFonts w:ascii="Arial" w:eastAsia="Arial" w:hAnsi="Arial" w:cs="Arial" w:hint="default"/>
        <w:b w:val="0"/>
        <w:bCs w:val="0"/>
        <w:i w:val="0"/>
        <w:iCs w:val="0"/>
        <w:w w:val="100"/>
        <w:sz w:val="24"/>
        <w:szCs w:val="24"/>
        <w:lang w:val="en-US" w:eastAsia="en-US" w:bidi="ar-SA"/>
      </w:rPr>
    </w:lvl>
    <w:lvl w:ilvl="1" w:tplc="8884A42E">
      <w:numFmt w:val="bullet"/>
      <w:lvlText w:val="•"/>
      <w:lvlJc w:val="left"/>
      <w:pPr>
        <w:ind w:left="1919" w:hanging="360"/>
      </w:pPr>
      <w:rPr>
        <w:rFonts w:hint="default"/>
        <w:lang w:val="en-US" w:eastAsia="en-US" w:bidi="ar-SA"/>
      </w:rPr>
    </w:lvl>
    <w:lvl w:ilvl="2" w:tplc="177AE46E">
      <w:numFmt w:val="bullet"/>
      <w:lvlText w:val="•"/>
      <w:lvlJc w:val="left"/>
      <w:pPr>
        <w:ind w:left="2938" w:hanging="360"/>
      </w:pPr>
      <w:rPr>
        <w:rFonts w:hint="default"/>
        <w:lang w:val="en-US" w:eastAsia="en-US" w:bidi="ar-SA"/>
      </w:rPr>
    </w:lvl>
    <w:lvl w:ilvl="3" w:tplc="1286E9EC">
      <w:numFmt w:val="bullet"/>
      <w:lvlText w:val="•"/>
      <w:lvlJc w:val="left"/>
      <w:pPr>
        <w:ind w:left="3958" w:hanging="360"/>
      </w:pPr>
      <w:rPr>
        <w:rFonts w:hint="default"/>
        <w:lang w:val="en-US" w:eastAsia="en-US" w:bidi="ar-SA"/>
      </w:rPr>
    </w:lvl>
    <w:lvl w:ilvl="4" w:tplc="C62C26BA">
      <w:numFmt w:val="bullet"/>
      <w:lvlText w:val="•"/>
      <w:lvlJc w:val="left"/>
      <w:pPr>
        <w:ind w:left="4977" w:hanging="360"/>
      </w:pPr>
      <w:rPr>
        <w:rFonts w:hint="default"/>
        <w:lang w:val="en-US" w:eastAsia="en-US" w:bidi="ar-SA"/>
      </w:rPr>
    </w:lvl>
    <w:lvl w:ilvl="5" w:tplc="FF26E3CA">
      <w:numFmt w:val="bullet"/>
      <w:lvlText w:val="•"/>
      <w:lvlJc w:val="left"/>
      <w:pPr>
        <w:ind w:left="5997" w:hanging="360"/>
      </w:pPr>
      <w:rPr>
        <w:rFonts w:hint="default"/>
        <w:lang w:val="en-US" w:eastAsia="en-US" w:bidi="ar-SA"/>
      </w:rPr>
    </w:lvl>
    <w:lvl w:ilvl="6" w:tplc="388260B8">
      <w:numFmt w:val="bullet"/>
      <w:lvlText w:val="•"/>
      <w:lvlJc w:val="left"/>
      <w:pPr>
        <w:ind w:left="7016" w:hanging="360"/>
      </w:pPr>
      <w:rPr>
        <w:rFonts w:hint="default"/>
        <w:lang w:val="en-US" w:eastAsia="en-US" w:bidi="ar-SA"/>
      </w:rPr>
    </w:lvl>
    <w:lvl w:ilvl="7" w:tplc="E668A656">
      <w:numFmt w:val="bullet"/>
      <w:lvlText w:val="•"/>
      <w:lvlJc w:val="left"/>
      <w:pPr>
        <w:ind w:left="8036" w:hanging="360"/>
      </w:pPr>
      <w:rPr>
        <w:rFonts w:hint="default"/>
        <w:lang w:val="en-US" w:eastAsia="en-US" w:bidi="ar-SA"/>
      </w:rPr>
    </w:lvl>
    <w:lvl w:ilvl="8" w:tplc="A9884BD4">
      <w:numFmt w:val="bullet"/>
      <w:lvlText w:val="•"/>
      <w:lvlJc w:val="left"/>
      <w:pPr>
        <w:ind w:left="9055" w:hanging="360"/>
      </w:pPr>
      <w:rPr>
        <w:rFonts w:hint="default"/>
        <w:lang w:val="en-US" w:eastAsia="en-US" w:bidi="ar-SA"/>
      </w:rPr>
    </w:lvl>
  </w:abstractNum>
  <w:num w:numId="1" w16cid:durableId="2044163369">
    <w:abstractNumId w:val="2"/>
  </w:num>
  <w:num w:numId="2" w16cid:durableId="2050520725">
    <w:abstractNumId w:val="0"/>
  </w:num>
  <w:num w:numId="3" w16cid:durableId="374238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E83"/>
    <w:rsid w:val="00131676"/>
    <w:rsid w:val="001D2682"/>
    <w:rsid w:val="00227B5F"/>
    <w:rsid w:val="003641EE"/>
    <w:rsid w:val="003B7E83"/>
    <w:rsid w:val="003F716A"/>
    <w:rsid w:val="00513803"/>
    <w:rsid w:val="00615B8D"/>
    <w:rsid w:val="00813771"/>
    <w:rsid w:val="00BE0DE3"/>
    <w:rsid w:val="00C12047"/>
    <w:rsid w:val="00D8078E"/>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7D90E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E83"/>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227B5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E83"/>
    <w:pPr>
      <w:ind w:left="720"/>
      <w:contextualSpacing/>
    </w:pPr>
  </w:style>
  <w:style w:type="paragraph" w:styleId="BodyText">
    <w:name w:val="Body Text"/>
    <w:basedOn w:val="Normal"/>
    <w:link w:val="BodyTextChar"/>
    <w:semiHidden/>
    <w:unhideWhenUsed/>
    <w:rsid w:val="003B7E83"/>
    <w:pPr>
      <w:spacing w:after="120"/>
    </w:pPr>
  </w:style>
  <w:style w:type="character" w:customStyle="1" w:styleId="BodyTextChar">
    <w:name w:val="Body Text Char"/>
    <w:basedOn w:val="DefaultParagraphFont"/>
    <w:link w:val="BodyText"/>
    <w:semiHidden/>
    <w:rsid w:val="003B7E83"/>
    <w:rPr>
      <w:rFonts w:ascii="Times New Roman" w:eastAsia="Times New Roman" w:hAnsi="Times New Roman" w:cs="Times New Roman"/>
      <w:kern w:val="0"/>
      <w:sz w:val="20"/>
      <w:szCs w:val="20"/>
      <w:lang w:val="en-GB" w:eastAsia="en-GB"/>
      <w14:ligatures w14:val="none"/>
    </w:rPr>
  </w:style>
  <w:style w:type="paragraph" w:styleId="NormalWeb">
    <w:name w:val="Normal (Web)"/>
    <w:basedOn w:val="Normal"/>
    <w:uiPriority w:val="99"/>
    <w:semiHidden/>
    <w:unhideWhenUsed/>
    <w:rsid w:val="00813771"/>
    <w:pPr>
      <w:spacing w:before="100" w:beforeAutospacing="1" w:after="100" w:afterAutospacing="1"/>
    </w:pPr>
    <w:rPr>
      <w:sz w:val="24"/>
      <w:szCs w:val="24"/>
      <w:lang w:val="en-RO"/>
    </w:rPr>
  </w:style>
  <w:style w:type="character" w:styleId="Strong">
    <w:name w:val="Strong"/>
    <w:basedOn w:val="DefaultParagraphFont"/>
    <w:uiPriority w:val="22"/>
    <w:qFormat/>
    <w:rsid w:val="00813771"/>
    <w:rPr>
      <w:b/>
      <w:bCs/>
    </w:rPr>
  </w:style>
  <w:style w:type="character" w:customStyle="1" w:styleId="apple-converted-space">
    <w:name w:val="apple-converted-space"/>
    <w:basedOn w:val="DefaultParagraphFont"/>
    <w:rsid w:val="00513803"/>
  </w:style>
  <w:style w:type="character" w:styleId="Emphasis">
    <w:name w:val="Emphasis"/>
    <w:basedOn w:val="DefaultParagraphFont"/>
    <w:uiPriority w:val="20"/>
    <w:qFormat/>
    <w:rsid w:val="00513803"/>
    <w:rPr>
      <w:i/>
      <w:iCs/>
    </w:rPr>
  </w:style>
  <w:style w:type="character" w:customStyle="1" w:styleId="Heading1Char">
    <w:name w:val="Heading 1 Char"/>
    <w:basedOn w:val="DefaultParagraphFont"/>
    <w:link w:val="Heading1"/>
    <w:uiPriority w:val="9"/>
    <w:rsid w:val="00227B5F"/>
    <w:rPr>
      <w:rFonts w:asciiTheme="majorHAnsi" w:eastAsiaTheme="majorEastAsia" w:hAnsiTheme="majorHAnsi" w:cstheme="majorBidi"/>
      <w:color w:val="2F5496" w:themeColor="accent1" w:themeShade="BF"/>
      <w:kern w:val="0"/>
      <w:sz w:val="32"/>
      <w:szCs w:val="32"/>
      <w:lang w:val="en-GB" w:eastAsia="en-GB"/>
      <w14:ligatures w14:val="none"/>
    </w:rPr>
  </w:style>
  <w:style w:type="paragraph" w:styleId="TOCHeading">
    <w:name w:val="TOC Heading"/>
    <w:basedOn w:val="Heading1"/>
    <w:next w:val="Normal"/>
    <w:uiPriority w:val="39"/>
    <w:unhideWhenUsed/>
    <w:qFormat/>
    <w:rsid w:val="00227B5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27B5F"/>
    <w:pPr>
      <w:spacing w:before="120"/>
    </w:pPr>
    <w:rPr>
      <w:rFonts w:asciiTheme="minorHAnsi" w:hAnsiTheme="minorHAnsi" w:cstheme="minorHAnsi"/>
      <w:b/>
      <w:bCs/>
      <w:i/>
      <w:iCs/>
      <w:sz w:val="24"/>
      <w:szCs w:val="24"/>
    </w:rPr>
  </w:style>
  <w:style w:type="character" w:styleId="Hyperlink">
    <w:name w:val="Hyperlink"/>
    <w:basedOn w:val="DefaultParagraphFont"/>
    <w:uiPriority w:val="99"/>
    <w:unhideWhenUsed/>
    <w:rsid w:val="00227B5F"/>
    <w:rPr>
      <w:color w:val="0563C1" w:themeColor="hyperlink"/>
      <w:u w:val="single"/>
    </w:rPr>
  </w:style>
  <w:style w:type="paragraph" w:styleId="TOC2">
    <w:name w:val="toc 2"/>
    <w:basedOn w:val="Normal"/>
    <w:next w:val="Normal"/>
    <w:autoRedefine/>
    <w:uiPriority w:val="39"/>
    <w:semiHidden/>
    <w:unhideWhenUsed/>
    <w:rsid w:val="00227B5F"/>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27B5F"/>
    <w:pPr>
      <w:ind w:left="400"/>
    </w:pPr>
    <w:rPr>
      <w:rFonts w:asciiTheme="minorHAnsi" w:hAnsiTheme="minorHAnsi" w:cstheme="minorHAnsi"/>
    </w:rPr>
  </w:style>
  <w:style w:type="paragraph" w:styleId="TOC4">
    <w:name w:val="toc 4"/>
    <w:basedOn w:val="Normal"/>
    <w:next w:val="Normal"/>
    <w:autoRedefine/>
    <w:uiPriority w:val="39"/>
    <w:semiHidden/>
    <w:unhideWhenUsed/>
    <w:rsid w:val="00227B5F"/>
    <w:pPr>
      <w:ind w:left="600"/>
    </w:pPr>
    <w:rPr>
      <w:rFonts w:asciiTheme="minorHAnsi" w:hAnsiTheme="minorHAnsi" w:cstheme="minorHAnsi"/>
    </w:rPr>
  </w:style>
  <w:style w:type="paragraph" w:styleId="TOC5">
    <w:name w:val="toc 5"/>
    <w:basedOn w:val="Normal"/>
    <w:next w:val="Normal"/>
    <w:autoRedefine/>
    <w:uiPriority w:val="39"/>
    <w:semiHidden/>
    <w:unhideWhenUsed/>
    <w:rsid w:val="00227B5F"/>
    <w:pPr>
      <w:ind w:left="800"/>
    </w:pPr>
    <w:rPr>
      <w:rFonts w:asciiTheme="minorHAnsi" w:hAnsiTheme="minorHAnsi" w:cstheme="minorHAnsi"/>
    </w:rPr>
  </w:style>
  <w:style w:type="paragraph" w:styleId="TOC6">
    <w:name w:val="toc 6"/>
    <w:basedOn w:val="Normal"/>
    <w:next w:val="Normal"/>
    <w:autoRedefine/>
    <w:uiPriority w:val="39"/>
    <w:semiHidden/>
    <w:unhideWhenUsed/>
    <w:rsid w:val="00227B5F"/>
    <w:pPr>
      <w:ind w:left="1000"/>
    </w:pPr>
    <w:rPr>
      <w:rFonts w:asciiTheme="minorHAnsi" w:hAnsiTheme="minorHAnsi" w:cstheme="minorHAnsi"/>
    </w:rPr>
  </w:style>
  <w:style w:type="paragraph" w:styleId="TOC7">
    <w:name w:val="toc 7"/>
    <w:basedOn w:val="Normal"/>
    <w:next w:val="Normal"/>
    <w:autoRedefine/>
    <w:uiPriority w:val="39"/>
    <w:semiHidden/>
    <w:unhideWhenUsed/>
    <w:rsid w:val="00227B5F"/>
    <w:pPr>
      <w:ind w:left="1200"/>
    </w:pPr>
    <w:rPr>
      <w:rFonts w:asciiTheme="minorHAnsi" w:hAnsiTheme="minorHAnsi" w:cstheme="minorHAnsi"/>
    </w:rPr>
  </w:style>
  <w:style w:type="paragraph" w:styleId="TOC8">
    <w:name w:val="toc 8"/>
    <w:basedOn w:val="Normal"/>
    <w:next w:val="Normal"/>
    <w:autoRedefine/>
    <w:uiPriority w:val="39"/>
    <w:semiHidden/>
    <w:unhideWhenUsed/>
    <w:rsid w:val="00227B5F"/>
    <w:pPr>
      <w:ind w:left="1400"/>
    </w:pPr>
    <w:rPr>
      <w:rFonts w:asciiTheme="minorHAnsi" w:hAnsiTheme="minorHAnsi" w:cstheme="minorHAnsi"/>
    </w:rPr>
  </w:style>
  <w:style w:type="paragraph" w:styleId="TOC9">
    <w:name w:val="toc 9"/>
    <w:basedOn w:val="Normal"/>
    <w:next w:val="Normal"/>
    <w:autoRedefine/>
    <w:uiPriority w:val="39"/>
    <w:semiHidden/>
    <w:unhideWhenUsed/>
    <w:rsid w:val="00227B5F"/>
    <w:pPr>
      <w:ind w:left="1600"/>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427233">
      <w:bodyDiv w:val="1"/>
      <w:marLeft w:val="0"/>
      <w:marRight w:val="0"/>
      <w:marTop w:val="0"/>
      <w:marBottom w:val="0"/>
      <w:divBdr>
        <w:top w:val="none" w:sz="0" w:space="0" w:color="auto"/>
        <w:left w:val="none" w:sz="0" w:space="0" w:color="auto"/>
        <w:bottom w:val="none" w:sz="0" w:space="0" w:color="auto"/>
        <w:right w:val="none" w:sz="0" w:space="0" w:color="auto"/>
      </w:divBdr>
    </w:div>
    <w:div w:id="461386340">
      <w:bodyDiv w:val="1"/>
      <w:marLeft w:val="0"/>
      <w:marRight w:val="0"/>
      <w:marTop w:val="0"/>
      <w:marBottom w:val="0"/>
      <w:divBdr>
        <w:top w:val="none" w:sz="0" w:space="0" w:color="auto"/>
        <w:left w:val="none" w:sz="0" w:space="0" w:color="auto"/>
        <w:bottom w:val="none" w:sz="0" w:space="0" w:color="auto"/>
        <w:right w:val="none" w:sz="0" w:space="0" w:color="auto"/>
      </w:divBdr>
    </w:div>
    <w:div w:id="597952032">
      <w:bodyDiv w:val="1"/>
      <w:marLeft w:val="0"/>
      <w:marRight w:val="0"/>
      <w:marTop w:val="0"/>
      <w:marBottom w:val="0"/>
      <w:divBdr>
        <w:top w:val="none" w:sz="0" w:space="0" w:color="auto"/>
        <w:left w:val="none" w:sz="0" w:space="0" w:color="auto"/>
        <w:bottom w:val="none" w:sz="0" w:space="0" w:color="auto"/>
        <w:right w:val="none" w:sz="0" w:space="0" w:color="auto"/>
      </w:divBdr>
    </w:div>
    <w:div w:id="613904504">
      <w:bodyDiv w:val="1"/>
      <w:marLeft w:val="0"/>
      <w:marRight w:val="0"/>
      <w:marTop w:val="0"/>
      <w:marBottom w:val="0"/>
      <w:divBdr>
        <w:top w:val="none" w:sz="0" w:space="0" w:color="auto"/>
        <w:left w:val="none" w:sz="0" w:space="0" w:color="auto"/>
        <w:bottom w:val="none" w:sz="0" w:space="0" w:color="auto"/>
        <w:right w:val="none" w:sz="0" w:space="0" w:color="auto"/>
      </w:divBdr>
    </w:div>
    <w:div w:id="755590326">
      <w:bodyDiv w:val="1"/>
      <w:marLeft w:val="0"/>
      <w:marRight w:val="0"/>
      <w:marTop w:val="0"/>
      <w:marBottom w:val="0"/>
      <w:divBdr>
        <w:top w:val="none" w:sz="0" w:space="0" w:color="auto"/>
        <w:left w:val="none" w:sz="0" w:space="0" w:color="auto"/>
        <w:bottom w:val="none" w:sz="0" w:space="0" w:color="auto"/>
        <w:right w:val="none" w:sz="0" w:space="0" w:color="auto"/>
      </w:divBdr>
    </w:div>
    <w:div w:id="824080082">
      <w:bodyDiv w:val="1"/>
      <w:marLeft w:val="0"/>
      <w:marRight w:val="0"/>
      <w:marTop w:val="0"/>
      <w:marBottom w:val="0"/>
      <w:divBdr>
        <w:top w:val="none" w:sz="0" w:space="0" w:color="auto"/>
        <w:left w:val="none" w:sz="0" w:space="0" w:color="auto"/>
        <w:bottom w:val="none" w:sz="0" w:space="0" w:color="auto"/>
        <w:right w:val="none" w:sz="0" w:space="0" w:color="auto"/>
      </w:divBdr>
    </w:div>
    <w:div w:id="905998132">
      <w:bodyDiv w:val="1"/>
      <w:marLeft w:val="0"/>
      <w:marRight w:val="0"/>
      <w:marTop w:val="0"/>
      <w:marBottom w:val="0"/>
      <w:divBdr>
        <w:top w:val="none" w:sz="0" w:space="0" w:color="auto"/>
        <w:left w:val="none" w:sz="0" w:space="0" w:color="auto"/>
        <w:bottom w:val="none" w:sz="0" w:space="0" w:color="auto"/>
        <w:right w:val="none" w:sz="0" w:space="0" w:color="auto"/>
      </w:divBdr>
    </w:div>
    <w:div w:id="1137725586">
      <w:bodyDiv w:val="1"/>
      <w:marLeft w:val="0"/>
      <w:marRight w:val="0"/>
      <w:marTop w:val="0"/>
      <w:marBottom w:val="0"/>
      <w:divBdr>
        <w:top w:val="none" w:sz="0" w:space="0" w:color="auto"/>
        <w:left w:val="none" w:sz="0" w:space="0" w:color="auto"/>
        <w:bottom w:val="none" w:sz="0" w:space="0" w:color="auto"/>
        <w:right w:val="none" w:sz="0" w:space="0" w:color="auto"/>
      </w:divBdr>
    </w:div>
    <w:div w:id="1240211875">
      <w:bodyDiv w:val="1"/>
      <w:marLeft w:val="0"/>
      <w:marRight w:val="0"/>
      <w:marTop w:val="0"/>
      <w:marBottom w:val="0"/>
      <w:divBdr>
        <w:top w:val="none" w:sz="0" w:space="0" w:color="auto"/>
        <w:left w:val="none" w:sz="0" w:space="0" w:color="auto"/>
        <w:bottom w:val="none" w:sz="0" w:space="0" w:color="auto"/>
        <w:right w:val="none" w:sz="0" w:space="0" w:color="auto"/>
      </w:divBdr>
    </w:div>
    <w:div w:id="1302734167">
      <w:bodyDiv w:val="1"/>
      <w:marLeft w:val="0"/>
      <w:marRight w:val="0"/>
      <w:marTop w:val="0"/>
      <w:marBottom w:val="0"/>
      <w:divBdr>
        <w:top w:val="none" w:sz="0" w:space="0" w:color="auto"/>
        <w:left w:val="none" w:sz="0" w:space="0" w:color="auto"/>
        <w:bottom w:val="none" w:sz="0" w:space="0" w:color="auto"/>
        <w:right w:val="none" w:sz="0" w:space="0" w:color="auto"/>
      </w:divBdr>
    </w:div>
    <w:div w:id="1313363759">
      <w:bodyDiv w:val="1"/>
      <w:marLeft w:val="0"/>
      <w:marRight w:val="0"/>
      <w:marTop w:val="0"/>
      <w:marBottom w:val="0"/>
      <w:divBdr>
        <w:top w:val="none" w:sz="0" w:space="0" w:color="auto"/>
        <w:left w:val="none" w:sz="0" w:space="0" w:color="auto"/>
        <w:bottom w:val="none" w:sz="0" w:space="0" w:color="auto"/>
        <w:right w:val="none" w:sz="0" w:space="0" w:color="auto"/>
      </w:divBdr>
    </w:div>
    <w:div w:id="1330019656">
      <w:bodyDiv w:val="1"/>
      <w:marLeft w:val="0"/>
      <w:marRight w:val="0"/>
      <w:marTop w:val="0"/>
      <w:marBottom w:val="0"/>
      <w:divBdr>
        <w:top w:val="none" w:sz="0" w:space="0" w:color="auto"/>
        <w:left w:val="none" w:sz="0" w:space="0" w:color="auto"/>
        <w:bottom w:val="none" w:sz="0" w:space="0" w:color="auto"/>
        <w:right w:val="none" w:sz="0" w:space="0" w:color="auto"/>
      </w:divBdr>
    </w:div>
    <w:div w:id="1405640487">
      <w:bodyDiv w:val="1"/>
      <w:marLeft w:val="0"/>
      <w:marRight w:val="0"/>
      <w:marTop w:val="0"/>
      <w:marBottom w:val="0"/>
      <w:divBdr>
        <w:top w:val="none" w:sz="0" w:space="0" w:color="auto"/>
        <w:left w:val="none" w:sz="0" w:space="0" w:color="auto"/>
        <w:bottom w:val="none" w:sz="0" w:space="0" w:color="auto"/>
        <w:right w:val="none" w:sz="0" w:space="0" w:color="auto"/>
      </w:divBdr>
    </w:div>
    <w:div w:id="1768036467">
      <w:bodyDiv w:val="1"/>
      <w:marLeft w:val="0"/>
      <w:marRight w:val="0"/>
      <w:marTop w:val="0"/>
      <w:marBottom w:val="0"/>
      <w:divBdr>
        <w:top w:val="none" w:sz="0" w:space="0" w:color="auto"/>
        <w:left w:val="none" w:sz="0" w:space="0" w:color="auto"/>
        <w:bottom w:val="none" w:sz="0" w:space="0" w:color="auto"/>
        <w:right w:val="none" w:sz="0" w:space="0" w:color="auto"/>
      </w:divBdr>
    </w:div>
    <w:div w:id="1821530420">
      <w:bodyDiv w:val="1"/>
      <w:marLeft w:val="0"/>
      <w:marRight w:val="0"/>
      <w:marTop w:val="0"/>
      <w:marBottom w:val="0"/>
      <w:divBdr>
        <w:top w:val="none" w:sz="0" w:space="0" w:color="auto"/>
        <w:left w:val="none" w:sz="0" w:space="0" w:color="auto"/>
        <w:bottom w:val="none" w:sz="0" w:space="0" w:color="auto"/>
        <w:right w:val="none" w:sz="0" w:space="0" w:color="auto"/>
      </w:divBdr>
    </w:div>
    <w:div w:id="213689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D251F-F5D4-4E49-AA91-9D9AB158F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10</Pages>
  <Words>2218</Words>
  <Characters>12646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2024-06-10T17:15:00Z</dcterms:created>
  <dcterms:modified xsi:type="dcterms:W3CDTF">2024-06-22T18:34:00Z</dcterms:modified>
</cp:coreProperties>
</file>