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46DDC" w14:textId="77777777" w:rsidR="00B037B7" w:rsidRDefault="00F4482A" w:rsidP="00F4482A">
      <w:r w:rsidRPr="007E4C46">
        <w:rPr>
          <w:rFonts w:ascii="Arial" w:hAnsi="Arial" w:cs="Arial"/>
          <w:noProof/>
        </w:rPr>
        <w:drawing>
          <wp:inline distT="0" distB="0" distL="0" distR="0" wp14:anchorId="72958B9E" wp14:editId="4CD28E2E">
            <wp:extent cx="5676523" cy="2225550"/>
            <wp:effectExtent l="0" t="0" r="635" b="381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0811" cy="226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CF0FB" w14:textId="77777777" w:rsidR="00B037B7" w:rsidRDefault="00B037B7" w:rsidP="00F4482A"/>
    <w:p w14:paraId="0C2BC891" w14:textId="686CA0EB" w:rsidR="00F4482A" w:rsidRPr="00B037B7" w:rsidRDefault="000F6989" w:rsidP="005D25FA">
      <w:r>
        <w:rPr>
          <w:rFonts w:ascii="Arial" w:eastAsia="Arial Nova" w:hAnsi="Arial" w:cs="Arial"/>
          <w:b/>
          <w:bCs/>
          <w:sz w:val="36"/>
          <w:szCs w:val="36"/>
        </w:rPr>
        <w:t>Student</w:t>
      </w:r>
      <w:r w:rsidR="00D440D7">
        <w:rPr>
          <w:rFonts w:ascii="Arial" w:eastAsia="Arial Nova" w:hAnsi="Arial" w:cs="Arial"/>
          <w:b/>
          <w:bCs/>
          <w:sz w:val="36"/>
          <w:szCs w:val="36"/>
        </w:rPr>
        <w:t xml:space="preserve"> Name: </w:t>
      </w:r>
      <w:r w:rsidR="00F4482A">
        <w:rPr>
          <w:rFonts w:ascii="Arial" w:eastAsia="Arial Nova" w:hAnsi="Arial" w:cs="Arial"/>
          <w:b/>
          <w:bCs/>
          <w:sz w:val="36"/>
          <w:szCs w:val="36"/>
        </w:rPr>
        <w:t>Neboh Celsius</w:t>
      </w:r>
    </w:p>
    <w:p w14:paraId="06BA1B53" w14:textId="720DC10D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Student</w:t>
      </w:r>
      <w:r w:rsidR="007756EF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 w:rsidR="004677EB">
        <w:rPr>
          <w:rFonts w:ascii="Arial" w:eastAsia="Arial Nova" w:hAnsi="Arial" w:cs="Arial"/>
          <w:b/>
          <w:bCs/>
          <w:sz w:val="36"/>
          <w:szCs w:val="36"/>
        </w:rPr>
        <w:t>Identification</w:t>
      </w:r>
      <w:r>
        <w:rPr>
          <w:rFonts w:ascii="Arial" w:eastAsia="Arial Nova" w:hAnsi="Arial" w:cs="Arial"/>
          <w:b/>
          <w:bCs/>
          <w:sz w:val="36"/>
          <w:szCs w:val="36"/>
        </w:rPr>
        <w:t xml:space="preserve"> Number: 2434221</w:t>
      </w:r>
    </w:p>
    <w:p w14:paraId="2CB6FEEB" w14:textId="779F7649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</w:t>
      </w:r>
      <w:r w:rsidR="00521BD0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 w:rsidR="003F43F7">
        <w:rPr>
          <w:rFonts w:ascii="Arial" w:eastAsia="Arial Nova" w:hAnsi="Arial" w:cs="Arial"/>
          <w:b/>
          <w:bCs/>
          <w:sz w:val="36"/>
          <w:szCs w:val="36"/>
        </w:rPr>
        <w:t>Title</w:t>
      </w:r>
      <w:r>
        <w:rPr>
          <w:rFonts w:ascii="Arial" w:eastAsia="Arial Nova" w:hAnsi="Arial" w:cs="Arial"/>
          <w:b/>
          <w:bCs/>
          <w:sz w:val="36"/>
          <w:szCs w:val="36"/>
        </w:rPr>
        <w:t>: Protecting and Supporting Families in Health and Care</w:t>
      </w:r>
    </w:p>
    <w:p w14:paraId="3DD02C55" w14:textId="32C01A64" w:rsidR="0008296C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</w:t>
      </w:r>
      <w:r w:rsidR="003F43F7">
        <w:rPr>
          <w:rFonts w:ascii="Arial" w:eastAsia="Arial Nova" w:hAnsi="Arial" w:cs="Arial"/>
          <w:b/>
          <w:bCs/>
          <w:sz w:val="36"/>
          <w:szCs w:val="36"/>
        </w:rPr>
        <w:t xml:space="preserve"> Reference</w:t>
      </w:r>
      <w:r w:rsidR="009F2653">
        <w:rPr>
          <w:rFonts w:ascii="Arial" w:eastAsia="Arial Nova" w:hAnsi="Arial" w:cs="Arial"/>
          <w:b/>
          <w:bCs/>
          <w:sz w:val="36"/>
          <w:szCs w:val="36"/>
        </w:rPr>
        <w:t xml:space="preserve"> </w:t>
      </w:r>
      <w:r>
        <w:rPr>
          <w:rFonts w:ascii="Arial" w:eastAsia="Arial Nova" w:hAnsi="Arial" w:cs="Arial"/>
          <w:b/>
          <w:bCs/>
          <w:sz w:val="36"/>
          <w:szCs w:val="36"/>
        </w:rPr>
        <w:t>Code: BMHP5021</w:t>
      </w:r>
    </w:p>
    <w:p w14:paraId="52D4C05A" w14:textId="07C303E4" w:rsidR="00F4482A" w:rsidRDefault="00B34E50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Title of the </w:t>
      </w:r>
      <w:r w:rsidR="0008296C">
        <w:rPr>
          <w:rFonts w:ascii="Arial" w:eastAsia="Arial Nova" w:hAnsi="Arial" w:cs="Arial"/>
          <w:b/>
          <w:bCs/>
          <w:sz w:val="36"/>
          <w:szCs w:val="36"/>
        </w:rPr>
        <w:t>Assignment</w:t>
      </w:r>
      <w:r w:rsidR="00F4482A">
        <w:rPr>
          <w:rFonts w:ascii="Arial" w:eastAsia="Arial Nova" w:hAnsi="Arial" w:cs="Arial"/>
          <w:b/>
          <w:bCs/>
          <w:sz w:val="36"/>
          <w:szCs w:val="36"/>
        </w:rPr>
        <w:t xml:space="preserve">: Component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 (Round-The-Table Group Discussion)</w:t>
      </w:r>
    </w:p>
    <w:p w14:paraId="46E42200" w14:textId="043B8414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Lecturer: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Dr. Kennedy Obohwemu</w:t>
      </w:r>
    </w:p>
    <w:p w14:paraId="38F923A8" w14:textId="7447E4EF" w:rsidR="00F4482A" w:rsidRDefault="00F4482A" w:rsidP="005D25F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Sunday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18</w:t>
      </w:r>
      <w:r w:rsidR="00667902" w:rsidRPr="00667902">
        <w:rPr>
          <w:rFonts w:ascii="Arial" w:eastAsia="Arial Nova" w:hAnsi="Arial" w:cs="Arial"/>
          <w:b/>
          <w:bCs/>
          <w:sz w:val="36"/>
          <w:szCs w:val="36"/>
          <w:vertAlign w:val="superscript"/>
        </w:rPr>
        <w:t>th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 xml:space="preserve"> October 2026</w:t>
      </w:r>
    </w:p>
    <w:p w14:paraId="3764C5FB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55DE53A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879891E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6D064298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DB4791F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602CD22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1A2B403" w14:textId="77777777" w:rsidR="00732CE5" w:rsidRDefault="00732CE5" w:rsidP="00667902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7BC9AD55" w14:textId="6630EBD5" w:rsidR="00667902" w:rsidRPr="00513E5F" w:rsidRDefault="0078463C" w:rsidP="00513E5F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List of</w:t>
      </w:r>
      <w:r w:rsidR="00ED3BF6">
        <w:rPr>
          <w:rFonts w:ascii="Arial" w:hAnsi="Arial" w:cs="Arial"/>
          <w:b/>
          <w:bCs/>
          <w:sz w:val="22"/>
          <w:szCs w:val="22"/>
        </w:rPr>
        <w:t xml:space="preserve"> </w:t>
      </w:r>
      <w:r w:rsidR="00667902" w:rsidRPr="00513E5F">
        <w:rPr>
          <w:rFonts w:ascii="Arial" w:hAnsi="Arial" w:cs="Arial"/>
          <w:b/>
          <w:bCs/>
          <w:sz w:val="22"/>
          <w:szCs w:val="22"/>
        </w:rPr>
        <w:t>Reference</w:t>
      </w:r>
      <w:r w:rsidR="003C0144">
        <w:rPr>
          <w:rFonts w:ascii="Arial" w:hAnsi="Arial" w:cs="Arial"/>
          <w:b/>
          <w:bCs/>
          <w:sz w:val="22"/>
          <w:szCs w:val="22"/>
        </w:rPr>
        <w:t>s</w:t>
      </w:r>
      <w:r w:rsidR="00ED3BF6">
        <w:rPr>
          <w:rFonts w:ascii="Arial" w:hAnsi="Arial" w:cs="Arial"/>
          <w:b/>
          <w:bCs/>
          <w:sz w:val="22"/>
          <w:szCs w:val="22"/>
        </w:rPr>
        <w:t>.</w:t>
      </w:r>
    </w:p>
    <w:p w14:paraId="64D8F89E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Alfandari, R. and Taylor, B.J. (2022) ‘Community-based multi-professional child protection decision making: systematic narrative review’, Child Abuse and Neglect, 123, 105432. Available at: </w:t>
      </w:r>
      <w:hyperlink r:id="rId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https://doi.org/10.1016/j.chiabu.2021.105432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(Accessed: 5 October 2026).</w:t>
      </w:r>
    </w:p>
    <w:p w14:paraId="72C6BDE1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eastAsiaTheme="minorEastAsia" w:hAnsi="Arial" w:cs="Arial"/>
          <w:sz w:val="22"/>
          <w:szCs w:val="22"/>
        </w:rPr>
        <w:t>Child Safeguarding Practice Review Panel (2024) Child Safeguarding Practice Review Panel annual report 2023 to 2024. London: Department for Education. Available at:</w:t>
      </w:r>
      <w:r w:rsidRPr="00513E5F">
        <w:rPr>
          <w:rFonts w:ascii="Arial" w:eastAsiaTheme="minorEastAsia" w:hAnsi="Arial" w:cs="Arial"/>
          <w:b/>
          <w:bCs/>
          <w:sz w:val="22"/>
          <w:szCs w:val="22"/>
        </w:rPr>
        <w:t xml:space="preserve"> </w:t>
      </w:r>
      <w:hyperlink r:id="rId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https://www.gov.uk/government/publications/child-safeguarding-practice-review-panel-annual-report-2023-to-2024</w:t>
        </w:r>
      </w:hyperlink>
      <w:r w:rsidRPr="00513E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513E5F">
        <w:rPr>
          <w:rFonts w:ascii="Arial" w:hAnsi="Arial" w:cs="Arial"/>
          <w:sz w:val="22"/>
          <w:szCs w:val="22"/>
        </w:rPr>
        <w:t>(Accessed 5 October 2026).</w:t>
      </w:r>
    </w:p>
    <w:p w14:paraId="4D6F63F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College of Policing (2026) Police response to concern for a child. Available at: </w:t>
      </w:r>
      <w:hyperlink r:id="rId7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https://www.college.police.uk/app/major-investigation-and-public-protection/investigating-child-abuse-and-safeguarding-children/police-response-concern-child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4559CA20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Crown Prosecution Service (CPS) (2025) Safeguarding children as victims and witnesses. London: Crown Prosecution Service. Available at: </w:t>
      </w:r>
      <w:hyperlink r:id="rId8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https://www.cps.gov.uk/prosecution-guidance/safeguarding-children-victims-and-witnesses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0ctober 2026). </w:t>
      </w:r>
    </w:p>
    <w:p w14:paraId="20AC0299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(2024) Information sharing: advice for practitioners providing safeguarding services to children, young people, parents and carers. London: Department for Education. Available at: </w:t>
      </w:r>
      <w:hyperlink r:id="rId9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https://www.gov.uk/government/publications/safeguarding-practitioners-information-sharing-advice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01EC5A5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(2026) Working together to safeguard children 2026: a guide to multi-agency working to help, protect and promote the welfare of children. London: Department for Education. Available at: </w:t>
      </w:r>
      <w:hyperlink r:id="rId10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6351616A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Dickens, J., Cook, L., Cossar, J., Okpokiri, C., Taylor, J. and Garstang, J. (2023) ‘Re-envisaging professional curiosity and challenge: messages for child protection practice from reviews of serious cases in England’, Children and Youth Services Review, 152, 107081. Available at: </w:t>
      </w:r>
      <w:hyperlink r:id="rId11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https://doi.org/10.1016/j.childyouth.2023.107081</w:t>
        </w:r>
      </w:hyperlink>
      <w:r w:rsidRPr="00513E5F">
        <w:rPr>
          <w:rFonts w:ascii="Arial" w:hAnsi="Arial" w:cs="Arial"/>
          <w:sz w:val="22"/>
          <w:szCs w:val="22"/>
        </w:rPr>
        <w:t xml:space="preserve"> Accessed 5 October 2026). </w:t>
      </w:r>
    </w:p>
    <w:p w14:paraId="4412FBB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Doherty, J. (2023) Local Child Safeguarding Practice Review concerning Child A. Bradford: The Bradford Partnership. Available at: </w:t>
      </w:r>
      <w:hyperlink r:id="rId12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https://saferbradford.co.uk/media/k44hmjpy/child-a-final-report-for-publication.pdf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2750AFD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Harrison, C. and Barker, C. (2024) ‘A thematic analysis of the involvement of children and families in Child Safeguarding Practice Reviews in England’, Child Abuse Review, 33(6), e70005. Available at: </w:t>
      </w:r>
      <w:hyperlink r:id="rId13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https://doi.org/10.1002/car.70005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5D77BD8D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Home Office (2022) Domestic abuse: statutory guidance. London: Home Office. Available at: </w:t>
      </w:r>
      <w:hyperlink r:id="rId14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https://www.gov.uk/government/publications/domestic-abuse-act-2021/domestic-abuse-statutory-guidance-accessible-version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55AFA542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National Institute for Health and Care Excellence (NICE) (2025) Child maltreatment: when to suspect maltreatment in under 18s. Clinical guideline CG89. London: NICE. Available at: </w:t>
      </w:r>
      <w:hyperlink r:id="rId1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https://www.nice.org.uk/guidance/cg89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4E63C96A" w14:textId="61BC0C93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lastRenderedPageBreak/>
        <w:t xml:space="preserve">World Health Organization (WHO) (2026) Child maltreatment. Available at: </w:t>
      </w:r>
      <w:hyperlink r:id="rId1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https://www.who.int/news-room/fact-sheets/detail/child-maltreatment</w:t>
        </w:r>
      </w:hyperlink>
      <w:r w:rsidRPr="00513E5F">
        <w:rPr>
          <w:rFonts w:ascii="Arial" w:hAnsi="Arial" w:cs="Arial"/>
          <w:sz w:val="22"/>
          <w:szCs w:val="22"/>
        </w:rPr>
        <w:t xml:space="preserve"> </w:t>
      </w:r>
      <w:r w:rsidR="000F0A17">
        <w:rPr>
          <w:rFonts w:ascii="Arial" w:hAnsi="Arial" w:cs="Arial"/>
          <w:sz w:val="22"/>
          <w:szCs w:val="22"/>
        </w:rPr>
        <w:t>(</w:t>
      </w:r>
      <w:r w:rsidRPr="00513E5F">
        <w:rPr>
          <w:rFonts w:ascii="Arial" w:hAnsi="Arial" w:cs="Arial"/>
          <w:sz w:val="22"/>
          <w:szCs w:val="22"/>
        </w:rPr>
        <w:t>Accessed 5 October 2026</w:t>
      </w:r>
      <w:r w:rsidR="000F0A17">
        <w:rPr>
          <w:rFonts w:ascii="Arial" w:hAnsi="Arial" w:cs="Arial"/>
          <w:sz w:val="22"/>
          <w:szCs w:val="22"/>
        </w:rPr>
        <w:t>)</w:t>
      </w:r>
      <w:r w:rsidRPr="00513E5F">
        <w:rPr>
          <w:rFonts w:ascii="Arial" w:hAnsi="Arial" w:cs="Arial"/>
          <w:sz w:val="22"/>
          <w:szCs w:val="22"/>
        </w:rPr>
        <w:t>.</w:t>
      </w:r>
    </w:p>
    <w:p w14:paraId="6532CBAF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68BCF328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377F2865" w14:textId="77777777" w:rsidR="00AA511F" w:rsidRPr="00513E5F" w:rsidRDefault="00AA511F" w:rsidP="00513E5F">
      <w:pPr>
        <w:jc w:val="both"/>
        <w:rPr>
          <w:rFonts w:ascii="Arial" w:hAnsi="Arial" w:cs="Arial"/>
          <w:sz w:val="22"/>
          <w:szCs w:val="22"/>
        </w:rPr>
      </w:pPr>
    </w:p>
    <w:sectPr w:rsidR="00AA511F" w:rsidRPr="00513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82A"/>
    <w:rsid w:val="0008296C"/>
    <w:rsid w:val="000F0A17"/>
    <w:rsid w:val="000F6989"/>
    <w:rsid w:val="001B5211"/>
    <w:rsid w:val="002C5830"/>
    <w:rsid w:val="002E0468"/>
    <w:rsid w:val="003C0144"/>
    <w:rsid w:val="003D4359"/>
    <w:rsid w:val="003F43F7"/>
    <w:rsid w:val="00426BB8"/>
    <w:rsid w:val="00464C5E"/>
    <w:rsid w:val="004677EB"/>
    <w:rsid w:val="0050004E"/>
    <w:rsid w:val="0050567C"/>
    <w:rsid w:val="00513E5F"/>
    <w:rsid w:val="00521BD0"/>
    <w:rsid w:val="00561929"/>
    <w:rsid w:val="005D25FA"/>
    <w:rsid w:val="005D644F"/>
    <w:rsid w:val="005F348A"/>
    <w:rsid w:val="006301EE"/>
    <w:rsid w:val="00667902"/>
    <w:rsid w:val="006F1FA0"/>
    <w:rsid w:val="00715BD3"/>
    <w:rsid w:val="00732CE5"/>
    <w:rsid w:val="007553A2"/>
    <w:rsid w:val="00774624"/>
    <w:rsid w:val="007756EF"/>
    <w:rsid w:val="0078463C"/>
    <w:rsid w:val="007C6514"/>
    <w:rsid w:val="007F4433"/>
    <w:rsid w:val="008A3E01"/>
    <w:rsid w:val="008D4CC5"/>
    <w:rsid w:val="00947835"/>
    <w:rsid w:val="009F2653"/>
    <w:rsid w:val="00A00BBD"/>
    <w:rsid w:val="00A253D9"/>
    <w:rsid w:val="00AA511F"/>
    <w:rsid w:val="00B0069B"/>
    <w:rsid w:val="00B037B7"/>
    <w:rsid w:val="00B34E50"/>
    <w:rsid w:val="00BB1C1A"/>
    <w:rsid w:val="00BF6AFE"/>
    <w:rsid w:val="00C567C6"/>
    <w:rsid w:val="00C666B0"/>
    <w:rsid w:val="00C75762"/>
    <w:rsid w:val="00D232D1"/>
    <w:rsid w:val="00D27F32"/>
    <w:rsid w:val="00D440D7"/>
    <w:rsid w:val="00E61A0E"/>
    <w:rsid w:val="00E63062"/>
    <w:rsid w:val="00E64F08"/>
    <w:rsid w:val="00E81A94"/>
    <w:rsid w:val="00EB6F60"/>
    <w:rsid w:val="00ED3BF6"/>
    <w:rsid w:val="00EE798D"/>
    <w:rsid w:val="00F4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2AFF"/>
  <w15:chartTrackingRefBased/>
  <w15:docId w15:val="{D785BC0D-2C6F-412B-A3CE-A439B3A7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8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8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8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8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8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8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8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8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8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8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8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8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8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8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8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79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1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prosecution-guidance/safeguarding-children-victims-and-witnesses" TargetMode="External"/><Relationship Id="rId13" Type="http://schemas.openxmlformats.org/officeDocument/2006/relationships/hyperlink" Target="https://doi.org/10.1002/car.7000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12" Type="http://schemas.openxmlformats.org/officeDocument/2006/relationships/hyperlink" Target="https://saferbradford.co.uk/media/k44hmjpy/child-a-final-report-for-publication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who.int/news-room/fact-sheets/detail/child-maltreatm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hild-safeguarding-practice-review-panel-annual-report-2023-to-2024" TargetMode="External"/><Relationship Id="rId11" Type="http://schemas.openxmlformats.org/officeDocument/2006/relationships/hyperlink" Target="https://doi.org/10.1016/j.childyouth.2023.107081" TargetMode="External"/><Relationship Id="rId5" Type="http://schemas.openxmlformats.org/officeDocument/2006/relationships/hyperlink" Target="https://doi.org/10.1016/j.chiabu.2021.105432" TargetMode="External"/><Relationship Id="rId15" Type="http://schemas.openxmlformats.org/officeDocument/2006/relationships/hyperlink" Target="https://www.nice.org.uk/guidance/cg89" TargetMode="Externa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safeguarding-practitioners-information-sharing-advice" TargetMode="External"/><Relationship Id="rId14" Type="http://schemas.openxmlformats.org/officeDocument/2006/relationships/hyperlink" Target="https://www.gov.uk/government/publications/domestic-abuse-act-2021/domestic-abuse-statutory-guidance-accessible-ver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Celsius Neboh (2434221)</dc:creator>
  <cp:keywords/>
  <dc:description/>
  <cp:lastModifiedBy>Celsius Neboh (2434221)</cp:lastModifiedBy>
  <cp:revision>39</cp:revision>
  <dcterms:created xsi:type="dcterms:W3CDTF">2026-10-07T13:56:00Z</dcterms:created>
  <dcterms:modified xsi:type="dcterms:W3CDTF">2026-10-16T09:54:00Z</dcterms:modified>
</cp:coreProperties>
</file>